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07254">
      <w:pPr>
        <w:pStyle w:val="5"/>
        <w:numPr>
          <w:ilvl w:val="0"/>
          <w:numId w:val="0"/>
        </w:numPr>
        <w:ind w:left="431" w:hanging="431"/>
        <w:rPr>
          <w:rFonts w:hint="eastAsia" w:ascii="宋体" w:hAnsi="宋体" w:cs="宋体"/>
          <w:szCs w:val="28"/>
        </w:rPr>
      </w:pPr>
      <w:bookmarkStart w:id="0" w:name="_Hlk90999988"/>
      <w:bookmarkEnd w:id="0"/>
      <w:bookmarkStart w:id="1" w:name="_Toc180265513"/>
      <w:bookmarkStart w:id="2" w:name="_Toc423446630"/>
      <w:bookmarkStart w:id="3" w:name="_Toc136264244"/>
      <w:bookmarkStart w:id="4" w:name="_Toc506198444"/>
      <w:bookmarkStart w:id="5" w:name="_Toc423446780"/>
      <w:bookmarkStart w:id="6" w:name="_Toc423622234"/>
      <w:bookmarkStart w:id="7" w:name="_Toc156076118"/>
      <w:bookmarkStart w:id="8" w:name="_Toc423446744"/>
      <w:bookmarkStart w:id="9" w:name="_Toc423617393"/>
      <w:bookmarkStart w:id="10" w:name="_Toc22030477"/>
      <w:r>
        <w:rPr>
          <w:rFonts w:hint="eastAsia" w:ascii="宋体" w:hAnsi="宋体" w:cs="宋体"/>
          <w:szCs w:val="28"/>
        </w:rPr>
        <w:t>12.4中招联合在电子采购服务方面的优势：</w:t>
      </w:r>
      <w:bookmarkEnd w:id="1"/>
    </w:p>
    <w:p w14:paraId="1AEEC364">
      <w:pPr>
        <w:pStyle w:val="6"/>
        <w:numPr>
          <w:ilvl w:val="0"/>
          <w:numId w:val="0"/>
        </w:numPr>
        <w:ind w:left="720" w:hanging="720"/>
        <w:rPr>
          <w:spacing w:val="3"/>
        </w:rPr>
      </w:pPr>
      <w:bookmarkStart w:id="11" w:name="_Toc180265514"/>
      <w:r>
        <w:rPr>
          <w:rFonts w:hint="eastAsia" w:ascii="宋体" w:hAnsi="宋体" w:cs="宋体"/>
          <w:szCs w:val="24"/>
        </w:rPr>
        <w:t>12.4.1背景优势</w:t>
      </w:r>
      <w:bookmarkEnd w:id="11"/>
    </w:p>
    <w:p w14:paraId="54CA9E68">
      <w:pPr>
        <w:spacing w:line="360" w:lineRule="auto"/>
        <w:ind w:firstLine="420"/>
        <w:rPr>
          <w:rFonts w:hint="eastAsia" w:ascii="宋体" w:hAnsi="宋体" w:eastAsia="宋体" w:cs="宋体"/>
        </w:rPr>
      </w:pPr>
      <w:r>
        <w:rPr>
          <w:rFonts w:ascii="宋体" w:hAnsi="宋体" w:eastAsia="宋体" w:cs="宋体"/>
        </w:rPr>
        <w:t>中招联合</w:t>
      </w:r>
      <w:r>
        <w:rPr>
          <w:rFonts w:hint="eastAsia" w:ascii="宋体" w:hAnsi="宋体" w:eastAsia="宋体" w:cs="宋体"/>
        </w:rPr>
        <w:t>信息股份有限公司</w:t>
      </w:r>
      <w:r>
        <w:rPr>
          <w:rFonts w:ascii="宋体" w:hAnsi="宋体" w:eastAsia="宋体" w:cs="宋体"/>
        </w:rPr>
        <w:t>作为工业和信息化部所属中国机电设备招标中心的下属企业，拥有深厚的行业背景和专业优势。中国机电设备招标中心自1985年成立以来，一直是推动招标投标立法、制定招标业务流程、培养专业队伍的重要机构。</w:t>
      </w:r>
    </w:p>
    <w:p w14:paraId="7C2BD5C4">
      <w:pPr>
        <w:spacing w:line="360" w:lineRule="auto"/>
        <w:ind w:firstLine="420"/>
        <w:rPr>
          <w:rFonts w:hint="eastAsia" w:ascii="宋体" w:hAnsi="宋体" w:eastAsia="宋体" w:cs="宋体"/>
        </w:rPr>
      </w:pPr>
      <w:r>
        <w:rPr>
          <w:rFonts w:ascii="宋体" w:hAnsi="宋体" w:eastAsia="宋体" w:cs="宋体"/>
        </w:rPr>
        <w:t>中招联合</w:t>
      </w:r>
      <w:r>
        <w:rPr>
          <w:rFonts w:hint="eastAsia" w:ascii="宋体" w:hAnsi="宋体" w:eastAsia="宋体" w:cs="宋体"/>
        </w:rPr>
        <w:t>信息股份有限公司的管理团队均为招标采购领域多年的专家，</w:t>
      </w:r>
      <w:r>
        <w:rPr>
          <w:rFonts w:ascii="宋体" w:hAnsi="宋体" w:eastAsia="宋体" w:cs="宋体"/>
        </w:rPr>
        <w:t>为</w:t>
      </w:r>
      <w:r>
        <w:rPr>
          <w:rFonts w:hint="eastAsia" w:ascii="宋体" w:hAnsi="宋体" w:eastAsia="宋体" w:cs="宋体"/>
        </w:rPr>
        <w:t>中招联合招标采购</w:t>
      </w:r>
      <w:r>
        <w:rPr>
          <w:rFonts w:ascii="宋体" w:hAnsi="宋体" w:eastAsia="宋体" w:cs="宋体"/>
        </w:rPr>
        <w:t>平台的设计和运营提供了招采知识和信息化架构的经验保障，确保平台的合规性和前瞻性。</w:t>
      </w:r>
    </w:p>
    <w:p w14:paraId="38B4C62D">
      <w:pPr>
        <w:pStyle w:val="6"/>
        <w:numPr>
          <w:ilvl w:val="0"/>
          <w:numId w:val="0"/>
        </w:numPr>
        <w:ind w:left="720" w:hanging="720"/>
        <w:rPr>
          <w:rFonts w:hint="eastAsia" w:ascii="宋体" w:hAnsi="宋体" w:cs="宋体"/>
          <w:sz w:val="18"/>
          <w:szCs w:val="18"/>
        </w:rPr>
      </w:pPr>
      <w:bookmarkStart w:id="12" w:name="_Toc180265515"/>
      <w:r>
        <w:rPr>
          <w:rFonts w:hint="eastAsia" w:ascii="宋体" w:hAnsi="宋体" w:cs="宋体"/>
          <w:szCs w:val="24"/>
        </w:rPr>
        <w:t>12.4.2技术优势</w:t>
      </w:r>
      <w:bookmarkEnd w:id="12"/>
    </w:p>
    <w:p w14:paraId="0A237D80">
      <w:pPr>
        <w:spacing w:line="360" w:lineRule="auto"/>
        <w:ind w:firstLine="420"/>
        <w:rPr>
          <w:rFonts w:hint="eastAsia" w:ascii="宋体" w:hAnsi="宋体" w:eastAsia="宋体" w:cs="宋体"/>
        </w:rPr>
      </w:pPr>
      <w:r>
        <w:rPr>
          <w:rFonts w:ascii="宋体" w:hAnsi="宋体" w:eastAsia="宋体" w:cs="宋体"/>
        </w:rPr>
        <w:t>中招联合招标采购平台自主研发，采用SaaS架构，公司人员可以专心维护一套平台，服务全国业务。这种架构的优势在于大幅度降低了硬件、带宽、安装和运营成本。同时，由于产品具有可复用性，这直接降低了客户的实施成本，实施速度更快，成本更低。平台3.0版本采用“中台+微服务战略”，顶层设计更优化，系统架构更合理，业务功能更全面，人机交互更友好，系统运行更稳定</w:t>
      </w:r>
      <w:r>
        <w:rPr>
          <w:rFonts w:hint="eastAsia" w:ascii="宋体" w:hAnsi="宋体" w:eastAsia="宋体" w:cs="宋体"/>
        </w:rPr>
        <w:t>。使得中招联合团队可以服务全国采购人及入围代理机构。</w:t>
      </w:r>
    </w:p>
    <w:p w14:paraId="0E92401D">
      <w:pPr>
        <w:spacing w:line="360" w:lineRule="auto"/>
        <w:ind w:firstLine="420"/>
        <w:rPr>
          <w:rFonts w:hint="eastAsia" w:ascii="宋体" w:hAnsi="宋体" w:eastAsia="宋体" w:cs="宋体"/>
        </w:rPr>
      </w:pPr>
      <w:r>
        <w:rPr>
          <w:rFonts w:ascii="宋体" w:hAnsi="宋体" w:eastAsia="宋体" w:cs="宋体"/>
        </w:rPr>
        <w:t>中招联合招标采购平台“一平台多驻户”设计，满足业务快速拓展，平台每年新增用户100+家（采购人及招标代理机构），每年新增招标采购项目8万+个。每年新增参与项目的供应商10万+家。截至2024年10月，平台累计平稳运行的招标项目达到60万+，累计供应商达到66万+家。</w:t>
      </w:r>
    </w:p>
    <w:p w14:paraId="1BB25D3F">
      <w:pPr>
        <w:spacing w:line="360" w:lineRule="auto"/>
        <w:ind w:firstLine="420"/>
        <w:rPr>
          <w:rFonts w:hint="eastAsia" w:ascii="宋体" w:hAnsi="宋体" w:eastAsia="宋体" w:cs="宋体"/>
        </w:rPr>
      </w:pPr>
      <w:r>
        <w:rPr>
          <w:rFonts w:ascii="宋体" w:hAnsi="宋体" w:eastAsia="宋体" w:cs="宋体"/>
        </w:rPr>
        <w:t>在此基础上，中招联合招标采购有丰富的配置项，针对不同行业、不同用户，不同场景，通过配置满足不同用户的需求。</w:t>
      </w:r>
    </w:p>
    <w:p w14:paraId="24B00305">
      <w:pPr>
        <w:pStyle w:val="6"/>
        <w:numPr>
          <w:ilvl w:val="0"/>
          <w:numId w:val="0"/>
        </w:numPr>
        <w:ind w:left="720" w:hanging="720"/>
        <w:rPr>
          <w:rFonts w:hint="eastAsia" w:ascii="宋体" w:hAnsi="宋体" w:cs="宋体"/>
          <w:szCs w:val="24"/>
        </w:rPr>
      </w:pPr>
      <w:bookmarkStart w:id="13" w:name="_Toc180265516"/>
      <w:r>
        <w:rPr>
          <w:rFonts w:hint="eastAsia" w:ascii="宋体" w:hAnsi="宋体" w:cs="宋体"/>
          <w:szCs w:val="24"/>
        </w:rPr>
        <w:t>12.4.3服务优势</w:t>
      </w:r>
      <w:bookmarkEnd w:id="13"/>
    </w:p>
    <w:p w14:paraId="0F709516">
      <w:pPr>
        <w:spacing w:line="360" w:lineRule="auto"/>
        <w:ind w:firstLine="420"/>
      </w:pPr>
      <w:r>
        <w:rPr>
          <w:rFonts w:hint="eastAsia"/>
        </w:rPr>
        <w:t>中招联合总部设在北京，在吉林、江苏、陕西、河南、广东、山西、河北、四川、上海、江西、甘肃、湖北等地设立区域中心，每家区域中心都建设了电子开评标室，</w:t>
      </w:r>
      <w:r>
        <w:t>配备</w:t>
      </w:r>
      <w:r>
        <w:rPr>
          <w:rFonts w:hint="eastAsia"/>
        </w:rPr>
        <w:t>专属</w:t>
      </w:r>
      <w:r>
        <w:t>实施顾问</w:t>
      </w:r>
      <w:r>
        <w:rPr>
          <w:rFonts w:hint="eastAsia"/>
        </w:rPr>
        <w:t>，</w:t>
      </w:r>
      <w:r>
        <w:t>及400远程客服，保证</w:t>
      </w:r>
      <w:r>
        <w:rPr>
          <w:rFonts w:hint="eastAsia"/>
        </w:rPr>
        <w:t>7*24小时</w:t>
      </w:r>
      <w:r>
        <w:t>回答</w:t>
      </w:r>
      <w:r>
        <w:rPr>
          <w:rFonts w:hint="eastAsia"/>
        </w:rPr>
        <w:t>解决</w:t>
      </w:r>
      <w:r>
        <w:t>各类</w:t>
      </w:r>
      <w:r>
        <w:rPr>
          <w:rFonts w:hint="eastAsia"/>
        </w:rPr>
        <w:t>平台问题。</w:t>
      </w:r>
    </w:p>
    <w:p w14:paraId="6D141E4B">
      <w:pPr>
        <w:spacing w:line="360" w:lineRule="auto"/>
        <w:ind w:firstLine="420"/>
      </w:pPr>
    </w:p>
    <w:p w14:paraId="37DB1104">
      <w:pPr>
        <w:spacing w:line="360" w:lineRule="auto"/>
        <w:ind w:firstLine="420"/>
      </w:pPr>
      <w:r>
        <w:rPr>
          <w:rFonts w:hint="eastAsia"/>
        </w:rPr>
        <w:t>中招联合在</w:t>
      </w:r>
      <w:r>
        <w:t>平台运营</w:t>
      </w:r>
      <w:r>
        <w:rPr>
          <w:rFonts w:hint="eastAsia"/>
        </w:rPr>
        <w:t>服务方面</w:t>
      </w:r>
      <w:r>
        <w:t>具备丰富的经验，</w:t>
      </w:r>
      <w:r>
        <w:rPr>
          <w:rFonts w:hint="eastAsia"/>
        </w:rPr>
        <w:t>能够有效地服务全国烟草</w:t>
      </w:r>
      <w:r>
        <w:t>行业电子采购工作</w:t>
      </w:r>
      <w:r>
        <w:rPr>
          <w:rFonts w:hint="eastAsia"/>
        </w:rPr>
        <w:t>。</w:t>
      </w:r>
    </w:p>
    <w:p w14:paraId="6A28A456">
      <w:pPr>
        <w:widowControl/>
        <w:jc w:val="left"/>
      </w:pPr>
      <w:r>
        <w:br w:type="page"/>
      </w:r>
      <w:bookmarkStart w:id="14" w:name="_Toc179751531"/>
    </w:p>
    <w:p w14:paraId="343567EF">
      <w:pPr>
        <w:pStyle w:val="4"/>
        <w:numPr>
          <w:ilvl w:val="0"/>
          <w:numId w:val="7"/>
        </w:numPr>
        <w:spacing w:before="340" w:after="330" w:line="578" w:lineRule="auto"/>
        <w:rPr>
          <w:rFonts w:hint="eastAsia" w:ascii="宋体" w:hAnsi="宋体"/>
          <w:szCs w:val="32"/>
        </w:rPr>
      </w:pPr>
      <w:bookmarkStart w:id="15" w:name="_Toc180265517"/>
      <w:bookmarkStart w:id="16" w:name="_Toc180165671"/>
      <w:r>
        <w:rPr>
          <w:rFonts w:hint="eastAsia" w:ascii="宋体" w:hAnsi="宋体"/>
          <w:szCs w:val="32"/>
        </w:rPr>
        <w:t>系统功能符合度</w:t>
      </w:r>
      <w:bookmarkEnd w:id="15"/>
      <w:bookmarkEnd w:id="16"/>
    </w:p>
    <w:p w14:paraId="7FE11CDA">
      <w:pPr>
        <w:pStyle w:val="5"/>
        <w:numPr>
          <w:ilvl w:val="1"/>
          <w:numId w:val="7"/>
        </w:numPr>
        <w:spacing w:before="260" w:after="260"/>
        <w:jc w:val="both"/>
        <w:rPr>
          <w:rFonts w:hint="eastAsia" w:ascii="宋体" w:hAnsi="宋体"/>
          <w:szCs w:val="28"/>
        </w:rPr>
      </w:pPr>
      <w:bookmarkStart w:id="17" w:name="_Toc180165672"/>
      <w:r>
        <w:rPr>
          <w:rFonts w:hint="eastAsia" w:ascii="宋体" w:hAnsi="宋体"/>
          <w:szCs w:val="28"/>
        </w:rPr>
        <w:t xml:space="preserve"> </w:t>
      </w:r>
      <w:bookmarkStart w:id="18" w:name="_Toc180265518"/>
      <w:r>
        <w:rPr>
          <w:rFonts w:hint="eastAsia" w:ascii="宋体" w:hAnsi="宋体"/>
          <w:szCs w:val="28"/>
        </w:rPr>
        <w:t>招标项目、招标人、招标代理机构、投标人、专家等信息库管理功能</w:t>
      </w:r>
      <w:bookmarkEnd w:id="17"/>
      <w:bookmarkEnd w:id="18"/>
    </w:p>
    <w:p w14:paraId="7A1CE00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招标项目、招标人、招标代理机构、投标人、专家、价格等信息库，用于建立和维护各主体信息、项目信息、价格信息；各类主体信息、项目信息、价格信息实时更新，确保信息准确；支持权限管理功能，可按照个人、部门或企业三个维度设定访问权限，非授权人员不允许访问信息库中的数据。通过各信息库对接促进项目信息、价格信息、企业与人员信息互联互通，提升平台的整体协同性。</w:t>
      </w:r>
    </w:p>
    <w:p w14:paraId="40CAC701">
      <w:pPr>
        <w:pStyle w:val="6"/>
        <w:numPr>
          <w:ilvl w:val="2"/>
          <w:numId w:val="7"/>
        </w:numPr>
        <w:spacing w:before="260" w:after="260"/>
        <w:jc w:val="both"/>
        <w:rPr>
          <w:rFonts w:hint="eastAsia" w:ascii="宋体" w:hAnsi="宋体"/>
          <w:szCs w:val="24"/>
        </w:rPr>
      </w:pPr>
      <w:bookmarkStart w:id="19" w:name="_Toc180265519"/>
      <w:bookmarkStart w:id="20" w:name="_Toc180165673"/>
      <w:r>
        <w:rPr>
          <w:rFonts w:hint="eastAsia" w:ascii="宋体" w:hAnsi="宋体"/>
          <w:szCs w:val="24"/>
        </w:rPr>
        <w:t>招标项目信息库</w:t>
      </w:r>
      <w:bookmarkEnd w:id="19"/>
      <w:bookmarkEnd w:id="20"/>
    </w:p>
    <w:p w14:paraId="3E414B34">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3.1</w:t>
      </w:r>
      <w:r>
        <w:rPr>
          <w:rFonts w:hint="eastAsia" w:ascii="宋体" w:hAnsi="宋体"/>
          <w:b/>
          <w:szCs w:val="21"/>
        </w:rPr>
        <w:t>章节P</w:t>
      </w:r>
      <w:r>
        <w:rPr>
          <w:rFonts w:ascii="宋体" w:hAnsi="宋体"/>
          <w:b/>
          <w:szCs w:val="21"/>
        </w:rPr>
        <w:t>11</w:t>
      </w:r>
      <w:r>
        <w:rPr>
          <w:rFonts w:hint="eastAsia" w:ascii="宋体" w:hAnsi="宋体"/>
          <w:b/>
          <w:szCs w:val="21"/>
        </w:rPr>
        <w:t>页。</w:t>
      </w:r>
    </w:p>
    <w:p w14:paraId="69EEDB8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可使用招标信息库管理招标采购项目，招标项目信息库中收集了具体的项目信息如项目的标包详情、项目进展等；被授权人员可按照权限调阅和查询项目信息库中的信息。</w:t>
      </w:r>
    </w:p>
    <w:p w14:paraId="0B69FCB5">
      <w:pPr>
        <w:pStyle w:val="2"/>
        <w:spacing w:line="360" w:lineRule="auto"/>
        <w:ind w:left="0" w:leftChars="0"/>
        <w:rPr>
          <w:rFonts w:hint="eastAsia" w:ascii="宋体" w:hAnsi="宋体"/>
          <w:szCs w:val="21"/>
        </w:rPr>
      </w:pPr>
      <w:r>
        <w:rPr>
          <w:rFonts w:ascii="宋体" w:hAnsi="宋体" w:cstheme="minorEastAsia"/>
          <w:color w:val="000000" w:themeColor="text1"/>
          <w:szCs w:val="21"/>
          <w14:textFill>
            <w14:solidFill>
              <w14:schemeClr w14:val="tx1"/>
            </w14:solidFill>
          </w14:textFill>
        </w:rPr>
        <w:drawing>
          <wp:inline distT="0" distB="0" distL="0" distR="0">
            <wp:extent cx="5388610" cy="2396490"/>
            <wp:effectExtent l="0" t="0" r="2540" b="381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396317" cy="2400033"/>
                    </a:xfrm>
                    <a:prstGeom prst="rect">
                      <a:avLst/>
                    </a:prstGeom>
                  </pic:spPr>
                </pic:pic>
              </a:graphicData>
            </a:graphic>
          </wp:inline>
        </w:drawing>
      </w:r>
    </w:p>
    <w:p w14:paraId="7C10539D">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项目信息与标包信息管理</w:t>
      </w:r>
      <w:r>
        <w:rPr>
          <w:rFonts w:hint="eastAsia" w:ascii="宋体" w:hAnsi="宋体" w:eastAsia="宋体"/>
          <w:color w:val="000000" w:themeColor="text1"/>
          <w:szCs w:val="21"/>
          <w14:textFill>
            <w14:solidFill>
              <w14:schemeClr w14:val="tx1"/>
            </w14:solidFill>
          </w14:textFill>
        </w:rPr>
        <w:t>：用于项目、标包信息的维护、关联，实时更新项目动态；</w:t>
      </w:r>
    </w:p>
    <w:p w14:paraId="1964A027">
      <w:pPr>
        <w:pStyle w:val="73"/>
        <w:spacing w:line="360" w:lineRule="auto"/>
        <w:ind w:leftChars="-54" w:hanging="113" w:hangingChars="54"/>
        <w:rPr>
          <w:rFonts w:hint="eastAsia" w:ascii="宋体" w:hAnsi="宋体" w:eastAsia="宋体"/>
          <w:color w:val="000000" w:themeColor="text1"/>
          <w:szCs w:val="21"/>
          <w14:textFill>
            <w14:solidFill>
              <w14:schemeClr w14:val="tx1"/>
            </w14:solidFill>
          </w14:textFill>
        </w:rPr>
      </w:pPr>
      <w:r>
        <w:rPr>
          <w:rFonts w:ascii="宋体" w:hAnsi="宋体" w:eastAsia="宋体"/>
          <w:szCs w:val="21"/>
        </w:rPr>
        <w:drawing>
          <wp:inline distT="0" distB="0" distL="0" distR="0">
            <wp:extent cx="5439410" cy="2404110"/>
            <wp:effectExtent l="0" t="0" r="8890" b="0"/>
            <wp:docPr id="34859392" name="图片 348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2" name="图片 34859392"/>
                    <pic:cNvPicPr>
                      <a:picLocks noChangeAspect="1"/>
                    </pic:cNvPicPr>
                  </pic:nvPicPr>
                  <pic:blipFill>
                    <a:blip r:embed="rId12"/>
                    <a:stretch>
                      <a:fillRect/>
                    </a:stretch>
                  </pic:blipFill>
                  <pic:spPr>
                    <a:xfrm>
                      <a:off x="0" y="0"/>
                      <a:ext cx="5478804" cy="2421357"/>
                    </a:xfrm>
                    <a:prstGeom prst="rect">
                      <a:avLst/>
                    </a:prstGeom>
                  </pic:spPr>
                </pic:pic>
              </a:graphicData>
            </a:graphic>
          </wp:inline>
        </w:drawing>
      </w:r>
    </w:p>
    <w:p w14:paraId="4460C438">
      <w:pPr>
        <w:pStyle w:val="73"/>
        <w:spacing w:line="360" w:lineRule="auto"/>
        <w:ind w:leftChars="-54" w:hanging="113" w:hangingChars="54"/>
        <w:rPr>
          <w:rFonts w:hint="eastAsia" w:ascii="宋体" w:hAnsi="宋体" w:eastAsia="宋体"/>
          <w:color w:val="000000" w:themeColor="text1"/>
          <w:szCs w:val="21"/>
          <w14:textFill>
            <w14:solidFill>
              <w14:schemeClr w14:val="tx1"/>
            </w14:solidFill>
          </w14:textFill>
        </w:rPr>
      </w:pPr>
      <w:r>
        <w:rPr>
          <w:rFonts w:ascii="宋体" w:hAnsi="宋体" w:eastAsia="宋体"/>
          <w:szCs w:val="21"/>
        </w:rPr>
        <w:drawing>
          <wp:inline distT="0" distB="0" distL="0" distR="0">
            <wp:extent cx="5439410" cy="236855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3"/>
                    <a:stretch>
                      <a:fillRect/>
                    </a:stretch>
                  </pic:blipFill>
                  <pic:spPr>
                    <a:xfrm>
                      <a:off x="0" y="0"/>
                      <a:ext cx="5464449" cy="2379962"/>
                    </a:xfrm>
                    <a:prstGeom prst="rect">
                      <a:avLst/>
                    </a:prstGeom>
                  </pic:spPr>
                </pic:pic>
              </a:graphicData>
            </a:graphic>
          </wp:inline>
        </w:drawing>
      </w:r>
    </w:p>
    <w:p w14:paraId="4F548032">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项目时间信息管理</w:t>
      </w:r>
      <w:r>
        <w:rPr>
          <w:rFonts w:hint="eastAsia" w:ascii="宋体" w:hAnsi="宋体" w:eastAsia="宋体"/>
          <w:color w:val="000000" w:themeColor="text1"/>
          <w:szCs w:val="21"/>
          <w14:textFill>
            <w14:solidFill>
              <w14:schemeClr w14:val="tx1"/>
            </w14:solidFill>
          </w14:textFill>
        </w:rPr>
        <w:t>：用于管理项目时间节点如售标起止时间、开评标时间等；</w:t>
      </w:r>
    </w:p>
    <w:p w14:paraId="77C6CE8F">
      <w:pPr>
        <w:pStyle w:val="73"/>
        <w:spacing w:line="360" w:lineRule="auto"/>
        <w:ind w:leftChars="-54" w:hanging="113" w:hangingChars="54"/>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213985" cy="2855595"/>
            <wp:effectExtent l="0" t="0" r="5715" b="190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4"/>
                    <a:stretch>
                      <a:fillRect/>
                    </a:stretch>
                  </pic:blipFill>
                  <pic:spPr>
                    <a:xfrm>
                      <a:off x="0" y="0"/>
                      <a:ext cx="5225801" cy="2862599"/>
                    </a:xfrm>
                    <a:prstGeom prst="rect">
                      <a:avLst/>
                    </a:prstGeom>
                  </pic:spPr>
                </pic:pic>
              </a:graphicData>
            </a:graphic>
          </wp:inline>
        </w:drawing>
      </w:r>
    </w:p>
    <w:p w14:paraId="20EF4055">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中标信息管理</w:t>
      </w:r>
      <w:r>
        <w:rPr>
          <w:rFonts w:hint="eastAsia" w:ascii="宋体" w:hAnsi="宋体" w:eastAsia="宋体"/>
          <w:color w:val="000000" w:themeColor="text1"/>
          <w:szCs w:val="21"/>
          <w14:textFill>
            <w14:solidFill>
              <w14:schemeClr w14:val="tx1"/>
            </w14:solidFill>
          </w14:textFill>
        </w:rPr>
        <w:t>：记录项目的中标信息如中标人名称、中标金额、交易服务费等信息。</w:t>
      </w:r>
    </w:p>
    <w:p w14:paraId="1583C470">
      <w:pPr>
        <w:spacing w:line="360" w:lineRule="auto"/>
        <w:rPr>
          <w:rFonts w:hint="eastAsia" w:ascii="宋体" w:hAnsi="宋体" w:eastAsia="宋体"/>
          <w:color w:val="000000" w:themeColor="text1"/>
          <w:szCs w:val="21"/>
          <w14:textFill>
            <w14:solidFill>
              <w14:schemeClr w14:val="tx1"/>
            </w14:solidFill>
          </w14:textFill>
        </w:rPr>
      </w:pPr>
      <w:r>
        <w:rPr>
          <w:rFonts w:hint="eastAsia"/>
        </w:rPr>
        <w:drawing>
          <wp:inline distT="0" distB="0" distL="114300" distR="114300">
            <wp:extent cx="5401310" cy="1828800"/>
            <wp:effectExtent l="0" t="0" r="8890" b="0"/>
            <wp:docPr id="1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2"/>
                    <pic:cNvPicPr>
                      <a:picLocks noChangeAspect="1"/>
                    </pic:cNvPicPr>
                  </pic:nvPicPr>
                  <pic:blipFill>
                    <a:blip r:embed="rId15"/>
                    <a:stretch>
                      <a:fillRect/>
                    </a:stretch>
                  </pic:blipFill>
                  <pic:spPr>
                    <a:xfrm>
                      <a:off x="0" y="0"/>
                      <a:ext cx="5419189" cy="1834784"/>
                    </a:xfrm>
                    <a:prstGeom prst="rect">
                      <a:avLst/>
                    </a:prstGeom>
                    <a:noFill/>
                    <a:ln>
                      <a:noFill/>
                    </a:ln>
                  </pic:spPr>
                </pic:pic>
              </a:graphicData>
            </a:graphic>
          </wp:inline>
        </w:drawing>
      </w:r>
    </w:p>
    <w:p w14:paraId="7B13C211">
      <w:pPr>
        <w:pStyle w:val="6"/>
        <w:numPr>
          <w:ilvl w:val="2"/>
          <w:numId w:val="7"/>
        </w:numPr>
        <w:spacing w:before="260" w:after="260"/>
        <w:jc w:val="both"/>
        <w:rPr>
          <w:rFonts w:hint="eastAsia" w:ascii="宋体" w:hAnsi="宋体"/>
          <w:szCs w:val="24"/>
        </w:rPr>
      </w:pPr>
      <w:bookmarkStart w:id="21" w:name="_Toc180265520"/>
      <w:bookmarkStart w:id="22" w:name="_Toc180165674"/>
      <w:r>
        <w:rPr>
          <w:rFonts w:hint="eastAsia" w:ascii="宋体" w:hAnsi="宋体"/>
          <w:szCs w:val="24"/>
        </w:rPr>
        <w:t>招标人信息库</w:t>
      </w:r>
      <w:bookmarkEnd w:id="21"/>
      <w:bookmarkEnd w:id="22"/>
    </w:p>
    <w:p w14:paraId="40090E05">
      <w:pPr>
        <w:pStyle w:val="2"/>
        <w:spacing w:line="360" w:lineRule="auto"/>
        <w:ind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3.2</w:t>
      </w:r>
      <w:r>
        <w:rPr>
          <w:rFonts w:hint="eastAsia" w:ascii="宋体" w:hAnsi="宋体"/>
          <w:b/>
          <w:szCs w:val="21"/>
        </w:rPr>
        <w:t>章节 P</w:t>
      </w:r>
      <w:r>
        <w:rPr>
          <w:rFonts w:ascii="宋体" w:hAnsi="宋体"/>
          <w:b/>
          <w:szCs w:val="21"/>
        </w:rPr>
        <w:t>14</w:t>
      </w:r>
      <w:r>
        <w:rPr>
          <w:rFonts w:hint="eastAsia" w:ascii="宋体" w:hAnsi="宋体"/>
          <w:b/>
          <w:szCs w:val="21"/>
        </w:rPr>
        <w:t xml:space="preserve"> 页</w:t>
      </w:r>
    </w:p>
    <w:p w14:paraId="366BBB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可通过招标人信息库管理功能建立和维护招标人信息，包括</w:t>
      </w:r>
      <w:r>
        <w:rPr>
          <w:rFonts w:hint="eastAsia" w:ascii="宋体" w:hAnsi="宋体" w:eastAsia="宋体"/>
          <w:color w:val="000000" w:themeColor="text1"/>
          <w:szCs w:val="21"/>
          <w14:textFill>
            <w14:solidFill>
              <w14:schemeClr w14:val="tx1"/>
            </w14:solidFill>
          </w14:textFill>
        </w:rPr>
        <w:t>上</w:t>
      </w:r>
      <w:r>
        <w:rPr>
          <w:rFonts w:ascii="宋体" w:hAnsi="宋体" w:eastAsia="宋体"/>
          <w:color w:val="000000" w:themeColor="text1"/>
          <w:szCs w:val="21"/>
          <w14:textFill>
            <w14:solidFill>
              <w14:schemeClr w14:val="tx1"/>
            </w14:solidFill>
          </w14:textFill>
        </w:rPr>
        <w:t>下级单位、分支机构等。</w:t>
      </w:r>
      <w:r>
        <w:rPr>
          <w:rFonts w:hint="eastAsia" w:ascii="宋体" w:hAnsi="宋体" w:eastAsia="宋体"/>
          <w:color w:val="000000" w:themeColor="text1"/>
          <w:szCs w:val="21"/>
          <w14:textFill>
            <w14:solidFill>
              <w14:schemeClr w14:val="tx1"/>
            </w14:solidFill>
          </w14:textFill>
        </w:rPr>
        <w:t>管理员可新增招标人用户、对招标人基本信息进行编辑、账户停用等操作，也可使用招标人名称等搜索条件检索符合条件的招标人。</w:t>
      </w:r>
    </w:p>
    <w:p w14:paraId="5E103CC0">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hint="eastAsia" w:ascii="宋体" w:hAnsi="宋体" w:cstheme="minorEastAsia"/>
          <w:color w:val="000000" w:themeColor="text1"/>
          <w:szCs w:val="21"/>
          <w14:textFill>
            <w14:solidFill>
              <w14:schemeClr w14:val="tx1"/>
            </w14:solidFill>
          </w14:textFill>
        </w:rPr>
        <w:drawing>
          <wp:inline distT="0" distB="0" distL="114300" distR="114300">
            <wp:extent cx="5931535" cy="2639695"/>
            <wp:effectExtent l="0" t="0" r="12065" b="1905"/>
            <wp:docPr id="1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pic:cNvPicPr>
                      <a:picLocks noChangeAspect="1"/>
                    </pic:cNvPicPr>
                  </pic:nvPicPr>
                  <pic:blipFill>
                    <a:blip r:embed="rId16"/>
                    <a:stretch>
                      <a:fillRect/>
                    </a:stretch>
                  </pic:blipFill>
                  <pic:spPr>
                    <a:xfrm>
                      <a:off x="0" y="0"/>
                      <a:ext cx="5931535" cy="2639695"/>
                    </a:xfrm>
                    <a:prstGeom prst="rect">
                      <a:avLst/>
                    </a:prstGeom>
                    <a:noFill/>
                    <a:ln>
                      <a:noFill/>
                    </a:ln>
                  </pic:spPr>
                </pic:pic>
              </a:graphicData>
            </a:graphic>
          </wp:inline>
        </w:drawing>
      </w:r>
    </w:p>
    <w:p w14:paraId="2FF78212">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招标人信息建立与维护：</w:t>
      </w:r>
      <w:r>
        <w:rPr>
          <w:rFonts w:hint="eastAsia" w:ascii="宋体" w:hAnsi="宋体" w:eastAsia="宋体"/>
          <w:color w:val="000000" w:themeColor="text1"/>
          <w:szCs w:val="21"/>
          <w14:textFill>
            <w14:solidFill>
              <w14:schemeClr w14:val="tx1"/>
            </w14:solidFill>
          </w14:textFill>
        </w:rPr>
        <w:t>用于添加、管理招标人基本信息、分支机构信息等。</w:t>
      </w:r>
    </w:p>
    <w:p w14:paraId="4545AABB">
      <w:pPr>
        <w:spacing w:line="360" w:lineRule="auto"/>
        <w:rPr>
          <w:rFonts w:hint="eastAsia" w:ascii="宋体" w:hAnsi="宋体" w:eastAsia="宋体"/>
          <w:color w:val="000000" w:themeColor="text1"/>
          <w:szCs w:val="21"/>
          <w14:textFill>
            <w14:solidFill>
              <w14:schemeClr w14:val="tx1"/>
            </w14:solidFill>
          </w14:textFill>
        </w:rPr>
      </w:pPr>
      <w:r>
        <w:rPr>
          <w:rFonts w:hint="eastAsia"/>
        </w:rPr>
        <w:drawing>
          <wp:inline distT="0" distB="0" distL="114300" distR="114300">
            <wp:extent cx="5163820" cy="4314825"/>
            <wp:effectExtent l="0" t="0" r="0" b="0"/>
            <wp:docPr id="1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3"/>
                    <pic:cNvPicPr>
                      <a:picLocks noChangeAspect="1"/>
                    </pic:cNvPicPr>
                  </pic:nvPicPr>
                  <pic:blipFill>
                    <a:blip r:embed="rId17"/>
                    <a:stretch>
                      <a:fillRect/>
                    </a:stretch>
                  </pic:blipFill>
                  <pic:spPr>
                    <a:xfrm>
                      <a:off x="0" y="0"/>
                      <a:ext cx="5168475" cy="4318575"/>
                    </a:xfrm>
                    <a:prstGeom prst="rect">
                      <a:avLst/>
                    </a:prstGeom>
                    <a:noFill/>
                    <a:ln>
                      <a:noFill/>
                    </a:ln>
                  </pic:spPr>
                </pic:pic>
              </a:graphicData>
            </a:graphic>
          </wp:inline>
        </w:drawing>
      </w:r>
    </w:p>
    <w:p w14:paraId="1CB398A2">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招标人信息查阅：</w:t>
      </w:r>
      <w:r>
        <w:rPr>
          <w:rFonts w:hint="eastAsia" w:ascii="宋体" w:hAnsi="宋体" w:eastAsia="宋体"/>
          <w:color w:val="000000" w:themeColor="text1"/>
          <w:szCs w:val="21"/>
          <w14:textFill>
            <w14:solidFill>
              <w14:schemeClr w14:val="tx1"/>
            </w14:solidFill>
          </w14:textFill>
        </w:rPr>
        <w:t>用于查看招标人信息如企业信息、分支机构信息、人员信息等；</w:t>
      </w:r>
    </w:p>
    <w:p w14:paraId="30F34A61">
      <w:pPr>
        <w:pStyle w:val="73"/>
        <w:spacing w:line="360" w:lineRule="auto"/>
        <w:ind w:left="210" w:leftChars="100"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252345"/>
            <wp:effectExtent l="0" t="0" r="381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8"/>
                    <a:stretch>
                      <a:fillRect/>
                    </a:stretch>
                  </pic:blipFill>
                  <pic:spPr>
                    <a:xfrm>
                      <a:off x="0" y="0"/>
                      <a:ext cx="5939790" cy="2252345"/>
                    </a:xfrm>
                    <a:prstGeom prst="rect">
                      <a:avLst/>
                    </a:prstGeom>
                  </pic:spPr>
                </pic:pic>
              </a:graphicData>
            </a:graphic>
          </wp:inline>
        </w:drawing>
      </w:r>
    </w:p>
    <w:p w14:paraId="007948AE">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招标人信息统计与分析：</w:t>
      </w:r>
      <w:r>
        <w:rPr>
          <w:rFonts w:hint="eastAsia" w:ascii="宋体" w:hAnsi="宋体" w:eastAsia="宋体"/>
          <w:color w:val="000000" w:themeColor="text1"/>
          <w:szCs w:val="21"/>
          <w14:textFill>
            <w14:solidFill>
              <w14:schemeClr w14:val="tx1"/>
            </w14:solidFill>
          </w14:textFill>
        </w:rPr>
        <w:t>多维度统计分析招标人单位信息、采购情况等数据。</w:t>
      </w:r>
    </w:p>
    <w:p w14:paraId="47E5DBBB">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ascii="宋体" w:hAnsi="宋体"/>
          <w:szCs w:val="21"/>
        </w:rPr>
        <w:drawing>
          <wp:inline distT="0" distB="0" distL="0" distR="0">
            <wp:extent cx="5939790" cy="2660650"/>
            <wp:effectExtent l="0" t="0" r="3810" b="6350"/>
            <wp:docPr id="34859393" name="图片 34859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3" name="图片 34859393"/>
                    <pic:cNvPicPr>
                      <a:picLocks noChangeAspect="1"/>
                    </pic:cNvPicPr>
                  </pic:nvPicPr>
                  <pic:blipFill>
                    <a:blip r:embed="rId19"/>
                    <a:stretch>
                      <a:fillRect/>
                    </a:stretch>
                  </pic:blipFill>
                  <pic:spPr>
                    <a:xfrm>
                      <a:off x="0" y="0"/>
                      <a:ext cx="5939790" cy="2660650"/>
                    </a:xfrm>
                    <a:prstGeom prst="rect">
                      <a:avLst/>
                    </a:prstGeom>
                  </pic:spPr>
                </pic:pic>
              </a:graphicData>
            </a:graphic>
          </wp:inline>
        </w:drawing>
      </w:r>
    </w:p>
    <w:p w14:paraId="582B6854">
      <w:pPr>
        <w:snapToGrid w:val="0"/>
        <w:spacing w:line="360" w:lineRule="auto"/>
        <w:contextualSpacing/>
        <w:rPr>
          <w:rFonts w:hint="eastAsia" w:ascii="宋体" w:hAnsi="宋体" w:eastAsia="宋体" w:cs="宋体"/>
          <w:color w:val="000000" w:themeColor="text1"/>
          <w:szCs w:val="21"/>
          <w14:textFill>
            <w14:solidFill>
              <w14:schemeClr w14:val="tx1"/>
            </w14:solidFill>
          </w14:textFill>
        </w:rPr>
      </w:pPr>
    </w:p>
    <w:p w14:paraId="144E4A31">
      <w:pPr>
        <w:pStyle w:val="6"/>
        <w:numPr>
          <w:ilvl w:val="2"/>
          <w:numId w:val="7"/>
        </w:numPr>
        <w:spacing w:before="260" w:after="260"/>
        <w:jc w:val="both"/>
        <w:rPr>
          <w:rFonts w:hint="eastAsia" w:ascii="宋体" w:hAnsi="宋体"/>
          <w:szCs w:val="24"/>
        </w:rPr>
      </w:pPr>
      <w:bookmarkStart w:id="23" w:name="_Toc180265521"/>
      <w:bookmarkStart w:id="24" w:name="_Toc180165675"/>
      <w:r>
        <w:rPr>
          <w:rFonts w:hint="eastAsia" w:ascii="宋体" w:hAnsi="宋体"/>
          <w:szCs w:val="24"/>
        </w:rPr>
        <w:t>招标代理机构信息库</w:t>
      </w:r>
      <w:bookmarkEnd w:id="23"/>
      <w:bookmarkEnd w:id="24"/>
    </w:p>
    <w:p w14:paraId="1A80EDF4">
      <w:pPr>
        <w:snapToGrid w:val="0"/>
        <w:spacing w:line="360" w:lineRule="auto"/>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b/>
          <w:szCs w:val="21"/>
        </w:rPr>
        <w:t>以下为产品功能概述，具体功能详见产品手册第</w:t>
      </w:r>
      <w:r>
        <w:rPr>
          <w:rFonts w:ascii="宋体" w:hAnsi="宋体" w:eastAsia="宋体"/>
          <w:b/>
          <w:szCs w:val="21"/>
        </w:rPr>
        <w:t>3.3</w:t>
      </w:r>
      <w:r>
        <w:rPr>
          <w:rFonts w:hint="eastAsia" w:ascii="宋体" w:hAnsi="宋体" w:eastAsia="宋体"/>
          <w:b/>
          <w:szCs w:val="21"/>
        </w:rPr>
        <w:t>章节 P</w:t>
      </w:r>
      <w:r>
        <w:rPr>
          <w:rFonts w:ascii="宋体" w:hAnsi="宋体" w:eastAsia="宋体"/>
          <w:b/>
          <w:szCs w:val="21"/>
        </w:rPr>
        <w:t>18</w:t>
      </w:r>
      <w:r>
        <w:rPr>
          <w:rFonts w:hint="eastAsia" w:ascii="宋体" w:hAnsi="宋体" w:eastAsia="宋体"/>
          <w:b/>
          <w:szCs w:val="21"/>
        </w:rPr>
        <w:t xml:space="preserve"> 页</w:t>
      </w:r>
    </w:p>
    <w:p w14:paraId="5F356D4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可对招标代理机构信息</w:t>
      </w:r>
      <w:r>
        <w:rPr>
          <w:rFonts w:hint="eastAsia" w:ascii="宋体" w:hAnsi="宋体" w:eastAsia="宋体"/>
          <w:color w:val="000000" w:themeColor="text1"/>
          <w:szCs w:val="21"/>
          <w14:textFill>
            <w14:solidFill>
              <w14:schemeClr w14:val="tx1"/>
            </w14:solidFill>
          </w14:textFill>
        </w:rPr>
        <w:t>库进行维护，包括新增代理机构、审核代理机构注册信息，维护代理机构的组织架构及人员信息</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可新增或推荐入围代理机构</w:t>
      </w:r>
      <w:r>
        <w:rPr>
          <w:rFonts w:ascii="宋体" w:hAnsi="宋体" w:eastAsia="宋体"/>
          <w:color w:val="000000" w:themeColor="text1"/>
          <w:szCs w:val="21"/>
          <w14:textFill>
            <w14:solidFill>
              <w14:schemeClr w14:val="tx1"/>
            </w14:solidFill>
          </w14:textFill>
        </w:rPr>
        <w:t>，对已入围的代理机构进行管理</w:t>
      </w:r>
      <w:r>
        <w:rPr>
          <w:rFonts w:hint="eastAsia" w:ascii="宋体" w:hAnsi="宋体" w:eastAsia="宋体"/>
          <w:color w:val="000000" w:themeColor="text1"/>
          <w:szCs w:val="21"/>
          <w14:textFill>
            <w14:solidFill>
              <w14:schemeClr w14:val="tx1"/>
            </w14:solidFill>
          </w14:textFill>
        </w:rPr>
        <w:t>，查看入围代理机构的机构信息、项目情况和投诉记录，或对已</w:t>
      </w:r>
      <w:r>
        <w:rPr>
          <w:rFonts w:ascii="宋体" w:hAnsi="宋体" w:eastAsia="宋体"/>
          <w:color w:val="000000" w:themeColor="text1"/>
          <w:szCs w:val="21"/>
          <w14:textFill>
            <w14:solidFill>
              <w14:schemeClr w14:val="tx1"/>
            </w14:solidFill>
          </w14:textFill>
        </w:rPr>
        <w:t>入围</w:t>
      </w:r>
      <w:r>
        <w:rPr>
          <w:rFonts w:hint="eastAsia" w:ascii="宋体" w:hAnsi="宋体" w:eastAsia="宋体"/>
          <w:color w:val="000000" w:themeColor="text1"/>
          <w:szCs w:val="21"/>
          <w14:textFill>
            <w14:solidFill>
              <w14:schemeClr w14:val="tx1"/>
            </w14:solidFill>
          </w14:textFill>
        </w:rPr>
        <w:t>的代理机构进行淘汰或终止。</w:t>
      </w:r>
    </w:p>
    <w:p w14:paraId="1FAEFDA3">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drawing>
          <wp:inline distT="0" distB="0" distL="0" distR="0">
            <wp:extent cx="5939790" cy="2580640"/>
            <wp:effectExtent l="0" t="0" r="381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0"/>
                    <a:stretch>
                      <a:fillRect/>
                    </a:stretch>
                  </pic:blipFill>
                  <pic:spPr>
                    <a:xfrm>
                      <a:off x="0" y="0"/>
                      <a:ext cx="5939790" cy="2580640"/>
                    </a:xfrm>
                    <a:prstGeom prst="rect">
                      <a:avLst/>
                    </a:prstGeom>
                  </pic:spPr>
                </pic:pic>
              </a:graphicData>
            </a:graphic>
          </wp:inline>
        </w:drawing>
      </w:r>
    </w:p>
    <w:p w14:paraId="174527D1">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代理机构信息的建立与维护</w:t>
      </w:r>
      <w:r>
        <w:rPr>
          <w:rFonts w:hint="eastAsia" w:ascii="宋体" w:hAnsi="宋体" w:eastAsia="宋体"/>
          <w:color w:val="000000" w:themeColor="text1"/>
          <w:szCs w:val="21"/>
          <w14:textFill>
            <w14:solidFill>
              <w14:schemeClr w14:val="tx1"/>
            </w14:solidFill>
          </w14:textFill>
        </w:rPr>
        <w:t>：用于添加、管理代理机构信息，设置代理机构组织架构；</w:t>
      </w:r>
    </w:p>
    <w:p w14:paraId="531528FC">
      <w:pPr>
        <w:pStyle w:val="73"/>
        <w:spacing w:line="360" w:lineRule="auto"/>
        <w:ind w:firstLine="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830195"/>
            <wp:effectExtent l="0" t="0" r="3810" b="8255"/>
            <wp:docPr id="2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
                    <pic:cNvPicPr>
                      <a:picLocks noChangeAspect="1"/>
                    </pic:cNvPicPr>
                  </pic:nvPicPr>
                  <pic:blipFill>
                    <a:blip r:embed="rId21"/>
                    <a:stretch>
                      <a:fillRect/>
                    </a:stretch>
                  </pic:blipFill>
                  <pic:spPr>
                    <a:xfrm>
                      <a:off x="0" y="0"/>
                      <a:ext cx="5939790" cy="2830195"/>
                    </a:xfrm>
                    <a:prstGeom prst="rect">
                      <a:avLst/>
                    </a:prstGeom>
                    <a:noFill/>
                    <a:ln>
                      <a:noFill/>
                    </a:ln>
                  </pic:spPr>
                </pic:pic>
              </a:graphicData>
            </a:graphic>
          </wp:inline>
        </w:drawing>
      </w:r>
    </w:p>
    <w:p w14:paraId="6DD21DE4">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代理机构考核与评价：</w:t>
      </w:r>
      <w:r>
        <w:rPr>
          <w:rFonts w:hint="eastAsia" w:ascii="宋体" w:hAnsi="宋体" w:eastAsia="宋体"/>
          <w:color w:val="000000" w:themeColor="text1"/>
          <w:szCs w:val="21"/>
          <w14:textFill>
            <w14:solidFill>
              <w14:schemeClr w14:val="tx1"/>
            </w14:solidFill>
          </w14:textFill>
        </w:rPr>
        <w:t>包括代理机构考核、历史考核信息、代理机构黑名单等；</w:t>
      </w:r>
    </w:p>
    <w:p w14:paraId="30D1A592">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256155"/>
            <wp:effectExtent l="0" t="0" r="3810" b="0"/>
            <wp:docPr id="2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9"/>
                    <pic:cNvPicPr>
                      <a:picLocks noChangeAspect="1"/>
                    </pic:cNvPicPr>
                  </pic:nvPicPr>
                  <pic:blipFill>
                    <a:blip r:embed="rId22"/>
                    <a:stretch>
                      <a:fillRect/>
                    </a:stretch>
                  </pic:blipFill>
                  <pic:spPr>
                    <a:xfrm>
                      <a:off x="0" y="0"/>
                      <a:ext cx="5939790" cy="2256155"/>
                    </a:xfrm>
                    <a:prstGeom prst="rect">
                      <a:avLst/>
                    </a:prstGeom>
                    <a:noFill/>
                    <a:ln>
                      <a:noFill/>
                    </a:ln>
                  </pic:spPr>
                </pic:pic>
              </a:graphicData>
            </a:graphic>
          </wp:inline>
        </w:drawing>
      </w:r>
    </w:p>
    <w:p w14:paraId="75C9A1AF">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招标人员信息管理：</w:t>
      </w:r>
      <w:r>
        <w:rPr>
          <w:rFonts w:hint="eastAsia" w:ascii="宋体" w:hAnsi="宋体" w:eastAsia="宋体"/>
          <w:color w:val="000000" w:themeColor="text1"/>
          <w:szCs w:val="21"/>
          <w14:textFill>
            <w14:solidFill>
              <w14:schemeClr w14:val="tx1"/>
            </w14:solidFill>
          </w14:textFill>
        </w:rPr>
        <w:t>添加和维护招标人员信息、设置组织架构与平台权限；</w:t>
      </w:r>
    </w:p>
    <w:p w14:paraId="534CB9FF">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212340"/>
            <wp:effectExtent l="0" t="0" r="3810" b="0"/>
            <wp:docPr id="348593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4" name="图片 18"/>
                    <pic:cNvPicPr>
                      <a:picLocks noChangeAspect="1"/>
                    </pic:cNvPicPr>
                  </pic:nvPicPr>
                  <pic:blipFill>
                    <a:blip r:embed="rId23"/>
                    <a:stretch>
                      <a:fillRect/>
                    </a:stretch>
                  </pic:blipFill>
                  <pic:spPr>
                    <a:xfrm>
                      <a:off x="0" y="0"/>
                      <a:ext cx="5939790" cy="2212340"/>
                    </a:xfrm>
                    <a:prstGeom prst="rect">
                      <a:avLst/>
                    </a:prstGeom>
                    <a:noFill/>
                    <a:ln>
                      <a:noFill/>
                    </a:ln>
                  </pic:spPr>
                </pic:pic>
              </a:graphicData>
            </a:graphic>
          </wp:inline>
        </w:drawing>
      </w:r>
    </w:p>
    <w:p w14:paraId="41885C8E">
      <w:pPr>
        <w:pStyle w:val="73"/>
        <w:numPr>
          <w:ilvl w:val="0"/>
          <w:numId w:val="8"/>
        </w:numPr>
        <w:spacing w:line="360" w:lineRule="auto"/>
        <w:ind w:firstLineChars="0"/>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招标代理机构信息统计与分析：</w:t>
      </w:r>
      <w:r>
        <w:rPr>
          <w:rFonts w:hint="eastAsia" w:ascii="宋体" w:hAnsi="宋体" w:eastAsia="宋体" w:cstheme="minorEastAsia"/>
          <w:color w:val="000000" w:themeColor="text1"/>
          <w:szCs w:val="21"/>
          <w14:textFill>
            <w14:solidFill>
              <w14:schemeClr w14:val="tx1"/>
            </w14:solidFill>
          </w14:textFill>
        </w:rPr>
        <w:t>代理机构数据统计查询、统计报价等功能。</w:t>
      </w:r>
    </w:p>
    <w:p w14:paraId="27538329">
      <w:pPr>
        <w:pStyle w:val="73"/>
        <w:spacing w:line="360" w:lineRule="auto"/>
        <w:ind w:firstLine="0" w:firstLineChars="0"/>
        <w:rPr>
          <w:rFonts w:hint="eastAsia" w:ascii="宋体" w:hAnsi="宋体" w:eastAsia="宋体" w:cstheme="minorEastAsia"/>
          <w:color w:val="000000" w:themeColor="text1"/>
          <w:szCs w:val="21"/>
          <w14:textFill>
            <w14:solidFill>
              <w14:schemeClr w14:val="tx1"/>
            </w14:solidFill>
          </w14:textFill>
        </w:rPr>
      </w:pPr>
      <w:r>
        <w:rPr>
          <w:rFonts w:ascii="宋体" w:hAnsi="宋体" w:eastAsia="宋体"/>
          <w:szCs w:val="21"/>
        </w:rPr>
        <w:drawing>
          <wp:inline distT="0" distB="0" distL="0" distR="0">
            <wp:extent cx="5939790" cy="2322195"/>
            <wp:effectExtent l="0" t="0" r="3810" b="1905"/>
            <wp:docPr id="34859395" name="图片 3485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5" name="图片 34859395"/>
                    <pic:cNvPicPr>
                      <a:picLocks noChangeAspect="1"/>
                    </pic:cNvPicPr>
                  </pic:nvPicPr>
                  <pic:blipFill>
                    <a:blip r:embed="rId24"/>
                    <a:stretch>
                      <a:fillRect/>
                    </a:stretch>
                  </pic:blipFill>
                  <pic:spPr>
                    <a:xfrm>
                      <a:off x="0" y="0"/>
                      <a:ext cx="5939790" cy="2322195"/>
                    </a:xfrm>
                    <a:prstGeom prst="rect">
                      <a:avLst/>
                    </a:prstGeom>
                  </pic:spPr>
                </pic:pic>
              </a:graphicData>
            </a:graphic>
          </wp:inline>
        </w:drawing>
      </w:r>
    </w:p>
    <w:p w14:paraId="49DB91FD">
      <w:pPr>
        <w:pStyle w:val="6"/>
        <w:numPr>
          <w:ilvl w:val="2"/>
          <w:numId w:val="7"/>
        </w:numPr>
        <w:spacing w:before="260" w:after="260"/>
        <w:jc w:val="both"/>
        <w:rPr>
          <w:rFonts w:hint="eastAsia" w:ascii="宋体" w:hAnsi="宋体"/>
          <w:szCs w:val="24"/>
        </w:rPr>
      </w:pPr>
      <w:bookmarkStart w:id="25" w:name="_Toc180265522"/>
      <w:bookmarkStart w:id="26" w:name="_Toc180165676"/>
      <w:r>
        <w:rPr>
          <w:rFonts w:hint="eastAsia" w:ascii="宋体" w:hAnsi="宋体"/>
          <w:szCs w:val="24"/>
        </w:rPr>
        <w:t>投标人信息库</w:t>
      </w:r>
      <w:bookmarkEnd w:id="25"/>
      <w:bookmarkEnd w:id="26"/>
    </w:p>
    <w:p w14:paraId="077C6570">
      <w:pPr>
        <w:snapToGrid w:val="0"/>
        <w:spacing w:line="360" w:lineRule="auto"/>
        <w:contextualSpacing/>
        <w:rPr>
          <w:rFonts w:hint="eastAsia" w:ascii="宋体" w:hAnsi="宋体" w:eastAsia="宋体" w:cs="宋体"/>
          <w:b/>
          <w:color w:val="000000" w:themeColor="text1"/>
          <w:szCs w:val="21"/>
          <w14:textFill>
            <w14:solidFill>
              <w14:schemeClr w14:val="tx1"/>
            </w14:solidFill>
          </w14:textFill>
        </w:rPr>
      </w:pPr>
      <w:r>
        <w:rPr>
          <w:rFonts w:ascii="宋体" w:hAnsi="宋体" w:eastAsia="宋体"/>
          <w:b/>
          <w:szCs w:val="21"/>
        </w:rPr>
        <w:t xml:space="preserve"> </w:t>
      </w:r>
      <w:r>
        <w:rPr>
          <w:rFonts w:hint="eastAsia" w:ascii="宋体" w:hAnsi="宋体" w:eastAsia="宋体"/>
          <w:b/>
          <w:szCs w:val="21"/>
        </w:rPr>
        <w:t>以下为产品功能概述，具体功能详见产品手册第</w:t>
      </w:r>
      <w:r>
        <w:rPr>
          <w:rFonts w:ascii="宋体" w:hAnsi="宋体" w:eastAsia="宋体"/>
          <w:b/>
          <w:szCs w:val="21"/>
        </w:rPr>
        <w:t>3.4</w:t>
      </w:r>
      <w:r>
        <w:rPr>
          <w:rFonts w:hint="eastAsia" w:ascii="宋体" w:hAnsi="宋体" w:eastAsia="宋体"/>
          <w:b/>
          <w:szCs w:val="21"/>
        </w:rPr>
        <w:t>章节 P</w:t>
      </w:r>
      <w:r>
        <w:rPr>
          <w:rFonts w:ascii="宋体" w:hAnsi="宋体" w:eastAsia="宋体"/>
          <w:b/>
          <w:szCs w:val="21"/>
        </w:rPr>
        <w:t>24</w:t>
      </w:r>
      <w:r>
        <w:rPr>
          <w:rFonts w:hint="eastAsia" w:ascii="宋体" w:hAnsi="宋体" w:eastAsia="宋体"/>
          <w:b/>
          <w:szCs w:val="21"/>
        </w:rPr>
        <w:t xml:space="preserve"> 页</w:t>
      </w:r>
    </w:p>
    <w:p w14:paraId="4A4C3A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可建立投标人</w:t>
      </w:r>
      <w:r>
        <w:rPr>
          <w:rFonts w:ascii="宋体" w:hAnsi="宋体" w:eastAsia="宋体"/>
          <w:color w:val="000000" w:themeColor="text1"/>
          <w:szCs w:val="21"/>
          <w14:textFill>
            <w14:solidFill>
              <w14:schemeClr w14:val="tx1"/>
            </w14:solidFill>
          </w14:textFill>
        </w:rPr>
        <w:t>信息</w:t>
      </w:r>
      <w:r>
        <w:rPr>
          <w:rFonts w:hint="eastAsia" w:ascii="宋体" w:hAnsi="宋体" w:eastAsia="宋体"/>
          <w:color w:val="000000" w:themeColor="text1"/>
          <w:szCs w:val="21"/>
          <w14:textFill>
            <w14:solidFill>
              <w14:schemeClr w14:val="tx1"/>
            </w14:solidFill>
          </w14:textFill>
        </w:rPr>
        <w:t>库，管理本单位的投标人。管理员可新增入围投标人，查看投标人的基本信息、参与项目及黑名单记录，对已有的入围投标人进行评价或淘汰，或直接将供应商加入黑名单。</w:t>
      </w:r>
    </w:p>
    <w:p w14:paraId="697E5E22">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drawing>
          <wp:inline distT="0" distB="0" distL="0" distR="0">
            <wp:extent cx="5939790" cy="2608580"/>
            <wp:effectExtent l="0" t="0" r="3810" b="127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5"/>
                    <a:stretch>
                      <a:fillRect/>
                    </a:stretch>
                  </pic:blipFill>
                  <pic:spPr>
                    <a:xfrm>
                      <a:off x="0" y="0"/>
                      <a:ext cx="5939790" cy="2608580"/>
                    </a:xfrm>
                    <a:prstGeom prst="rect">
                      <a:avLst/>
                    </a:prstGeom>
                  </pic:spPr>
                </pic:pic>
              </a:graphicData>
            </a:graphic>
          </wp:inline>
        </w:drawing>
      </w:r>
    </w:p>
    <w:p w14:paraId="2FEE20BC">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投标人信息建立与维护：</w:t>
      </w:r>
      <w:r>
        <w:rPr>
          <w:rFonts w:hint="eastAsia" w:ascii="宋体" w:hAnsi="宋体" w:eastAsia="宋体"/>
          <w:color w:val="000000" w:themeColor="text1"/>
          <w:szCs w:val="21"/>
          <w14:textFill>
            <w14:solidFill>
              <w14:schemeClr w14:val="tx1"/>
            </w14:solidFill>
          </w14:textFill>
        </w:rPr>
        <w:t>用于添加和管理投标人信息；</w:t>
      </w:r>
    </w:p>
    <w:p w14:paraId="5D6A92BA">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366010"/>
            <wp:effectExtent l="0" t="0" r="3810" b="0"/>
            <wp:docPr id="2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3"/>
                    <pic:cNvPicPr>
                      <a:picLocks noChangeAspect="1"/>
                    </pic:cNvPicPr>
                  </pic:nvPicPr>
                  <pic:blipFill>
                    <a:blip r:embed="rId26"/>
                    <a:stretch>
                      <a:fillRect/>
                    </a:stretch>
                  </pic:blipFill>
                  <pic:spPr>
                    <a:xfrm>
                      <a:off x="0" y="0"/>
                      <a:ext cx="5939790" cy="2366010"/>
                    </a:xfrm>
                    <a:prstGeom prst="rect">
                      <a:avLst/>
                    </a:prstGeom>
                    <a:noFill/>
                    <a:ln>
                      <a:noFill/>
                    </a:ln>
                  </pic:spPr>
                </pic:pic>
              </a:graphicData>
            </a:graphic>
          </wp:inline>
        </w:drawing>
      </w:r>
    </w:p>
    <w:p w14:paraId="5C8BDFE1">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投标人信息归集：</w:t>
      </w:r>
      <w:r>
        <w:rPr>
          <w:rFonts w:hint="eastAsia" w:ascii="宋体" w:hAnsi="宋体" w:eastAsia="宋体"/>
          <w:color w:val="000000" w:themeColor="text1"/>
          <w:szCs w:val="21"/>
          <w14:textFill>
            <w14:solidFill>
              <w14:schemeClr w14:val="tx1"/>
            </w14:solidFill>
          </w14:textFill>
        </w:rPr>
        <w:t>收集、分类、汇总投标人综合信息，用于后续统计分析；</w:t>
      </w:r>
    </w:p>
    <w:p w14:paraId="7D18B3AB">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ascii="宋体" w:hAnsi="宋体" w:eastAsia="宋体"/>
          <w:szCs w:val="21"/>
        </w:rPr>
        <w:drawing>
          <wp:inline distT="0" distB="0" distL="0" distR="0">
            <wp:extent cx="5939790" cy="2638425"/>
            <wp:effectExtent l="0" t="0" r="3810" b="9525"/>
            <wp:docPr id="34859396" name="图片 3485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6" name="图片 34859396"/>
                    <pic:cNvPicPr>
                      <a:picLocks noChangeAspect="1"/>
                    </pic:cNvPicPr>
                  </pic:nvPicPr>
                  <pic:blipFill>
                    <a:blip r:embed="rId27"/>
                    <a:stretch>
                      <a:fillRect/>
                    </a:stretch>
                  </pic:blipFill>
                  <pic:spPr>
                    <a:xfrm>
                      <a:off x="0" y="0"/>
                      <a:ext cx="5939790" cy="2638425"/>
                    </a:xfrm>
                    <a:prstGeom prst="rect">
                      <a:avLst/>
                    </a:prstGeom>
                  </pic:spPr>
                </pic:pic>
              </a:graphicData>
            </a:graphic>
          </wp:inline>
        </w:drawing>
      </w:r>
    </w:p>
    <w:p w14:paraId="37B1ADC5">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投标人信息检索和统计分析：</w:t>
      </w:r>
      <w:r>
        <w:rPr>
          <w:rFonts w:hint="eastAsia" w:ascii="宋体" w:hAnsi="宋体" w:eastAsia="宋体"/>
          <w:color w:val="000000" w:themeColor="text1"/>
          <w:szCs w:val="21"/>
          <w14:textFill>
            <w14:solidFill>
              <w14:schemeClr w14:val="tx1"/>
            </w14:solidFill>
          </w14:textFill>
        </w:rPr>
        <w:t>投标人企业信息、参投情况、中标金额等统计分析功能；</w:t>
      </w:r>
    </w:p>
    <w:p w14:paraId="366421C7">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ascii="宋体" w:hAnsi="宋体" w:eastAsia="宋体"/>
          <w:szCs w:val="21"/>
        </w:rPr>
        <w:drawing>
          <wp:inline distT="0" distB="0" distL="0" distR="0">
            <wp:extent cx="5939790" cy="2613025"/>
            <wp:effectExtent l="0" t="0" r="3810" b="0"/>
            <wp:docPr id="34859397" name="图片 348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7" name="图片 34859397"/>
                    <pic:cNvPicPr>
                      <a:picLocks noChangeAspect="1"/>
                    </pic:cNvPicPr>
                  </pic:nvPicPr>
                  <pic:blipFill>
                    <a:blip r:embed="rId28"/>
                    <a:stretch>
                      <a:fillRect/>
                    </a:stretch>
                  </pic:blipFill>
                  <pic:spPr>
                    <a:xfrm>
                      <a:off x="0" y="0"/>
                      <a:ext cx="5939790" cy="2613025"/>
                    </a:xfrm>
                    <a:prstGeom prst="rect">
                      <a:avLst/>
                    </a:prstGeom>
                  </pic:spPr>
                </pic:pic>
              </a:graphicData>
            </a:graphic>
          </wp:inline>
        </w:drawing>
      </w:r>
    </w:p>
    <w:p w14:paraId="3A70A683">
      <w:pPr>
        <w:pStyle w:val="73"/>
        <w:numPr>
          <w:ilvl w:val="0"/>
          <w:numId w:val="8"/>
        </w:numPr>
        <w:spacing w:line="360" w:lineRule="auto"/>
        <w:ind w:firstLineChars="0"/>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投标人考核与黑名单：</w:t>
      </w:r>
      <w:r>
        <w:rPr>
          <w:rFonts w:hint="eastAsia" w:ascii="宋体" w:hAnsi="宋体" w:eastAsia="宋体" w:cstheme="minorEastAsia"/>
          <w:color w:val="000000" w:themeColor="text1"/>
          <w:szCs w:val="21"/>
          <w14:textFill>
            <w14:solidFill>
              <w14:schemeClr w14:val="tx1"/>
            </w14:solidFill>
          </w14:textFill>
        </w:rPr>
        <w:t>包括投标人评级、淘汰、加入黑名单等功能。</w:t>
      </w:r>
    </w:p>
    <w:p w14:paraId="0EB0B38E">
      <w:pPr>
        <w:spacing w:line="360" w:lineRule="auto"/>
        <w:rPr>
          <w:rFonts w:hint="eastAsia" w:ascii="宋体" w:hAnsi="宋体" w:eastAsia="宋体" w:cstheme="minorEastAsia"/>
          <w:color w:val="000000" w:themeColor="text1"/>
          <w:szCs w:val="21"/>
          <w14:textFill>
            <w14:solidFill>
              <w14:schemeClr w14:val="tx1"/>
            </w14:solidFill>
          </w14:textFill>
        </w:rPr>
      </w:pPr>
      <w:r>
        <w:rPr>
          <w:rFonts w:hint="eastAsia"/>
        </w:rPr>
        <w:drawing>
          <wp:inline distT="0" distB="0" distL="114300" distR="114300">
            <wp:extent cx="4086225" cy="3552190"/>
            <wp:effectExtent l="0" t="0" r="0" b="0"/>
            <wp:docPr id="30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19"/>
                    <pic:cNvPicPr>
                      <a:picLocks noChangeAspect="1"/>
                    </pic:cNvPicPr>
                  </pic:nvPicPr>
                  <pic:blipFill>
                    <a:blip r:embed="rId29"/>
                    <a:stretch>
                      <a:fillRect/>
                    </a:stretch>
                  </pic:blipFill>
                  <pic:spPr>
                    <a:xfrm>
                      <a:off x="0" y="0"/>
                      <a:ext cx="4096346" cy="3561511"/>
                    </a:xfrm>
                    <a:prstGeom prst="rect">
                      <a:avLst/>
                    </a:prstGeom>
                    <a:noFill/>
                    <a:ln>
                      <a:noFill/>
                    </a:ln>
                  </pic:spPr>
                </pic:pic>
              </a:graphicData>
            </a:graphic>
          </wp:inline>
        </w:drawing>
      </w:r>
    </w:p>
    <w:p w14:paraId="2BE4F866">
      <w:pPr>
        <w:pStyle w:val="6"/>
        <w:numPr>
          <w:ilvl w:val="2"/>
          <w:numId w:val="7"/>
        </w:numPr>
        <w:spacing w:before="260" w:after="260"/>
        <w:jc w:val="both"/>
        <w:rPr>
          <w:rFonts w:hint="eastAsia" w:ascii="宋体" w:hAnsi="宋体"/>
          <w:szCs w:val="24"/>
        </w:rPr>
      </w:pPr>
      <w:bookmarkStart w:id="27" w:name="_Toc180265523"/>
      <w:bookmarkStart w:id="28" w:name="_Toc180165677"/>
      <w:r>
        <w:rPr>
          <w:rFonts w:hint="eastAsia" w:ascii="宋体" w:hAnsi="宋体"/>
          <w:szCs w:val="24"/>
        </w:rPr>
        <w:t>专家信息库</w:t>
      </w:r>
      <w:bookmarkEnd w:id="27"/>
      <w:bookmarkEnd w:id="28"/>
    </w:p>
    <w:p w14:paraId="0A1A222C">
      <w:pPr>
        <w:snapToGrid w:val="0"/>
        <w:spacing w:line="360" w:lineRule="auto"/>
        <w:contextualSpacing/>
        <w:rPr>
          <w:rFonts w:hint="eastAsia" w:ascii="宋体" w:hAnsi="宋体" w:eastAsia="宋体" w:cs="宋体"/>
          <w:b/>
          <w:color w:val="000000" w:themeColor="text1"/>
          <w:szCs w:val="21"/>
          <w14:textFill>
            <w14:solidFill>
              <w14:schemeClr w14:val="tx1"/>
            </w14:solidFill>
          </w14:textFill>
        </w:rPr>
      </w:pPr>
      <w:r>
        <w:rPr>
          <w:rFonts w:ascii="宋体" w:hAnsi="宋体" w:eastAsia="宋体"/>
          <w:b/>
          <w:szCs w:val="21"/>
        </w:rPr>
        <w:t xml:space="preserve"> </w:t>
      </w:r>
      <w:r>
        <w:rPr>
          <w:rFonts w:hint="eastAsia" w:ascii="宋体" w:hAnsi="宋体" w:eastAsia="宋体"/>
          <w:b/>
          <w:szCs w:val="21"/>
        </w:rPr>
        <w:t>以下为产品功能概述，具体功能详见产品手册第</w:t>
      </w:r>
      <w:r>
        <w:rPr>
          <w:rFonts w:ascii="宋体" w:hAnsi="宋体" w:eastAsia="宋体"/>
          <w:b/>
          <w:szCs w:val="21"/>
        </w:rPr>
        <w:t>3.5</w:t>
      </w:r>
      <w:r>
        <w:rPr>
          <w:rFonts w:hint="eastAsia" w:ascii="宋体" w:hAnsi="宋体" w:eastAsia="宋体"/>
          <w:b/>
          <w:szCs w:val="21"/>
        </w:rPr>
        <w:t>章节 P</w:t>
      </w:r>
      <w:r>
        <w:rPr>
          <w:rFonts w:ascii="宋体" w:hAnsi="宋体" w:eastAsia="宋体"/>
          <w:b/>
          <w:szCs w:val="21"/>
        </w:rPr>
        <w:t>29</w:t>
      </w:r>
      <w:r>
        <w:rPr>
          <w:rFonts w:hint="eastAsia" w:ascii="宋体" w:hAnsi="宋体" w:eastAsia="宋体"/>
          <w:b/>
          <w:szCs w:val="21"/>
        </w:rPr>
        <w:t>页</w:t>
      </w:r>
    </w:p>
    <w:p w14:paraId="279D9F8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可建立专家库，</w:t>
      </w:r>
      <w:r>
        <w:rPr>
          <w:rFonts w:ascii="宋体" w:hAnsi="宋体" w:eastAsia="宋体"/>
          <w:color w:val="000000" w:themeColor="text1"/>
          <w:szCs w:val="21"/>
          <w14:textFill>
            <w14:solidFill>
              <w14:schemeClr w14:val="tx1"/>
            </w14:solidFill>
          </w14:textFill>
        </w:rPr>
        <w:t>维护</w:t>
      </w:r>
      <w:r>
        <w:rPr>
          <w:rFonts w:hint="eastAsia" w:ascii="宋体" w:hAnsi="宋体" w:eastAsia="宋体"/>
          <w:color w:val="000000" w:themeColor="text1"/>
          <w:szCs w:val="21"/>
          <w14:textFill>
            <w14:solidFill>
              <w14:schemeClr w14:val="tx1"/>
            </w14:solidFill>
          </w14:textFill>
        </w:rPr>
        <w:t>专家信息，按照设置的评标委员会组建条件及专家抽取条件从专家库中抽取专家，并使用人工、短信或语音的方式对专家进行通知。</w:t>
      </w:r>
    </w:p>
    <w:p w14:paraId="64FE5BC1">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drawing>
          <wp:inline distT="0" distB="0" distL="0" distR="0">
            <wp:extent cx="5939790" cy="2632710"/>
            <wp:effectExtent l="0" t="0" r="381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939790" cy="2632710"/>
                    </a:xfrm>
                    <a:prstGeom prst="rect">
                      <a:avLst/>
                    </a:prstGeom>
                  </pic:spPr>
                </pic:pic>
              </a:graphicData>
            </a:graphic>
          </wp:inline>
        </w:drawing>
      </w:r>
    </w:p>
    <w:p w14:paraId="0D12E72A">
      <w:pPr>
        <w:pStyle w:val="73"/>
        <w:numPr>
          <w:ilvl w:val="0"/>
          <w:numId w:val="8"/>
        </w:numPr>
        <w:spacing w:line="360" w:lineRule="auto"/>
        <w:ind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专家信息建立和维护：</w:t>
      </w:r>
      <w:r>
        <w:rPr>
          <w:rFonts w:hint="eastAsia" w:ascii="宋体" w:hAnsi="宋体" w:eastAsia="宋体"/>
          <w:color w:val="000000" w:themeColor="text1"/>
          <w:szCs w:val="21"/>
          <w14:textFill>
            <w14:solidFill>
              <w14:schemeClr w14:val="tx1"/>
            </w14:solidFill>
          </w14:textFill>
        </w:rPr>
        <w:t>添加、查看、管理专家基本信息；</w:t>
      </w:r>
    </w:p>
    <w:p w14:paraId="293AE6E3">
      <w:pPr>
        <w:pStyle w:val="73"/>
        <w:spacing w:line="360" w:lineRule="auto"/>
        <w:ind w:left="210" w:leftChars="100" w:firstLine="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973705"/>
            <wp:effectExtent l="0" t="0" r="3810" b="0"/>
            <wp:docPr id="3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6"/>
                    <pic:cNvPicPr>
                      <a:picLocks noChangeAspect="1"/>
                    </pic:cNvPicPr>
                  </pic:nvPicPr>
                  <pic:blipFill>
                    <a:blip r:embed="rId31"/>
                    <a:stretch>
                      <a:fillRect/>
                    </a:stretch>
                  </pic:blipFill>
                  <pic:spPr>
                    <a:xfrm>
                      <a:off x="0" y="0"/>
                      <a:ext cx="5939790" cy="2973705"/>
                    </a:xfrm>
                    <a:prstGeom prst="rect">
                      <a:avLst/>
                    </a:prstGeom>
                    <a:noFill/>
                    <a:ln>
                      <a:noFill/>
                    </a:ln>
                  </pic:spPr>
                </pic:pic>
              </a:graphicData>
            </a:graphic>
          </wp:inline>
        </w:drawing>
      </w:r>
    </w:p>
    <w:p w14:paraId="53B867E2">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专家入库审核：</w:t>
      </w:r>
      <w:r>
        <w:rPr>
          <w:rFonts w:hint="eastAsia" w:ascii="宋体" w:hAnsi="宋体" w:eastAsia="宋体"/>
          <w:color w:val="000000" w:themeColor="text1"/>
          <w:szCs w:val="21"/>
          <w14:textFill>
            <w14:solidFill>
              <w14:schemeClr w14:val="tx1"/>
            </w14:solidFill>
          </w14:textFill>
        </w:rPr>
        <w:t>管理专家入库信息、变更日志、责任人记录；</w:t>
      </w:r>
    </w:p>
    <w:p w14:paraId="647625A3">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885440"/>
            <wp:effectExtent l="0" t="0" r="3810" b="0"/>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576"/>
                    <pic:cNvPicPr>
                      <a:picLocks noChangeAspect="1"/>
                    </pic:cNvPicPr>
                  </pic:nvPicPr>
                  <pic:blipFill>
                    <a:blip r:embed="rId32"/>
                    <a:stretch>
                      <a:fillRect/>
                    </a:stretch>
                  </pic:blipFill>
                  <pic:spPr>
                    <a:xfrm>
                      <a:off x="0" y="0"/>
                      <a:ext cx="5939790" cy="2885440"/>
                    </a:xfrm>
                    <a:prstGeom prst="rect">
                      <a:avLst/>
                    </a:prstGeom>
                  </pic:spPr>
                </pic:pic>
              </a:graphicData>
            </a:graphic>
          </wp:inline>
        </w:drawing>
      </w:r>
    </w:p>
    <w:p w14:paraId="238EC492">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专家单位管理：</w:t>
      </w:r>
      <w:r>
        <w:rPr>
          <w:rFonts w:hint="eastAsia" w:ascii="宋体" w:hAnsi="宋体" w:eastAsia="宋体"/>
          <w:color w:val="000000" w:themeColor="text1"/>
          <w:szCs w:val="21"/>
          <w14:textFill>
            <w14:solidFill>
              <w14:schemeClr w14:val="tx1"/>
            </w14:solidFill>
          </w14:textFill>
        </w:rPr>
        <w:t>单位列表建立、专家回避情形维护；</w:t>
      </w:r>
    </w:p>
    <w:p w14:paraId="3717CD29">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977515"/>
            <wp:effectExtent l="0" t="0" r="3810" b="0"/>
            <wp:docPr id="3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7"/>
                    <pic:cNvPicPr>
                      <a:picLocks noChangeAspect="1"/>
                    </pic:cNvPicPr>
                  </pic:nvPicPr>
                  <pic:blipFill>
                    <a:blip r:embed="rId33"/>
                    <a:stretch>
                      <a:fillRect/>
                    </a:stretch>
                  </pic:blipFill>
                  <pic:spPr>
                    <a:xfrm>
                      <a:off x="0" y="0"/>
                      <a:ext cx="5939790" cy="2977515"/>
                    </a:xfrm>
                    <a:prstGeom prst="rect">
                      <a:avLst/>
                    </a:prstGeom>
                    <a:noFill/>
                    <a:ln>
                      <a:noFill/>
                    </a:ln>
                  </pic:spPr>
                </pic:pic>
              </a:graphicData>
            </a:graphic>
          </wp:inline>
        </w:drawing>
      </w:r>
    </w:p>
    <w:p w14:paraId="2726799C">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专家抽取：</w:t>
      </w:r>
      <w:r>
        <w:rPr>
          <w:rFonts w:hint="eastAsia" w:ascii="宋体" w:hAnsi="宋体" w:eastAsia="宋体"/>
          <w:color w:val="000000" w:themeColor="text1"/>
          <w:szCs w:val="21"/>
          <w14:textFill>
            <w14:solidFill>
              <w14:schemeClr w14:val="tx1"/>
            </w14:solidFill>
          </w14:textFill>
        </w:rPr>
        <w:t>专家随机抽取、语音与短信通知、专家请假、专家抽取记录；</w:t>
      </w:r>
    </w:p>
    <w:p w14:paraId="0A1415BD">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0" distR="0">
            <wp:extent cx="5939790" cy="1622425"/>
            <wp:effectExtent l="0" t="0" r="3810" b="0"/>
            <wp:docPr id="71" name="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png"/>
                    <pic:cNvPicPr>
                      <a:picLocks noChangeAspect="1"/>
                    </pic:cNvPicPr>
                  </pic:nvPicPr>
                  <pic:blipFill>
                    <a:blip r:embed="rId34"/>
                    <a:stretch>
                      <a:fillRect/>
                    </a:stretch>
                  </pic:blipFill>
                  <pic:spPr>
                    <a:xfrm>
                      <a:off x="0" y="0"/>
                      <a:ext cx="5939790" cy="1622425"/>
                    </a:xfrm>
                    <a:prstGeom prst="rect">
                      <a:avLst/>
                    </a:prstGeom>
                  </pic:spPr>
                </pic:pic>
              </a:graphicData>
            </a:graphic>
          </wp:inline>
        </w:drawing>
      </w:r>
    </w:p>
    <w:p w14:paraId="3F92B2C0">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自荐入库、专家考核与培训：</w:t>
      </w:r>
      <w:r>
        <w:rPr>
          <w:rFonts w:hint="eastAsia" w:ascii="宋体" w:hAnsi="宋体" w:eastAsia="宋体"/>
          <w:color w:val="000000" w:themeColor="text1"/>
          <w:szCs w:val="21"/>
          <w14:textFill>
            <w14:solidFill>
              <w14:schemeClr w14:val="tx1"/>
            </w14:solidFill>
          </w14:textFill>
        </w:rPr>
        <w:t>专家课程培训、培训记录、专家考核、专家黑名单；</w:t>
      </w:r>
    </w:p>
    <w:p w14:paraId="79E04757">
      <w:pPr>
        <w:snapToGrid w:val="0"/>
        <w:spacing w:line="360" w:lineRule="auto"/>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4765675"/>
            <wp:effectExtent l="0" t="0" r="3810" b="0"/>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spect="1"/>
                    </pic:cNvPicPr>
                  </pic:nvPicPr>
                  <pic:blipFill>
                    <a:blip r:embed="rId35"/>
                    <a:stretch>
                      <a:fillRect/>
                    </a:stretch>
                  </pic:blipFill>
                  <pic:spPr>
                    <a:xfrm>
                      <a:off x="0" y="0"/>
                      <a:ext cx="5939790" cy="4765675"/>
                    </a:xfrm>
                    <a:prstGeom prst="rect">
                      <a:avLst/>
                    </a:prstGeom>
                  </pic:spPr>
                </pic:pic>
              </a:graphicData>
            </a:graphic>
          </wp:inline>
        </w:drawing>
      </w:r>
    </w:p>
    <w:p w14:paraId="2C1DBB69">
      <w:pPr>
        <w:pStyle w:val="2"/>
        <w:spacing w:line="360" w:lineRule="auto"/>
        <w:ind w:left="0" w:leftChars="0"/>
        <w:rPr>
          <w:rFonts w:hint="eastAsia" w:ascii="宋体" w:hAnsi="宋体"/>
          <w:szCs w:val="21"/>
        </w:rPr>
      </w:pPr>
      <w:r>
        <w:rPr>
          <w:rFonts w:hint="eastAsia" w:ascii="宋体" w:hAnsi="宋体" w:cs="宋体"/>
          <w:szCs w:val="21"/>
        </w:rPr>
        <w:drawing>
          <wp:inline distT="0" distB="0" distL="114300" distR="114300">
            <wp:extent cx="5939790" cy="3812540"/>
            <wp:effectExtent l="0" t="0" r="3810" b="0"/>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575"/>
                    <pic:cNvPicPr>
                      <a:picLocks noChangeAspect="1"/>
                    </pic:cNvPicPr>
                  </pic:nvPicPr>
                  <pic:blipFill>
                    <a:blip r:embed="rId36"/>
                    <a:stretch>
                      <a:fillRect/>
                    </a:stretch>
                  </pic:blipFill>
                  <pic:spPr>
                    <a:xfrm>
                      <a:off x="0" y="0"/>
                      <a:ext cx="5939790" cy="3812540"/>
                    </a:xfrm>
                    <a:prstGeom prst="rect">
                      <a:avLst/>
                    </a:prstGeom>
                  </pic:spPr>
                </pic:pic>
              </a:graphicData>
            </a:graphic>
          </wp:inline>
        </w:drawing>
      </w:r>
    </w:p>
    <w:p w14:paraId="0BAB66B7">
      <w:pPr>
        <w:pStyle w:val="6"/>
        <w:numPr>
          <w:ilvl w:val="2"/>
          <w:numId w:val="7"/>
        </w:numPr>
        <w:spacing w:before="260" w:after="260"/>
        <w:jc w:val="both"/>
        <w:rPr>
          <w:rFonts w:hint="eastAsia" w:ascii="宋体" w:hAnsi="宋体"/>
          <w:szCs w:val="24"/>
        </w:rPr>
      </w:pPr>
      <w:bookmarkStart w:id="29" w:name="_Toc180265524"/>
      <w:bookmarkStart w:id="30" w:name="_Toc180165678"/>
      <w:r>
        <w:rPr>
          <w:rFonts w:hint="eastAsia" w:ascii="宋体" w:hAnsi="宋体"/>
          <w:szCs w:val="24"/>
        </w:rPr>
        <w:t>价格信息库管理</w:t>
      </w:r>
      <w:bookmarkEnd w:id="29"/>
      <w:bookmarkEnd w:id="30"/>
    </w:p>
    <w:p w14:paraId="49903D77">
      <w:pPr>
        <w:snapToGrid w:val="0"/>
        <w:spacing w:line="360" w:lineRule="auto"/>
        <w:contextualSpacing/>
        <w:rPr>
          <w:rFonts w:hint="eastAsia" w:ascii="宋体" w:hAnsi="宋体" w:eastAsia="宋体" w:cs="宋体"/>
          <w:b/>
          <w:color w:val="000000" w:themeColor="text1"/>
          <w:szCs w:val="21"/>
          <w14:textFill>
            <w14:solidFill>
              <w14:schemeClr w14:val="tx1"/>
            </w14:solidFill>
          </w14:textFill>
        </w:rPr>
      </w:pPr>
      <w:r>
        <w:rPr>
          <w:rFonts w:ascii="宋体" w:hAnsi="宋体" w:eastAsia="宋体"/>
          <w:szCs w:val="21"/>
        </w:rPr>
        <w:t xml:space="preserve"> </w:t>
      </w:r>
      <w:r>
        <w:rPr>
          <w:rFonts w:hint="eastAsia" w:ascii="宋体" w:hAnsi="宋体" w:eastAsia="宋体"/>
          <w:b/>
          <w:szCs w:val="21"/>
        </w:rPr>
        <w:t>以下为产品功能概述，具体功能详见产品手册第</w:t>
      </w:r>
      <w:r>
        <w:rPr>
          <w:rFonts w:ascii="宋体" w:hAnsi="宋体" w:eastAsia="宋体"/>
          <w:b/>
          <w:szCs w:val="21"/>
        </w:rPr>
        <w:t>3.6</w:t>
      </w:r>
      <w:r>
        <w:rPr>
          <w:rFonts w:hint="eastAsia" w:ascii="宋体" w:hAnsi="宋体" w:eastAsia="宋体"/>
          <w:b/>
          <w:szCs w:val="21"/>
        </w:rPr>
        <w:t>章节 P</w:t>
      </w:r>
      <w:r>
        <w:rPr>
          <w:rFonts w:ascii="宋体" w:hAnsi="宋体" w:eastAsia="宋体"/>
          <w:b/>
          <w:szCs w:val="21"/>
        </w:rPr>
        <w:t>37</w:t>
      </w:r>
      <w:r>
        <w:rPr>
          <w:rFonts w:hint="eastAsia" w:ascii="宋体" w:hAnsi="宋体" w:eastAsia="宋体"/>
          <w:b/>
          <w:szCs w:val="21"/>
        </w:rPr>
        <w:t>页</w:t>
      </w:r>
    </w:p>
    <w:p w14:paraId="3D92E6E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自动获取平台内项目中出现过的标品信息，自动收集标品的规格型号、品牌、制造商、投标人等信息，并根据开标一览表或结果公示中披露的信息，不断更新该标品的历史成交单价，对于某一产品时间段内的成交价格走势及成交量提供趋势分析，为产品定价、招标决策提供数据支撑。</w:t>
      </w:r>
    </w:p>
    <w:p w14:paraId="47B1229B">
      <w:pPr>
        <w:pStyle w:val="73"/>
        <w:numPr>
          <w:ilvl w:val="0"/>
          <w:numId w:val="8"/>
        </w:numPr>
        <w:spacing w:line="360" w:lineRule="auto"/>
        <w:ind w:firstLineChars="0"/>
        <w:rPr>
          <w:rFonts w:hint="eastAsia" w:ascii="宋体" w:hAnsi="宋体" w:eastAsia="宋体" w:cstheme="minorEastAsia"/>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价格信息归集：</w:t>
      </w:r>
      <w:r>
        <w:rPr>
          <w:rFonts w:hint="eastAsia" w:ascii="宋体" w:hAnsi="宋体" w:eastAsia="宋体"/>
          <w:color w:val="000000" w:themeColor="text1"/>
          <w:szCs w:val="21"/>
          <w14:textFill>
            <w14:solidFill>
              <w14:schemeClr w14:val="tx1"/>
            </w14:solidFill>
          </w14:textFill>
        </w:rPr>
        <w:t>工程</w:t>
      </w:r>
      <w:r>
        <w:rPr>
          <w:rFonts w:hint="eastAsia" w:ascii="宋体" w:hAnsi="宋体" w:eastAsia="宋体" w:cstheme="minorEastAsia"/>
          <w:color w:val="000000" w:themeColor="text1"/>
          <w:szCs w:val="21"/>
          <w14:textFill>
            <w14:solidFill>
              <w14:schemeClr w14:val="tx1"/>
            </w14:solidFill>
          </w14:textFill>
        </w:rPr>
        <w:t>、货物、服务各类单价信息入库与信息归集</w:t>
      </w:r>
    </w:p>
    <w:p w14:paraId="7189635B">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价格信息查询：</w:t>
      </w:r>
      <w:r>
        <w:rPr>
          <w:rFonts w:hint="eastAsia" w:ascii="宋体" w:hAnsi="宋体" w:eastAsia="宋体"/>
          <w:color w:val="000000" w:themeColor="text1"/>
          <w:szCs w:val="21"/>
          <w14:textFill>
            <w14:solidFill>
              <w14:schemeClr w14:val="tx1"/>
            </w14:solidFill>
          </w14:textFill>
        </w:rPr>
        <w:t>按照行业、品目等条件查询单价信息</w:t>
      </w:r>
    </w:p>
    <w:p w14:paraId="3EB58C1A">
      <w:pPr>
        <w:pStyle w:val="73"/>
        <w:numPr>
          <w:ilvl w:val="0"/>
          <w:numId w:val="8"/>
        </w:numPr>
        <w:spacing w:line="360" w:lineRule="auto"/>
        <w:ind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统计分析：</w:t>
      </w:r>
      <w:r>
        <w:rPr>
          <w:rFonts w:hint="eastAsia" w:ascii="宋体" w:hAnsi="宋体" w:eastAsia="宋体"/>
          <w:color w:val="000000" w:themeColor="text1"/>
          <w:szCs w:val="21"/>
          <w14:textFill>
            <w14:solidFill>
              <w14:schemeClr w14:val="tx1"/>
            </w14:solidFill>
          </w14:textFill>
        </w:rPr>
        <w:t>提供统计报表、单价趋势分析功能</w:t>
      </w:r>
    </w:p>
    <w:p w14:paraId="55CC869A">
      <w:pPr>
        <w:pStyle w:val="73"/>
        <w:spacing w:line="360" w:lineRule="auto"/>
        <w:ind w:firstLine="0" w:firstLineChars="0"/>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szCs w:val="21"/>
        </w:rPr>
        <w:drawing>
          <wp:inline distT="0" distB="0" distL="114300" distR="114300">
            <wp:extent cx="5939790" cy="2125345"/>
            <wp:effectExtent l="0" t="0" r="3810" b="8255"/>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87"/>
                    <pic:cNvPicPr>
                      <a:picLocks noChangeAspect="1"/>
                    </pic:cNvPicPr>
                  </pic:nvPicPr>
                  <pic:blipFill>
                    <a:blip r:embed="rId37"/>
                    <a:srcRect t="40039"/>
                    <a:stretch>
                      <a:fillRect/>
                    </a:stretch>
                  </pic:blipFill>
                  <pic:spPr>
                    <a:xfrm>
                      <a:off x="0" y="0"/>
                      <a:ext cx="5939790" cy="2125345"/>
                    </a:xfrm>
                    <a:prstGeom prst="rect">
                      <a:avLst/>
                    </a:prstGeom>
                    <a:ln>
                      <a:noFill/>
                    </a:ln>
                  </pic:spPr>
                </pic:pic>
              </a:graphicData>
            </a:graphic>
          </wp:inline>
        </w:drawing>
      </w:r>
    </w:p>
    <w:p w14:paraId="2254B4E3">
      <w:pPr>
        <w:pStyle w:val="2"/>
        <w:spacing w:after="0" w:line="360" w:lineRule="auto"/>
        <w:ind w:left="0" w:leftChars="0" w:firstLine="0" w:firstLineChars="0"/>
        <w:rPr>
          <w:rFonts w:hint="eastAsia" w:ascii="宋体" w:hAnsi="宋体" w:cstheme="minorEastAsia"/>
          <w:color w:val="000000" w:themeColor="text1"/>
          <w:szCs w:val="21"/>
          <w14:textFill>
            <w14:solidFill>
              <w14:schemeClr w14:val="tx1"/>
            </w14:solidFill>
          </w14:textFill>
        </w:rPr>
      </w:pPr>
      <w:r>
        <w:rPr>
          <w:rFonts w:ascii="宋体" w:hAnsi="宋体" w:cstheme="minorEastAsia"/>
          <w:color w:val="000000" w:themeColor="text1"/>
          <w:szCs w:val="21"/>
          <w14:textFill>
            <w14:solidFill>
              <w14:schemeClr w14:val="tx1"/>
            </w14:solidFill>
          </w14:textFill>
        </w:rPr>
        <w:drawing>
          <wp:inline distT="0" distB="0" distL="0" distR="0">
            <wp:extent cx="5939790" cy="3093720"/>
            <wp:effectExtent l="0" t="0" r="381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939790" cy="3093720"/>
                    </a:xfrm>
                    <a:prstGeom prst="rect">
                      <a:avLst/>
                    </a:prstGeom>
                  </pic:spPr>
                </pic:pic>
              </a:graphicData>
            </a:graphic>
          </wp:inline>
        </w:drawing>
      </w:r>
    </w:p>
    <w:p w14:paraId="26AC345E">
      <w:pPr>
        <w:pStyle w:val="5"/>
        <w:numPr>
          <w:ilvl w:val="1"/>
          <w:numId w:val="7"/>
        </w:numPr>
        <w:spacing w:before="260" w:after="260"/>
        <w:jc w:val="both"/>
        <w:rPr>
          <w:rFonts w:hint="eastAsia" w:ascii="宋体" w:hAnsi="宋体"/>
          <w:szCs w:val="28"/>
        </w:rPr>
      </w:pPr>
      <w:bookmarkStart w:id="31" w:name="_Toc180165679"/>
      <w:r>
        <w:rPr>
          <w:rFonts w:hint="eastAsia" w:ascii="宋体" w:hAnsi="宋体"/>
          <w:szCs w:val="28"/>
        </w:rPr>
        <w:t xml:space="preserve"> </w:t>
      </w:r>
      <w:bookmarkStart w:id="32" w:name="_Toc180265525"/>
      <w:r>
        <w:rPr>
          <w:rFonts w:hint="eastAsia" w:ascii="宋体" w:hAnsi="宋体"/>
          <w:szCs w:val="28"/>
        </w:rPr>
        <w:t>支持招标文件、投标文件在线编制或离线编辑模式，以及结构化文件编辑和配置功能</w:t>
      </w:r>
      <w:bookmarkEnd w:id="31"/>
      <w:bookmarkEnd w:id="32"/>
    </w:p>
    <w:p w14:paraId="3761D410">
      <w:pPr>
        <w:pStyle w:val="6"/>
        <w:numPr>
          <w:ilvl w:val="2"/>
          <w:numId w:val="7"/>
        </w:numPr>
        <w:spacing w:before="260" w:after="260"/>
        <w:jc w:val="both"/>
        <w:rPr>
          <w:rFonts w:hint="eastAsia" w:ascii="宋体" w:hAnsi="宋体"/>
          <w:szCs w:val="24"/>
        </w:rPr>
      </w:pPr>
      <w:bookmarkStart w:id="33" w:name="_Toc180265526"/>
      <w:bookmarkStart w:id="34" w:name="_Toc180165680"/>
      <w:r>
        <w:rPr>
          <w:rFonts w:hint="eastAsia" w:ascii="宋体" w:hAnsi="宋体"/>
          <w:szCs w:val="24"/>
        </w:rPr>
        <w:t>招标文件编辑</w:t>
      </w:r>
      <w:bookmarkEnd w:id="33"/>
      <w:bookmarkEnd w:id="34"/>
    </w:p>
    <w:p w14:paraId="3F114274">
      <w:pPr>
        <w:snapToGrid w:val="0"/>
        <w:spacing w:line="360" w:lineRule="auto"/>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b/>
          <w:szCs w:val="21"/>
        </w:rPr>
        <w:t>以下为产品功能概述，具体功能详见产品手册第</w:t>
      </w:r>
      <w:r>
        <w:rPr>
          <w:rFonts w:ascii="宋体" w:hAnsi="宋体" w:eastAsia="宋体"/>
          <w:b/>
          <w:szCs w:val="21"/>
        </w:rPr>
        <w:t>4.1.2.1</w:t>
      </w:r>
      <w:r>
        <w:rPr>
          <w:rFonts w:hint="eastAsia" w:ascii="宋体" w:hAnsi="宋体" w:eastAsia="宋体"/>
          <w:b/>
          <w:szCs w:val="21"/>
        </w:rPr>
        <w:t>章节 P</w:t>
      </w:r>
      <w:r>
        <w:rPr>
          <w:rFonts w:ascii="宋体" w:hAnsi="宋体" w:eastAsia="宋体"/>
          <w:b/>
          <w:szCs w:val="21"/>
        </w:rPr>
        <w:t>46</w:t>
      </w:r>
      <w:r>
        <w:rPr>
          <w:rFonts w:hint="eastAsia" w:ascii="宋体" w:hAnsi="宋体" w:eastAsia="宋体"/>
          <w:b/>
          <w:szCs w:val="21"/>
        </w:rPr>
        <w:t>页</w:t>
      </w:r>
    </w:p>
    <w:p w14:paraId="142F316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平台可根据实际业务需要，在线或离线编辑单个标包或批量编辑多个标包的招标文件，招标文件支持结构化编辑和配置功能。</w:t>
      </w:r>
      <w:r>
        <w:rPr>
          <w:rFonts w:ascii="宋体" w:hAnsi="宋体" w:eastAsia="宋体"/>
          <w:color w:val="000000" w:themeColor="text1"/>
          <w:szCs w:val="21"/>
          <w14:textFill>
            <w14:solidFill>
              <w14:schemeClr w14:val="tx1"/>
            </w14:solidFill>
          </w14:textFill>
        </w:rPr>
        <w:t xml:space="preserve"> </w:t>
      </w:r>
    </w:p>
    <w:p w14:paraId="718757BE">
      <w:pPr>
        <w:pStyle w:val="73"/>
        <w:numPr>
          <w:ilvl w:val="0"/>
          <w:numId w:val="9"/>
        </w:numPr>
        <w:spacing w:line="360" w:lineRule="auto"/>
        <w:ind w:firstLineChars="0"/>
        <w:rPr>
          <w:rFonts w:hint="eastAsia" w:ascii="宋体" w:hAnsi="宋体" w:eastAsia="宋体" w:cs="宋体"/>
          <w:b/>
          <w:szCs w:val="21"/>
        </w:rPr>
      </w:pPr>
      <w:r>
        <w:rPr>
          <w:rFonts w:hint="eastAsia" w:ascii="宋体" w:hAnsi="宋体" w:eastAsia="宋体" w:cs="宋体"/>
          <w:b/>
          <w:szCs w:val="21"/>
        </w:rPr>
        <w:t>招标文件结构化参数配置</w:t>
      </w:r>
    </w:p>
    <w:p w14:paraId="703E029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可设置售标起止时间、开标时间及地点、评标时间及地点、标书费支付方式、保证金缴纳方式、保证金金额、评标方法等结构化数据；结构化数据用于后续的电子化全流程项目的文件发售、开评标等环节。</w:t>
      </w:r>
    </w:p>
    <w:p w14:paraId="15F74523">
      <w:pPr>
        <w:spacing w:line="360" w:lineRule="auto"/>
        <w:rPr>
          <w:rFonts w:hint="eastAsia" w:ascii="宋体" w:hAnsi="宋体" w:eastAsia="宋体" w:cs="宋体"/>
          <w:szCs w:val="21"/>
        </w:rPr>
      </w:pPr>
      <w:r>
        <w:rPr>
          <w:rFonts w:ascii="宋体" w:hAnsi="宋体" w:eastAsia="宋体"/>
          <w:szCs w:val="21"/>
        </w:rPr>
        <w:drawing>
          <wp:inline distT="0" distB="0" distL="0" distR="0">
            <wp:extent cx="5939790" cy="2600325"/>
            <wp:effectExtent l="0" t="0" r="3810" b="952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9"/>
                    <a:stretch>
                      <a:fillRect/>
                    </a:stretch>
                  </pic:blipFill>
                  <pic:spPr>
                    <a:xfrm>
                      <a:off x="0" y="0"/>
                      <a:ext cx="5939790" cy="2600325"/>
                    </a:xfrm>
                    <a:prstGeom prst="rect">
                      <a:avLst/>
                    </a:prstGeom>
                  </pic:spPr>
                </pic:pic>
              </a:graphicData>
            </a:graphic>
          </wp:inline>
        </w:drawing>
      </w:r>
      <w:r>
        <w:rPr>
          <w:rFonts w:ascii="宋体" w:hAnsi="宋体" w:eastAsia="宋体"/>
          <w:szCs w:val="21"/>
        </w:rPr>
        <w:drawing>
          <wp:inline distT="0" distB="0" distL="0" distR="0">
            <wp:extent cx="6205220" cy="1676400"/>
            <wp:effectExtent l="0" t="0" r="508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0"/>
                    <a:stretch>
                      <a:fillRect/>
                    </a:stretch>
                  </pic:blipFill>
                  <pic:spPr>
                    <a:xfrm>
                      <a:off x="0" y="0"/>
                      <a:ext cx="6218069" cy="1679823"/>
                    </a:xfrm>
                    <a:prstGeom prst="rect">
                      <a:avLst/>
                    </a:prstGeom>
                  </pic:spPr>
                </pic:pic>
              </a:graphicData>
            </a:graphic>
          </wp:inline>
        </w:drawing>
      </w:r>
    </w:p>
    <w:p w14:paraId="4A240C2F">
      <w:pPr>
        <w:pStyle w:val="73"/>
        <w:numPr>
          <w:ilvl w:val="0"/>
          <w:numId w:val="9"/>
        </w:numPr>
        <w:spacing w:line="360" w:lineRule="auto"/>
        <w:ind w:firstLineChars="0"/>
        <w:rPr>
          <w:rFonts w:hint="eastAsia" w:ascii="宋体" w:hAnsi="宋体" w:eastAsia="宋体" w:cs="宋体"/>
          <w:szCs w:val="21"/>
        </w:rPr>
      </w:pPr>
      <w:r>
        <w:rPr>
          <w:rFonts w:hint="eastAsia" w:ascii="宋体" w:hAnsi="宋体" w:eastAsia="宋体" w:cs="宋体"/>
          <w:b/>
          <w:szCs w:val="21"/>
        </w:rPr>
        <w:t>招标文件结构化正文编辑</w:t>
      </w:r>
    </w:p>
    <w:p w14:paraId="63F430F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按照业务需要选择通过招标客户端或网页端编辑招标文件，功能包括开标一览表设置、初步评审与详细评审设置、打分权重设置等功能；系统具有招标文件模板功能，在编辑招标文件时，可从模板库选择招标文件范本或其他模板应用至当前文件。</w:t>
      </w:r>
    </w:p>
    <w:p w14:paraId="2A06DE3A">
      <w:pPr>
        <w:spacing w:line="360" w:lineRule="auto"/>
        <w:rPr>
          <w:rFonts w:hint="eastAsia" w:ascii="宋体" w:hAnsi="宋体" w:eastAsia="宋体"/>
          <w:b/>
          <w:szCs w:val="21"/>
        </w:rPr>
      </w:pPr>
      <w:r>
        <w:rPr>
          <w:rFonts w:hint="eastAsia" w:ascii="宋体" w:hAnsi="宋体" w:eastAsia="宋体"/>
          <w:b/>
          <w:szCs w:val="21"/>
        </w:rPr>
        <w:t>（1）在线网页端编辑</w:t>
      </w:r>
    </w:p>
    <w:p w14:paraId="64882BE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通过网页端编辑招标文件正文，分为开标一览表设置、初步评审设置、详细评审设置、招标文件正文编辑、提交并生成完整招标文件几个步骤。</w:t>
      </w:r>
    </w:p>
    <w:p w14:paraId="570894FB">
      <w:pPr>
        <w:spacing w:line="360" w:lineRule="auto"/>
        <w:rPr>
          <w:rFonts w:hint="eastAsia" w:ascii="宋体" w:hAnsi="宋体" w:eastAsia="宋体"/>
          <w:szCs w:val="21"/>
        </w:rPr>
      </w:pPr>
      <w:r>
        <w:rPr>
          <w:rFonts w:ascii="宋体" w:hAnsi="宋体" w:eastAsia="宋体"/>
          <w:szCs w:val="21"/>
        </w:rPr>
        <w:drawing>
          <wp:inline distT="0" distB="0" distL="0" distR="0">
            <wp:extent cx="5939790" cy="2770505"/>
            <wp:effectExtent l="0" t="0" r="3810" b="0"/>
            <wp:docPr id="74" name="image.png"/>
            <wp:cNvGraphicFramePr/>
            <a:graphic xmlns:a="http://schemas.openxmlformats.org/drawingml/2006/main">
              <a:graphicData uri="http://schemas.openxmlformats.org/drawingml/2006/picture">
                <pic:pic xmlns:pic="http://schemas.openxmlformats.org/drawingml/2006/picture">
                  <pic:nvPicPr>
                    <pic:cNvPr id="74" name="image.png"/>
                    <pic:cNvPicPr/>
                  </pic:nvPicPr>
                  <pic:blipFill>
                    <a:blip r:embed="rId41"/>
                    <a:stretch>
                      <a:fillRect/>
                    </a:stretch>
                  </pic:blipFill>
                  <pic:spPr>
                    <a:xfrm>
                      <a:off x="0" y="0"/>
                      <a:ext cx="5939790" cy="2770505"/>
                    </a:xfrm>
                    <a:prstGeom prst="rect">
                      <a:avLst/>
                    </a:prstGeom>
                  </pic:spPr>
                </pic:pic>
              </a:graphicData>
            </a:graphic>
          </wp:inline>
        </w:drawing>
      </w:r>
      <w:r>
        <w:rPr>
          <w:rFonts w:hint="eastAsia" w:ascii="宋体" w:hAnsi="宋体" w:eastAsia="宋体"/>
          <w:b/>
          <w:szCs w:val="21"/>
        </w:rPr>
        <w:t>（2）离线客户端编辑</w:t>
      </w:r>
    </w:p>
    <w:p w14:paraId="7F48422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通过招标客户端编辑招标文件内容，分为开标一览表设置、初步评审设置、详细评审设置、招标文件正文编辑。</w:t>
      </w:r>
    </w:p>
    <w:p w14:paraId="121E3A92">
      <w:pPr>
        <w:pStyle w:val="2"/>
        <w:spacing w:line="360" w:lineRule="auto"/>
        <w:ind w:firstLine="0" w:firstLineChars="0"/>
        <w:rPr>
          <w:rFonts w:hint="eastAsia" w:ascii="宋体" w:hAnsi="宋体"/>
          <w:szCs w:val="21"/>
        </w:rPr>
      </w:pPr>
      <w:r>
        <w:rPr>
          <w:rFonts w:ascii="宋体" w:hAnsi="宋体"/>
          <w:szCs w:val="21"/>
        </w:rPr>
        <w:drawing>
          <wp:inline distT="0" distB="0" distL="0" distR="0">
            <wp:extent cx="5145405" cy="253873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42"/>
                    <a:stretch>
                      <a:fillRect/>
                    </a:stretch>
                  </pic:blipFill>
                  <pic:spPr>
                    <a:xfrm>
                      <a:off x="0" y="0"/>
                      <a:ext cx="5179089" cy="2555246"/>
                    </a:xfrm>
                    <a:prstGeom prst="rect">
                      <a:avLst/>
                    </a:prstGeom>
                  </pic:spPr>
                </pic:pic>
              </a:graphicData>
            </a:graphic>
          </wp:inline>
        </w:drawing>
      </w:r>
    </w:p>
    <w:p w14:paraId="2CB99E46">
      <w:pPr>
        <w:pStyle w:val="2"/>
        <w:spacing w:line="360" w:lineRule="auto"/>
        <w:ind w:firstLine="0" w:firstLineChars="0"/>
        <w:rPr>
          <w:rFonts w:hint="eastAsia" w:ascii="宋体" w:hAnsi="宋体"/>
          <w:szCs w:val="21"/>
        </w:rPr>
      </w:pPr>
      <w:r>
        <w:rPr>
          <w:rFonts w:ascii="宋体" w:hAnsi="宋体"/>
          <w:szCs w:val="21"/>
        </w:rPr>
        <w:drawing>
          <wp:inline distT="0" distB="0" distL="0" distR="0">
            <wp:extent cx="5194300" cy="2687955"/>
            <wp:effectExtent l="0" t="0" r="635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3"/>
                    <a:stretch>
                      <a:fillRect/>
                    </a:stretch>
                  </pic:blipFill>
                  <pic:spPr>
                    <a:xfrm>
                      <a:off x="0" y="0"/>
                      <a:ext cx="5206111" cy="2694332"/>
                    </a:xfrm>
                    <a:prstGeom prst="rect">
                      <a:avLst/>
                    </a:prstGeom>
                  </pic:spPr>
                </pic:pic>
              </a:graphicData>
            </a:graphic>
          </wp:inline>
        </w:drawing>
      </w:r>
    </w:p>
    <w:p w14:paraId="67F9B5D9">
      <w:pPr>
        <w:pStyle w:val="2"/>
        <w:spacing w:line="360" w:lineRule="auto"/>
        <w:ind w:left="0" w:leftChars="0" w:firstLine="0" w:firstLineChars="0"/>
        <w:rPr>
          <w:rFonts w:hint="eastAsia" w:ascii="宋体" w:hAnsi="宋体"/>
          <w:b/>
          <w:szCs w:val="21"/>
        </w:rPr>
      </w:pPr>
      <w:r>
        <w:rPr>
          <w:rFonts w:hint="eastAsia" w:ascii="宋体" w:hAnsi="宋体"/>
          <w:b/>
          <w:szCs w:val="21"/>
        </w:rPr>
        <w:t>（3）选择招标文件范本或模板</w:t>
      </w:r>
    </w:p>
    <w:p w14:paraId="71C23E8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平台具备文档模板功能，编辑招标文件时，可从模板库中选择招标文件模板或范本引用至当前的招标文件。</w:t>
      </w:r>
    </w:p>
    <w:p w14:paraId="43E625E0">
      <w:pPr>
        <w:pStyle w:val="2"/>
        <w:spacing w:line="360" w:lineRule="auto"/>
        <w:ind w:firstLine="0" w:firstLineChars="0"/>
        <w:rPr>
          <w:rFonts w:hint="eastAsia" w:ascii="宋体" w:hAnsi="宋体"/>
          <w:szCs w:val="21"/>
        </w:rPr>
      </w:pPr>
      <w:r>
        <w:rPr>
          <w:rFonts w:ascii="宋体" w:hAnsi="宋体"/>
          <w:szCs w:val="21"/>
        </w:rPr>
        <w:drawing>
          <wp:inline distT="0" distB="0" distL="0" distR="0">
            <wp:extent cx="5223510" cy="2752725"/>
            <wp:effectExtent l="0" t="0" r="0" b="952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44"/>
                    <a:stretch>
                      <a:fillRect/>
                    </a:stretch>
                  </pic:blipFill>
                  <pic:spPr>
                    <a:xfrm>
                      <a:off x="0" y="0"/>
                      <a:ext cx="5236046" cy="2759644"/>
                    </a:xfrm>
                    <a:prstGeom prst="rect">
                      <a:avLst/>
                    </a:prstGeom>
                  </pic:spPr>
                </pic:pic>
              </a:graphicData>
            </a:graphic>
          </wp:inline>
        </w:drawing>
      </w:r>
    </w:p>
    <w:p w14:paraId="6F47D205">
      <w:pPr>
        <w:pStyle w:val="6"/>
        <w:numPr>
          <w:ilvl w:val="2"/>
          <w:numId w:val="7"/>
        </w:numPr>
        <w:spacing w:before="260" w:after="260"/>
        <w:jc w:val="both"/>
        <w:rPr>
          <w:rFonts w:hint="eastAsia" w:ascii="宋体" w:hAnsi="宋体"/>
          <w:szCs w:val="24"/>
        </w:rPr>
      </w:pPr>
      <w:bookmarkStart w:id="35" w:name="_Toc180265527"/>
      <w:bookmarkStart w:id="36" w:name="_Toc180165681"/>
      <w:r>
        <w:rPr>
          <w:rFonts w:hint="eastAsia" w:ascii="宋体" w:hAnsi="宋体"/>
          <w:szCs w:val="24"/>
        </w:rPr>
        <w:t>投标文件编辑</w:t>
      </w:r>
      <w:bookmarkEnd w:id="35"/>
      <w:bookmarkEnd w:id="36"/>
    </w:p>
    <w:p w14:paraId="31510D3E">
      <w:pPr>
        <w:spacing w:line="360" w:lineRule="auto"/>
        <w:rPr>
          <w:rFonts w:hint="eastAsia" w:ascii="宋体" w:hAnsi="宋体" w:eastAsia="宋体"/>
          <w:b/>
          <w:szCs w:val="21"/>
        </w:rPr>
      </w:pPr>
      <w:r>
        <w:rPr>
          <w:rFonts w:hint="eastAsia" w:ascii="宋体" w:hAnsi="宋体" w:eastAsia="宋体"/>
          <w:b/>
          <w:szCs w:val="21"/>
        </w:rPr>
        <w:t>以下为产品功能概述，具体功能详见产品手册第</w:t>
      </w:r>
      <w:r>
        <w:rPr>
          <w:rFonts w:ascii="宋体" w:hAnsi="宋体" w:eastAsia="宋体"/>
          <w:b/>
          <w:szCs w:val="21"/>
        </w:rPr>
        <w:t>4.1.4.1</w:t>
      </w:r>
      <w:r>
        <w:rPr>
          <w:rFonts w:hint="eastAsia" w:ascii="宋体" w:hAnsi="宋体" w:eastAsia="宋体"/>
          <w:b/>
          <w:szCs w:val="21"/>
        </w:rPr>
        <w:t>章节P</w:t>
      </w:r>
      <w:r>
        <w:rPr>
          <w:rFonts w:ascii="宋体" w:hAnsi="宋体" w:eastAsia="宋体"/>
          <w:b/>
          <w:szCs w:val="21"/>
        </w:rPr>
        <w:t>7</w:t>
      </w:r>
      <w:r>
        <w:rPr>
          <w:rFonts w:hint="eastAsia" w:ascii="宋体" w:hAnsi="宋体" w:eastAsia="宋体"/>
          <w:b/>
          <w:szCs w:val="21"/>
        </w:rPr>
        <w:t>1页</w:t>
      </w:r>
    </w:p>
    <w:p w14:paraId="0D75CE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平台支持投标文件的编辑，包括在线编辑和离线编辑两种模式，通过投标客户端进行登录、投标格式下载、投标文件编制、投标文件签章、加密等操作。</w:t>
      </w:r>
    </w:p>
    <w:p w14:paraId="7B6FA4D6">
      <w:pPr>
        <w:pStyle w:val="73"/>
        <w:numPr>
          <w:ilvl w:val="0"/>
          <w:numId w:val="10"/>
        </w:numPr>
        <w:spacing w:line="360" w:lineRule="auto"/>
        <w:ind w:left="2525" w:firstLineChars="0"/>
        <w:rPr>
          <w:rFonts w:hint="eastAsia" w:ascii="宋体" w:hAnsi="宋体" w:eastAsia="宋体" w:cs="宋体"/>
          <w:b/>
          <w:szCs w:val="21"/>
        </w:rPr>
      </w:pPr>
      <w:r>
        <w:rPr>
          <w:rFonts w:hint="eastAsia" w:ascii="宋体" w:hAnsi="宋体" w:eastAsia="宋体" w:cs="宋体"/>
          <w:b/>
          <w:szCs w:val="21"/>
        </w:rPr>
        <w:t>投标人登录并选择CA类型</w:t>
      </w:r>
    </w:p>
    <w:p w14:paraId="0513A23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投标人下载投标客户端及zzlh文件后，使用账号密码登录客户端，选择制作投标文件使用的CA类型。</w:t>
      </w:r>
    </w:p>
    <w:p w14:paraId="5D424D20">
      <w:pPr>
        <w:spacing w:line="360" w:lineRule="auto"/>
        <w:rPr>
          <w:rFonts w:hint="eastAsia" w:ascii="宋体" w:hAnsi="宋体" w:eastAsia="宋体"/>
          <w:szCs w:val="21"/>
        </w:rPr>
      </w:pPr>
      <w:r>
        <w:rPr>
          <w:rFonts w:ascii="宋体" w:hAnsi="宋体" w:eastAsia="宋体"/>
          <w:szCs w:val="21"/>
        </w:rPr>
        <w:drawing>
          <wp:inline distT="0" distB="0" distL="0" distR="0">
            <wp:extent cx="5939790" cy="2721610"/>
            <wp:effectExtent l="0" t="0" r="3810" b="2540"/>
            <wp:docPr id="78" name="image.png"/>
            <wp:cNvGraphicFramePr/>
            <a:graphic xmlns:a="http://schemas.openxmlformats.org/drawingml/2006/main">
              <a:graphicData uri="http://schemas.openxmlformats.org/drawingml/2006/picture">
                <pic:pic xmlns:pic="http://schemas.openxmlformats.org/drawingml/2006/picture">
                  <pic:nvPicPr>
                    <pic:cNvPr id="78" name="image.png"/>
                    <pic:cNvPicPr/>
                  </pic:nvPicPr>
                  <pic:blipFill>
                    <a:blip r:embed="rId45"/>
                    <a:stretch>
                      <a:fillRect/>
                    </a:stretch>
                  </pic:blipFill>
                  <pic:spPr>
                    <a:xfrm>
                      <a:off x="0" y="0"/>
                      <a:ext cx="5939790" cy="2721610"/>
                    </a:xfrm>
                    <a:prstGeom prst="rect">
                      <a:avLst/>
                    </a:prstGeom>
                  </pic:spPr>
                </pic:pic>
              </a:graphicData>
            </a:graphic>
          </wp:inline>
        </w:drawing>
      </w:r>
    </w:p>
    <w:p w14:paraId="5395B338">
      <w:pPr>
        <w:pStyle w:val="73"/>
        <w:numPr>
          <w:ilvl w:val="0"/>
          <w:numId w:val="11"/>
        </w:numPr>
        <w:spacing w:line="360" w:lineRule="auto"/>
        <w:ind w:firstLineChars="0"/>
        <w:jc w:val="left"/>
        <w:rPr>
          <w:rFonts w:hint="eastAsia" w:ascii="宋体" w:hAnsi="宋体" w:eastAsia="宋体" w:cs="宋体"/>
          <w:b/>
          <w:szCs w:val="21"/>
        </w:rPr>
      </w:pPr>
      <w:r>
        <w:rPr>
          <w:rFonts w:hint="eastAsia" w:ascii="宋体" w:hAnsi="宋体" w:eastAsia="宋体" w:cs="宋体"/>
          <w:b/>
          <w:szCs w:val="21"/>
        </w:rPr>
        <w:t>编制投标文件</w:t>
      </w:r>
    </w:p>
    <w:p w14:paraId="3109491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按照投标客户端的流程引导编制投标文件，在投标客户端中可以查看招标文件/资格预审文件正文及投标格式文件；按照投标格式要求编制投标文件，填写开标一览表内容；</w:t>
      </w:r>
    </w:p>
    <w:p w14:paraId="4C456705">
      <w:pPr>
        <w:spacing w:line="360" w:lineRule="auto"/>
        <w:rPr>
          <w:rFonts w:hint="eastAsia" w:ascii="宋体" w:hAnsi="宋体" w:eastAsia="宋体" w:cs="宋体"/>
          <w:szCs w:val="21"/>
        </w:rPr>
      </w:pPr>
      <w:r>
        <w:rPr>
          <w:rFonts w:ascii="宋体" w:hAnsi="宋体" w:eastAsia="宋体"/>
          <w:szCs w:val="21"/>
        </w:rPr>
        <w:drawing>
          <wp:inline distT="0" distB="0" distL="0" distR="0">
            <wp:extent cx="5939790" cy="2357755"/>
            <wp:effectExtent l="0" t="0" r="3810" b="4445"/>
            <wp:docPr id="79" name="image.png"/>
            <wp:cNvGraphicFramePr/>
            <a:graphic xmlns:a="http://schemas.openxmlformats.org/drawingml/2006/main">
              <a:graphicData uri="http://schemas.openxmlformats.org/drawingml/2006/picture">
                <pic:pic xmlns:pic="http://schemas.openxmlformats.org/drawingml/2006/picture">
                  <pic:nvPicPr>
                    <pic:cNvPr id="79" name="image.png"/>
                    <pic:cNvPicPr/>
                  </pic:nvPicPr>
                  <pic:blipFill>
                    <a:blip r:embed="rId46"/>
                    <a:stretch>
                      <a:fillRect/>
                    </a:stretch>
                  </pic:blipFill>
                  <pic:spPr>
                    <a:xfrm>
                      <a:off x="0" y="0"/>
                      <a:ext cx="5939790" cy="2357755"/>
                    </a:xfrm>
                    <a:prstGeom prst="rect">
                      <a:avLst/>
                    </a:prstGeom>
                  </pic:spPr>
                </pic:pic>
              </a:graphicData>
            </a:graphic>
          </wp:inline>
        </w:drawing>
      </w:r>
    </w:p>
    <w:p w14:paraId="1D8E1418">
      <w:pPr>
        <w:pStyle w:val="73"/>
        <w:numPr>
          <w:ilvl w:val="0"/>
          <w:numId w:val="12"/>
        </w:numPr>
        <w:spacing w:line="360" w:lineRule="auto"/>
        <w:ind w:firstLineChars="0"/>
        <w:rPr>
          <w:rFonts w:hint="eastAsia" w:ascii="宋体" w:hAnsi="宋体" w:eastAsia="宋体" w:cs="宋体"/>
          <w:b/>
          <w:szCs w:val="21"/>
        </w:rPr>
      </w:pPr>
      <w:r>
        <w:rPr>
          <w:rFonts w:hint="eastAsia" w:ascii="宋体" w:hAnsi="宋体" w:eastAsia="宋体" w:cs="宋体"/>
          <w:b/>
          <w:szCs w:val="21"/>
        </w:rPr>
        <w:t>评审关联</w:t>
      </w:r>
    </w:p>
    <w:p w14:paraId="6EA5980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根据招标文件/资格预审文件的评审项要求进行评审关联，便于专家在线评标时定位评审项。</w:t>
      </w:r>
    </w:p>
    <w:p w14:paraId="61C77241">
      <w:pPr>
        <w:spacing w:line="360" w:lineRule="auto"/>
        <w:rPr>
          <w:rFonts w:hint="eastAsia" w:ascii="宋体" w:hAnsi="宋体" w:eastAsia="宋体" w:cs="宋体"/>
          <w:b/>
          <w:szCs w:val="21"/>
        </w:rPr>
      </w:pPr>
      <w:r>
        <w:rPr>
          <w:rFonts w:ascii="宋体" w:hAnsi="宋体" w:eastAsia="宋体"/>
          <w:szCs w:val="21"/>
        </w:rPr>
        <w:drawing>
          <wp:inline distT="0" distB="0" distL="0" distR="0">
            <wp:extent cx="5939790" cy="3117850"/>
            <wp:effectExtent l="0" t="0" r="3810" b="635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7"/>
                    <a:stretch>
                      <a:fillRect/>
                    </a:stretch>
                  </pic:blipFill>
                  <pic:spPr>
                    <a:xfrm>
                      <a:off x="0" y="0"/>
                      <a:ext cx="5939790" cy="3117850"/>
                    </a:xfrm>
                    <a:prstGeom prst="rect">
                      <a:avLst/>
                    </a:prstGeom>
                  </pic:spPr>
                </pic:pic>
              </a:graphicData>
            </a:graphic>
          </wp:inline>
        </w:drawing>
      </w:r>
    </w:p>
    <w:p w14:paraId="3B771CBA">
      <w:pPr>
        <w:pStyle w:val="73"/>
        <w:numPr>
          <w:ilvl w:val="0"/>
          <w:numId w:val="13"/>
        </w:numPr>
        <w:spacing w:line="360" w:lineRule="auto"/>
        <w:ind w:firstLineChars="0"/>
        <w:rPr>
          <w:rFonts w:hint="eastAsia" w:ascii="宋体" w:hAnsi="宋体" w:eastAsia="宋体" w:cs="宋体"/>
          <w:b/>
          <w:szCs w:val="21"/>
        </w:rPr>
      </w:pPr>
      <w:r>
        <w:rPr>
          <w:rFonts w:hint="eastAsia" w:ascii="宋体" w:hAnsi="宋体" w:eastAsia="宋体" w:cs="宋体"/>
          <w:b/>
          <w:szCs w:val="21"/>
        </w:rPr>
        <w:t>投标文件盖章、加密、上传</w:t>
      </w:r>
    </w:p>
    <w:p w14:paraId="6395E1B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投标文件编辑完成后，在投标客户端使用CA进行加密、递交；</w:t>
      </w:r>
    </w:p>
    <w:p w14:paraId="0801E528">
      <w:pPr>
        <w:spacing w:line="360" w:lineRule="auto"/>
        <w:rPr>
          <w:rFonts w:hint="eastAsia" w:ascii="宋体" w:hAnsi="宋体" w:eastAsia="宋体" w:cs="宋体"/>
          <w:szCs w:val="21"/>
        </w:rPr>
      </w:pPr>
      <w:r>
        <w:rPr>
          <w:rFonts w:ascii="宋体" w:hAnsi="宋体" w:eastAsia="宋体"/>
          <w:szCs w:val="21"/>
        </w:rPr>
        <w:drawing>
          <wp:inline distT="0" distB="0" distL="0" distR="0">
            <wp:extent cx="5939790" cy="2821940"/>
            <wp:effectExtent l="0" t="0" r="381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8"/>
                    <a:stretch>
                      <a:fillRect/>
                    </a:stretch>
                  </pic:blipFill>
                  <pic:spPr>
                    <a:xfrm>
                      <a:off x="0" y="0"/>
                      <a:ext cx="5939790" cy="2821940"/>
                    </a:xfrm>
                    <a:prstGeom prst="rect">
                      <a:avLst/>
                    </a:prstGeom>
                  </pic:spPr>
                </pic:pic>
              </a:graphicData>
            </a:graphic>
          </wp:inline>
        </w:drawing>
      </w:r>
    </w:p>
    <w:p w14:paraId="4BC0ECAC">
      <w:pPr>
        <w:pStyle w:val="5"/>
        <w:numPr>
          <w:ilvl w:val="1"/>
          <w:numId w:val="7"/>
        </w:numPr>
        <w:spacing w:before="260" w:after="260"/>
        <w:jc w:val="both"/>
        <w:rPr>
          <w:rFonts w:hint="eastAsia" w:ascii="宋体" w:hAnsi="宋体"/>
          <w:szCs w:val="28"/>
        </w:rPr>
      </w:pPr>
      <w:bookmarkStart w:id="37" w:name="_Toc180165682"/>
      <w:r>
        <w:rPr>
          <w:rFonts w:hint="eastAsia" w:ascii="宋体" w:hAnsi="宋体"/>
          <w:szCs w:val="28"/>
        </w:rPr>
        <w:t xml:space="preserve"> </w:t>
      </w:r>
      <w:bookmarkStart w:id="38" w:name="_Toc180265528"/>
      <w:r>
        <w:rPr>
          <w:rFonts w:hint="eastAsia" w:ascii="宋体" w:hAnsi="宋体"/>
          <w:szCs w:val="28"/>
        </w:rPr>
        <w:t>具有不见面开标功能，支持投标人通过网络远程办理电子签到、支持系统统一解密或投标人规定时间解密、支持投标保证金到账显示等功能</w:t>
      </w:r>
      <w:bookmarkEnd w:id="37"/>
      <w:bookmarkEnd w:id="38"/>
    </w:p>
    <w:p w14:paraId="434464B7">
      <w:pPr>
        <w:pStyle w:val="6"/>
        <w:numPr>
          <w:ilvl w:val="2"/>
          <w:numId w:val="7"/>
        </w:numPr>
        <w:spacing w:before="260" w:after="260"/>
        <w:jc w:val="both"/>
        <w:rPr>
          <w:rFonts w:hint="eastAsia" w:ascii="宋体" w:hAnsi="宋体"/>
          <w:szCs w:val="24"/>
        </w:rPr>
      </w:pPr>
      <w:bookmarkStart w:id="39" w:name="_Toc180265529"/>
      <w:bookmarkStart w:id="40" w:name="_Toc180165683"/>
      <w:r>
        <w:rPr>
          <w:rFonts w:hint="eastAsia" w:ascii="宋体" w:hAnsi="宋体"/>
          <w:szCs w:val="24"/>
        </w:rPr>
        <w:t>不见面开标大厅</w:t>
      </w:r>
      <w:bookmarkEnd w:id="39"/>
      <w:bookmarkEnd w:id="40"/>
    </w:p>
    <w:p w14:paraId="31D89F57">
      <w:pPr>
        <w:snapToGrid w:val="0"/>
        <w:spacing w:line="360" w:lineRule="auto"/>
        <w:contextualSpacing/>
        <w:rPr>
          <w:rFonts w:hint="eastAsia" w:ascii="宋体" w:hAnsi="宋体" w:eastAsia="宋体" w:cs="宋体"/>
          <w:b/>
          <w:szCs w:val="21"/>
        </w:rPr>
      </w:pPr>
      <w:r>
        <w:rPr>
          <w:rFonts w:hint="eastAsia" w:ascii="宋体" w:hAnsi="宋体" w:eastAsia="宋体"/>
          <w:b/>
          <w:szCs w:val="21"/>
        </w:rPr>
        <w:t>以下为产品功能概述，具体功能详见产品手册第</w:t>
      </w:r>
      <w:r>
        <w:rPr>
          <w:rFonts w:ascii="宋体" w:hAnsi="宋体" w:eastAsia="宋体"/>
          <w:b/>
          <w:szCs w:val="21"/>
        </w:rPr>
        <w:t>4.1.5</w:t>
      </w:r>
      <w:r>
        <w:rPr>
          <w:rFonts w:hint="eastAsia" w:ascii="宋体" w:hAnsi="宋体" w:eastAsia="宋体"/>
          <w:b/>
          <w:szCs w:val="21"/>
        </w:rPr>
        <w:t>章节P79页</w:t>
      </w:r>
    </w:p>
    <w:p w14:paraId="5E65A4C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远程不见面开标大厅，采用电子化、网络化手段进行开标唱标，相关人员无需亲自到场参加开标会议，通过平台的开标大厅远程参与开标活动，可实时查看开标结果和相关信息，提高开标效率、降低成本，同时减少人为干预，保障开标过程公平公正。</w:t>
      </w:r>
    </w:p>
    <w:p w14:paraId="7C6FF7ED">
      <w:pPr>
        <w:spacing w:line="360" w:lineRule="auto"/>
        <w:rPr>
          <w:rFonts w:hint="eastAsia" w:ascii="宋体" w:hAnsi="宋体" w:eastAsia="宋体" w:cs="宋体"/>
          <w:szCs w:val="21"/>
        </w:rPr>
      </w:pPr>
      <w:r>
        <w:rPr>
          <w:rFonts w:ascii="宋体" w:hAnsi="宋体" w:eastAsia="宋体"/>
          <w:szCs w:val="21"/>
        </w:rPr>
        <w:drawing>
          <wp:inline distT="0" distB="0" distL="0" distR="0">
            <wp:extent cx="5939790" cy="2574290"/>
            <wp:effectExtent l="0" t="0" r="381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49"/>
                    <a:stretch>
                      <a:fillRect/>
                    </a:stretch>
                  </pic:blipFill>
                  <pic:spPr>
                    <a:xfrm>
                      <a:off x="0" y="0"/>
                      <a:ext cx="5939790" cy="2574290"/>
                    </a:xfrm>
                    <a:prstGeom prst="rect">
                      <a:avLst/>
                    </a:prstGeom>
                  </pic:spPr>
                </pic:pic>
              </a:graphicData>
            </a:graphic>
          </wp:inline>
        </w:drawing>
      </w:r>
    </w:p>
    <w:p w14:paraId="6E874CC9">
      <w:pPr>
        <w:pStyle w:val="6"/>
        <w:numPr>
          <w:ilvl w:val="2"/>
          <w:numId w:val="7"/>
        </w:numPr>
        <w:spacing w:before="260" w:after="260"/>
        <w:jc w:val="both"/>
        <w:rPr>
          <w:rFonts w:hint="eastAsia" w:ascii="宋体" w:hAnsi="宋体"/>
          <w:szCs w:val="24"/>
        </w:rPr>
      </w:pPr>
      <w:bookmarkStart w:id="41" w:name="_Toc180265530"/>
      <w:bookmarkStart w:id="42" w:name="_Toc180165684"/>
      <w:r>
        <w:rPr>
          <w:rFonts w:hint="eastAsia" w:ascii="宋体" w:hAnsi="宋体"/>
          <w:szCs w:val="24"/>
        </w:rPr>
        <w:t>远程签到</w:t>
      </w:r>
      <w:bookmarkEnd w:id="41"/>
      <w:bookmarkEnd w:id="42"/>
    </w:p>
    <w:p w14:paraId="5799A771">
      <w:pPr>
        <w:snapToGrid w:val="0"/>
        <w:spacing w:line="360" w:lineRule="auto"/>
        <w:contextualSpacing/>
        <w:rPr>
          <w:rFonts w:hint="eastAsia" w:ascii="宋体" w:hAnsi="宋体" w:eastAsia="宋体" w:cs="宋体"/>
          <w:b/>
          <w:szCs w:val="21"/>
        </w:rPr>
      </w:pPr>
      <w:r>
        <w:rPr>
          <w:rFonts w:ascii="宋体" w:hAnsi="宋体" w:eastAsia="宋体" w:cs="宋体"/>
          <w:b/>
          <w:szCs w:val="21"/>
        </w:rPr>
        <w:t xml:space="preserve"> </w:t>
      </w:r>
      <w:r>
        <w:rPr>
          <w:rFonts w:hint="eastAsia" w:ascii="宋体" w:hAnsi="宋体" w:eastAsia="宋体"/>
          <w:b/>
          <w:szCs w:val="21"/>
        </w:rPr>
        <w:t>以下为产品功能概述，具体功能详见产品手册第</w:t>
      </w:r>
      <w:r>
        <w:rPr>
          <w:rFonts w:ascii="宋体" w:hAnsi="宋体" w:eastAsia="宋体"/>
          <w:b/>
          <w:szCs w:val="21"/>
        </w:rPr>
        <w:t>4.1.5.1</w:t>
      </w:r>
      <w:r>
        <w:rPr>
          <w:rFonts w:hint="eastAsia" w:ascii="宋体" w:hAnsi="宋体" w:eastAsia="宋体"/>
          <w:b/>
          <w:szCs w:val="21"/>
        </w:rPr>
        <w:t>章节P79页</w:t>
      </w:r>
    </w:p>
    <w:p w14:paraId="3CB96D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具备远程签到功能，签到后可进入电子开标大厅，在项目到达开标时间前，投标人无法查看投标人数，也无法进行解密解封等操作。</w:t>
      </w:r>
    </w:p>
    <w:p w14:paraId="30AE4E5D">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3340735"/>
            <wp:effectExtent l="0" t="0" r="3810" b="0"/>
            <wp:docPr id="82" name="image.png"/>
            <wp:cNvGraphicFramePr/>
            <a:graphic xmlns:a="http://schemas.openxmlformats.org/drawingml/2006/main">
              <a:graphicData uri="http://schemas.openxmlformats.org/drawingml/2006/picture">
                <pic:pic xmlns:pic="http://schemas.openxmlformats.org/drawingml/2006/picture">
                  <pic:nvPicPr>
                    <pic:cNvPr id="82" name="image.png"/>
                    <pic:cNvPicPr/>
                  </pic:nvPicPr>
                  <pic:blipFill>
                    <a:blip r:embed="rId50"/>
                    <a:stretch>
                      <a:fillRect/>
                    </a:stretch>
                  </pic:blipFill>
                  <pic:spPr>
                    <a:xfrm>
                      <a:off x="0" y="0"/>
                      <a:ext cx="5939790" cy="3340735"/>
                    </a:xfrm>
                    <a:prstGeom prst="rect">
                      <a:avLst/>
                    </a:prstGeom>
                  </pic:spPr>
                </pic:pic>
              </a:graphicData>
            </a:graphic>
          </wp:inline>
        </w:drawing>
      </w:r>
    </w:p>
    <w:p w14:paraId="2A012013">
      <w:pPr>
        <w:pStyle w:val="6"/>
        <w:numPr>
          <w:ilvl w:val="2"/>
          <w:numId w:val="7"/>
        </w:numPr>
        <w:spacing w:before="260" w:after="260"/>
        <w:jc w:val="both"/>
        <w:rPr>
          <w:rFonts w:hint="eastAsia" w:ascii="宋体" w:hAnsi="宋体"/>
          <w:szCs w:val="24"/>
        </w:rPr>
      </w:pPr>
      <w:bookmarkStart w:id="43" w:name="_Toc180265531"/>
      <w:bookmarkStart w:id="44" w:name="_Toc180165685"/>
      <w:r>
        <w:rPr>
          <w:rFonts w:hint="eastAsia" w:ascii="宋体" w:hAnsi="宋体"/>
          <w:szCs w:val="24"/>
        </w:rPr>
        <w:t>在线解密</w:t>
      </w:r>
      <w:bookmarkEnd w:id="43"/>
      <w:bookmarkEnd w:id="44"/>
    </w:p>
    <w:p w14:paraId="08384E06">
      <w:pPr>
        <w:snapToGrid w:val="0"/>
        <w:spacing w:line="360" w:lineRule="auto"/>
        <w:contextualSpacing/>
        <w:rPr>
          <w:rFonts w:hint="eastAsia" w:ascii="宋体" w:hAnsi="宋体" w:eastAsia="宋体" w:cs="宋体"/>
          <w:b/>
          <w:szCs w:val="21"/>
        </w:rPr>
      </w:pPr>
      <w:r>
        <w:rPr>
          <w:rFonts w:hint="eastAsia" w:ascii="宋体" w:hAnsi="宋体" w:eastAsia="宋体"/>
          <w:b/>
          <w:szCs w:val="21"/>
        </w:rPr>
        <w:t>以下为产品功能概述，具体功能详见产品手册第</w:t>
      </w:r>
      <w:r>
        <w:rPr>
          <w:rFonts w:ascii="宋体" w:hAnsi="宋体" w:eastAsia="宋体"/>
          <w:b/>
          <w:szCs w:val="21"/>
        </w:rPr>
        <w:t>4.1.5.3</w:t>
      </w:r>
      <w:r>
        <w:rPr>
          <w:rFonts w:hint="eastAsia" w:ascii="宋体" w:hAnsi="宋体" w:eastAsia="宋体"/>
          <w:b/>
          <w:szCs w:val="21"/>
        </w:rPr>
        <w:t>章节 P</w:t>
      </w:r>
      <w:r>
        <w:rPr>
          <w:rFonts w:ascii="宋体" w:hAnsi="宋体" w:eastAsia="宋体"/>
          <w:b/>
          <w:szCs w:val="21"/>
        </w:rPr>
        <w:t>8</w:t>
      </w:r>
      <w:r>
        <w:rPr>
          <w:rFonts w:hint="eastAsia" w:ascii="宋体" w:hAnsi="宋体" w:eastAsia="宋体"/>
          <w:b/>
          <w:szCs w:val="21"/>
        </w:rPr>
        <w:t>1页</w:t>
      </w:r>
    </w:p>
    <w:p w14:paraId="7315FCD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 平台支持投标人规定时间内解密、项目经理统一解密两种方式。</w:t>
      </w:r>
    </w:p>
    <w:p w14:paraId="2D91BAF1">
      <w:pPr>
        <w:pStyle w:val="73"/>
        <w:numPr>
          <w:ilvl w:val="0"/>
          <w:numId w:val="13"/>
        </w:numPr>
        <w:snapToGrid w:val="0"/>
        <w:spacing w:line="360" w:lineRule="auto"/>
        <w:ind w:firstLineChars="0"/>
        <w:contextualSpacing/>
        <w:rPr>
          <w:rFonts w:hint="eastAsia" w:ascii="宋体" w:hAnsi="宋体" w:eastAsia="宋体" w:cs="宋体"/>
          <w:b/>
          <w:szCs w:val="21"/>
        </w:rPr>
      </w:pPr>
      <w:r>
        <w:rPr>
          <w:rFonts w:hint="eastAsia" w:ascii="宋体" w:hAnsi="宋体" w:eastAsia="宋体" w:cs="宋体"/>
          <w:b/>
          <w:szCs w:val="21"/>
        </w:rPr>
        <w:t>投标人在规定时间内解密：</w:t>
      </w:r>
    </w:p>
    <w:p w14:paraId="4ABD8CB0">
      <w:pPr>
        <w:snapToGrid w:val="0"/>
        <w:spacing w:line="360" w:lineRule="auto"/>
        <w:ind w:firstLine="420" w:firstLineChars="200"/>
        <w:contextualSpacing/>
        <w:rPr>
          <w:rFonts w:hint="eastAsia" w:ascii="宋体" w:hAnsi="宋体" w:eastAsia="宋体" w:cs="宋体"/>
          <w:b/>
          <w:szCs w:val="21"/>
        </w:rPr>
      </w:pPr>
      <w:r>
        <w:rPr>
          <w:rFonts w:hint="eastAsia" w:ascii="宋体" w:hAnsi="宋体" w:eastAsia="宋体" w:cs="宋体"/>
          <w:szCs w:val="21"/>
        </w:rPr>
        <w:t>项目到达开标时间后，可进行解密操作；项目经理设置规定解密时间，投标人在电子开标大厅通过CA、加密密码在规定时间内完成解密；</w:t>
      </w:r>
    </w:p>
    <w:p w14:paraId="64CB0D4F">
      <w:pPr>
        <w:pStyle w:val="73"/>
        <w:numPr>
          <w:ilvl w:val="0"/>
          <w:numId w:val="13"/>
        </w:numPr>
        <w:snapToGrid w:val="0"/>
        <w:spacing w:line="360" w:lineRule="auto"/>
        <w:ind w:firstLineChars="0"/>
        <w:contextualSpacing/>
        <w:rPr>
          <w:rFonts w:hint="eastAsia" w:ascii="宋体" w:hAnsi="宋体" w:eastAsia="宋体" w:cs="宋体"/>
          <w:b/>
          <w:szCs w:val="21"/>
        </w:rPr>
      </w:pPr>
      <w:r>
        <w:rPr>
          <w:rFonts w:hint="eastAsia" w:ascii="宋体" w:hAnsi="宋体" w:eastAsia="宋体" w:cs="宋体"/>
          <w:b/>
          <w:szCs w:val="21"/>
        </w:rPr>
        <w:t>项目经理统一解密：</w:t>
      </w:r>
    </w:p>
    <w:p w14:paraId="5CCA7394">
      <w:pPr>
        <w:snapToGrid w:val="0"/>
        <w:spacing w:line="360" w:lineRule="auto"/>
        <w:ind w:firstLine="210" w:firstLineChars="100"/>
        <w:contextualSpacing/>
        <w:rPr>
          <w:rFonts w:hint="eastAsia" w:ascii="宋体" w:hAnsi="宋体" w:eastAsia="宋体" w:cs="宋体"/>
          <w:b/>
          <w:szCs w:val="21"/>
        </w:rPr>
      </w:pPr>
      <w:r>
        <w:rPr>
          <w:rFonts w:hint="eastAsia" w:ascii="宋体" w:hAnsi="宋体" w:eastAsia="宋体" w:cs="宋体"/>
          <w:szCs w:val="21"/>
        </w:rPr>
        <w:t>由项目经理集中解密：解密解封后，开标大厅展示各唱标项的响应情况，并支持签字确认；</w:t>
      </w:r>
    </w:p>
    <w:p w14:paraId="5DC0D379">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899410"/>
            <wp:effectExtent l="0" t="0" r="3810" b="0"/>
            <wp:docPr id="83" name="image.png"/>
            <wp:cNvGraphicFramePr/>
            <a:graphic xmlns:a="http://schemas.openxmlformats.org/drawingml/2006/main">
              <a:graphicData uri="http://schemas.openxmlformats.org/drawingml/2006/picture">
                <pic:pic xmlns:pic="http://schemas.openxmlformats.org/drawingml/2006/picture">
                  <pic:nvPicPr>
                    <pic:cNvPr id="83" name="image.png"/>
                    <pic:cNvPicPr/>
                  </pic:nvPicPr>
                  <pic:blipFill>
                    <a:blip r:embed="rId51"/>
                    <a:stretch>
                      <a:fillRect/>
                    </a:stretch>
                  </pic:blipFill>
                  <pic:spPr>
                    <a:xfrm>
                      <a:off x="0" y="0"/>
                      <a:ext cx="5939790" cy="2899410"/>
                    </a:xfrm>
                    <a:prstGeom prst="rect">
                      <a:avLst/>
                    </a:prstGeom>
                  </pic:spPr>
                </pic:pic>
              </a:graphicData>
            </a:graphic>
          </wp:inline>
        </w:drawing>
      </w:r>
    </w:p>
    <w:p w14:paraId="497DB993">
      <w:pPr>
        <w:pStyle w:val="6"/>
        <w:numPr>
          <w:ilvl w:val="2"/>
          <w:numId w:val="7"/>
        </w:numPr>
        <w:spacing w:before="260" w:after="260"/>
        <w:jc w:val="both"/>
        <w:rPr>
          <w:rFonts w:hint="eastAsia" w:ascii="宋体" w:hAnsi="宋体"/>
          <w:szCs w:val="24"/>
        </w:rPr>
      </w:pPr>
      <w:bookmarkStart w:id="45" w:name="_Toc180265532"/>
      <w:bookmarkStart w:id="46" w:name="_Toc180165686"/>
      <w:r>
        <w:rPr>
          <w:rFonts w:hint="eastAsia" w:ascii="宋体" w:hAnsi="宋体"/>
          <w:szCs w:val="24"/>
        </w:rPr>
        <w:t>查看保证金缴纳情况</w:t>
      </w:r>
      <w:bookmarkEnd w:id="45"/>
      <w:bookmarkEnd w:id="46"/>
    </w:p>
    <w:p w14:paraId="77451677">
      <w:pPr>
        <w:pStyle w:val="2"/>
        <w:spacing w:line="360" w:lineRule="auto"/>
        <w:ind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4.1.4.5</w:t>
      </w:r>
      <w:r>
        <w:rPr>
          <w:rFonts w:hint="eastAsia" w:ascii="宋体" w:hAnsi="宋体"/>
          <w:b/>
          <w:szCs w:val="21"/>
        </w:rPr>
        <w:t>章节P</w:t>
      </w:r>
      <w:r>
        <w:rPr>
          <w:rFonts w:ascii="宋体" w:hAnsi="宋体"/>
          <w:b/>
          <w:szCs w:val="21"/>
        </w:rPr>
        <w:t>7</w:t>
      </w:r>
      <w:r>
        <w:rPr>
          <w:rFonts w:hint="eastAsia" w:ascii="宋体" w:hAnsi="宋体"/>
          <w:b/>
          <w:szCs w:val="21"/>
        </w:rPr>
        <w:t>8页</w:t>
      </w:r>
    </w:p>
    <w:p w14:paraId="307BB9C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平台支持查看投标人保证金缴纳情况，包括缴纳方式、缴纳金额等，如果投标人维护了基本户，系统可判断保证金是否从基本账户汇出。</w:t>
      </w:r>
    </w:p>
    <w:p w14:paraId="1594074E">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1719580"/>
            <wp:effectExtent l="0" t="0" r="381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52"/>
                    <a:stretch>
                      <a:fillRect/>
                    </a:stretch>
                  </pic:blipFill>
                  <pic:spPr>
                    <a:xfrm>
                      <a:off x="0" y="0"/>
                      <a:ext cx="5939790" cy="1719580"/>
                    </a:xfrm>
                    <a:prstGeom prst="rect">
                      <a:avLst/>
                    </a:prstGeom>
                  </pic:spPr>
                </pic:pic>
              </a:graphicData>
            </a:graphic>
          </wp:inline>
        </w:drawing>
      </w:r>
    </w:p>
    <w:p w14:paraId="6AE8EB4A">
      <w:pPr>
        <w:pStyle w:val="5"/>
        <w:numPr>
          <w:ilvl w:val="1"/>
          <w:numId w:val="7"/>
        </w:numPr>
        <w:spacing w:before="260" w:after="260"/>
        <w:jc w:val="both"/>
        <w:rPr>
          <w:rFonts w:hint="eastAsia" w:ascii="宋体" w:hAnsi="宋体" w:cs="宋体"/>
          <w:szCs w:val="28"/>
        </w:rPr>
      </w:pPr>
      <w:bookmarkStart w:id="47" w:name="_Toc180165687"/>
      <w:r>
        <w:rPr>
          <w:rFonts w:hint="eastAsia" w:ascii="宋体" w:hAnsi="宋体"/>
          <w:szCs w:val="28"/>
        </w:rPr>
        <w:t xml:space="preserve"> </w:t>
      </w:r>
      <w:bookmarkStart w:id="48" w:name="_Toc180265533"/>
      <w:r>
        <w:rPr>
          <w:rFonts w:hint="eastAsia" w:ascii="宋体" w:hAnsi="宋体"/>
          <w:szCs w:val="28"/>
        </w:rPr>
        <w:t>具有评标委员会线上评标，并支持评分结果自动汇总功能</w:t>
      </w:r>
      <w:bookmarkEnd w:id="47"/>
      <w:bookmarkEnd w:id="48"/>
    </w:p>
    <w:p w14:paraId="04975951">
      <w:pPr>
        <w:pStyle w:val="6"/>
        <w:numPr>
          <w:ilvl w:val="2"/>
          <w:numId w:val="7"/>
        </w:numPr>
        <w:spacing w:before="260" w:after="260"/>
        <w:jc w:val="both"/>
        <w:rPr>
          <w:rFonts w:hint="eastAsia" w:ascii="宋体" w:hAnsi="宋体"/>
          <w:szCs w:val="24"/>
        </w:rPr>
      </w:pPr>
      <w:bookmarkStart w:id="49" w:name="_Toc180265534"/>
      <w:bookmarkStart w:id="50" w:name="_Toc180165688"/>
      <w:r>
        <w:rPr>
          <w:rFonts w:hint="eastAsia" w:ascii="宋体" w:hAnsi="宋体"/>
          <w:szCs w:val="24"/>
        </w:rPr>
        <w:t>评标委员会在线评标</w:t>
      </w:r>
      <w:bookmarkEnd w:id="49"/>
      <w:bookmarkEnd w:id="50"/>
    </w:p>
    <w:p w14:paraId="3D4A2D67">
      <w:pPr>
        <w:pStyle w:val="2"/>
        <w:spacing w:line="360" w:lineRule="auto"/>
        <w:ind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4.1.6.2</w:t>
      </w:r>
      <w:r>
        <w:rPr>
          <w:rFonts w:hint="eastAsia" w:ascii="宋体" w:hAnsi="宋体"/>
          <w:b/>
          <w:szCs w:val="21"/>
        </w:rPr>
        <w:t>章节 P89页</w:t>
      </w:r>
    </w:p>
    <w:p w14:paraId="61BC8C0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评标委员会在线评标功能，支持在线组建评委会、在线评标功能，可提升评审便捷性和评标效率；同时具备标中质询、否决投标人等功能，项目完成开标以后，评标委员会成员登录评审系统，在线查看评审纪律、推举评标委员会组长；评委会成员可通过评标系统浏览招标文件、各投标人的投标文件；按照评标方法以及评审配置进行评标。</w:t>
      </w:r>
    </w:p>
    <w:p w14:paraId="1953D61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主要功能包括：</w:t>
      </w:r>
    </w:p>
    <w:p w14:paraId="4047D32B">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文件浏览</w:t>
      </w:r>
      <w:r>
        <w:rPr>
          <w:rFonts w:hint="eastAsia" w:ascii="宋体" w:hAnsi="宋体" w:eastAsia="宋体" w:cs="宋体"/>
          <w:szCs w:val="21"/>
        </w:rPr>
        <w:t>：查阅招标文件、各投标人的投标文件、投标附件；</w:t>
      </w:r>
    </w:p>
    <w:p w14:paraId="1E7CEAAC">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文件比对</w:t>
      </w:r>
      <w:r>
        <w:rPr>
          <w:rFonts w:hint="eastAsia" w:ascii="宋体" w:hAnsi="宋体" w:eastAsia="宋体" w:cs="宋体"/>
          <w:szCs w:val="21"/>
        </w:rPr>
        <w:t>：各投标文件横向比对、对于投标人响应文件的快速定位；</w:t>
      </w:r>
    </w:p>
    <w:p w14:paraId="394377FD">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标中质询</w:t>
      </w:r>
      <w:r>
        <w:rPr>
          <w:rFonts w:hint="eastAsia" w:ascii="宋体" w:hAnsi="宋体" w:eastAsia="宋体" w:cs="宋体"/>
          <w:szCs w:val="21"/>
        </w:rPr>
        <w:t>：在线给投标人发送标中质询，并查看质询回复结果；</w:t>
      </w:r>
    </w:p>
    <w:p w14:paraId="6C5F04E4">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调整评标价</w:t>
      </w:r>
      <w:r>
        <w:rPr>
          <w:rFonts w:hint="eastAsia" w:ascii="宋体" w:hAnsi="宋体" w:eastAsia="宋体" w:cs="宋体"/>
          <w:szCs w:val="21"/>
        </w:rPr>
        <w:t>：支持按照比例、金额调整和修正评标价；</w:t>
      </w:r>
    </w:p>
    <w:p w14:paraId="144B92D2">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评标基准价计算</w:t>
      </w:r>
      <w:r>
        <w:rPr>
          <w:rFonts w:hint="eastAsia" w:ascii="宋体" w:hAnsi="宋体" w:eastAsia="宋体" w:cs="宋体"/>
          <w:szCs w:val="21"/>
        </w:rPr>
        <w:t>：支持按照招标文件的评标方法自动计算评标基准价；</w:t>
      </w:r>
    </w:p>
    <w:p w14:paraId="324C3CA9">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一致性打分项校验</w:t>
      </w:r>
      <w:r>
        <w:rPr>
          <w:rFonts w:hint="eastAsia" w:ascii="宋体" w:hAnsi="宋体" w:eastAsia="宋体" w:cs="宋体"/>
          <w:szCs w:val="21"/>
        </w:rPr>
        <w:t>：对于客观分可以强制校验，对于不一致的分数限制提交；</w:t>
      </w:r>
    </w:p>
    <w:p w14:paraId="31BFE5FA">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评标结果汇总</w:t>
      </w:r>
      <w:r>
        <w:rPr>
          <w:rFonts w:hint="eastAsia" w:ascii="宋体" w:hAnsi="宋体" w:eastAsia="宋体" w:cs="宋体"/>
          <w:szCs w:val="21"/>
        </w:rPr>
        <w:t>：系统根据评标委员会成员提交的评审结果自动汇总结果并排名；</w:t>
      </w:r>
    </w:p>
    <w:p w14:paraId="29E685B5">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评审报告自动生成</w:t>
      </w:r>
      <w:r>
        <w:rPr>
          <w:rFonts w:hint="eastAsia" w:ascii="宋体" w:hAnsi="宋体" w:eastAsia="宋体" w:cs="宋体"/>
          <w:szCs w:val="21"/>
        </w:rPr>
        <w:t>：支持按照模板、评审情况自动生成评审报告；</w:t>
      </w:r>
    </w:p>
    <w:p w14:paraId="0BA43B16">
      <w:pPr>
        <w:snapToGrid w:val="0"/>
        <w:spacing w:line="360" w:lineRule="auto"/>
        <w:contextualSpacing/>
        <w:rPr>
          <w:rFonts w:hint="eastAsia" w:ascii="宋体" w:hAnsi="宋体" w:eastAsia="宋体" w:cs="宋体"/>
          <w:szCs w:val="21"/>
        </w:rPr>
      </w:pPr>
      <w:r>
        <w:rPr>
          <w:rFonts w:hint="eastAsia" w:ascii="宋体" w:hAnsi="宋体" w:eastAsia="宋体" w:cs="宋体"/>
          <w:b/>
          <w:szCs w:val="21"/>
        </w:rPr>
        <w:t>在线签字</w:t>
      </w:r>
      <w:r>
        <w:rPr>
          <w:rFonts w:hint="eastAsia" w:ascii="宋体" w:hAnsi="宋体" w:eastAsia="宋体" w:cs="宋体"/>
          <w:szCs w:val="21"/>
        </w:rPr>
        <w:t>：支持评标专家、监督人在线对评审报告签字。</w:t>
      </w:r>
    </w:p>
    <w:p w14:paraId="367B75A9">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821940"/>
            <wp:effectExtent l="0" t="0" r="381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53"/>
                    <a:stretch>
                      <a:fillRect/>
                    </a:stretch>
                  </pic:blipFill>
                  <pic:spPr>
                    <a:xfrm>
                      <a:off x="0" y="0"/>
                      <a:ext cx="5939790" cy="2821940"/>
                    </a:xfrm>
                    <a:prstGeom prst="rect">
                      <a:avLst/>
                    </a:prstGeom>
                  </pic:spPr>
                </pic:pic>
              </a:graphicData>
            </a:graphic>
          </wp:inline>
        </w:drawing>
      </w:r>
    </w:p>
    <w:p w14:paraId="395DB6DA">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394585"/>
            <wp:effectExtent l="0" t="0" r="381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54"/>
                    <a:stretch>
                      <a:fillRect/>
                    </a:stretch>
                  </pic:blipFill>
                  <pic:spPr>
                    <a:xfrm>
                      <a:off x="0" y="0"/>
                      <a:ext cx="5939790" cy="2394585"/>
                    </a:xfrm>
                    <a:prstGeom prst="rect">
                      <a:avLst/>
                    </a:prstGeom>
                  </pic:spPr>
                </pic:pic>
              </a:graphicData>
            </a:graphic>
          </wp:inline>
        </w:drawing>
      </w:r>
    </w:p>
    <w:p w14:paraId="5B3C9698">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835275"/>
            <wp:effectExtent l="0" t="0" r="3810" b="317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55"/>
                    <a:stretch>
                      <a:fillRect/>
                    </a:stretch>
                  </pic:blipFill>
                  <pic:spPr>
                    <a:xfrm>
                      <a:off x="0" y="0"/>
                      <a:ext cx="5939790" cy="2835275"/>
                    </a:xfrm>
                    <a:prstGeom prst="rect">
                      <a:avLst/>
                    </a:prstGeom>
                  </pic:spPr>
                </pic:pic>
              </a:graphicData>
            </a:graphic>
          </wp:inline>
        </w:drawing>
      </w:r>
    </w:p>
    <w:p w14:paraId="3E6A3769">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729865"/>
            <wp:effectExtent l="0" t="0" r="381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56"/>
                    <a:stretch>
                      <a:fillRect/>
                    </a:stretch>
                  </pic:blipFill>
                  <pic:spPr>
                    <a:xfrm>
                      <a:off x="0" y="0"/>
                      <a:ext cx="5939790" cy="2729865"/>
                    </a:xfrm>
                    <a:prstGeom prst="rect">
                      <a:avLst/>
                    </a:prstGeom>
                  </pic:spPr>
                </pic:pic>
              </a:graphicData>
            </a:graphic>
          </wp:inline>
        </w:drawing>
      </w:r>
    </w:p>
    <w:p w14:paraId="0BDC8A18">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723515"/>
            <wp:effectExtent l="0" t="0" r="3810" b="63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57"/>
                    <a:stretch>
                      <a:fillRect/>
                    </a:stretch>
                  </pic:blipFill>
                  <pic:spPr>
                    <a:xfrm>
                      <a:off x="0" y="0"/>
                      <a:ext cx="5939790" cy="2723515"/>
                    </a:xfrm>
                    <a:prstGeom prst="rect">
                      <a:avLst/>
                    </a:prstGeom>
                  </pic:spPr>
                </pic:pic>
              </a:graphicData>
            </a:graphic>
          </wp:inline>
        </w:drawing>
      </w:r>
    </w:p>
    <w:p w14:paraId="26AA711E">
      <w:pPr>
        <w:pStyle w:val="6"/>
        <w:numPr>
          <w:ilvl w:val="2"/>
          <w:numId w:val="7"/>
        </w:numPr>
        <w:spacing w:before="260" w:after="260"/>
        <w:jc w:val="both"/>
        <w:rPr>
          <w:rFonts w:hint="eastAsia" w:ascii="宋体" w:hAnsi="宋体"/>
          <w:szCs w:val="24"/>
        </w:rPr>
      </w:pPr>
      <w:bookmarkStart w:id="51" w:name="_Toc180265535"/>
      <w:bookmarkStart w:id="52" w:name="_Toc180165689"/>
      <w:r>
        <w:rPr>
          <w:rFonts w:hint="eastAsia" w:ascii="宋体" w:hAnsi="宋体"/>
          <w:szCs w:val="24"/>
        </w:rPr>
        <w:t>评审结果生成及汇总</w:t>
      </w:r>
      <w:bookmarkEnd w:id="51"/>
      <w:bookmarkEnd w:id="52"/>
    </w:p>
    <w:p w14:paraId="73C260CA">
      <w:pPr>
        <w:pStyle w:val="2"/>
        <w:spacing w:line="360" w:lineRule="auto"/>
        <w:ind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4.1.6.2</w:t>
      </w:r>
      <w:r>
        <w:rPr>
          <w:rFonts w:hint="eastAsia" w:ascii="宋体" w:hAnsi="宋体"/>
          <w:b/>
          <w:szCs w:val="21"/>
        </w:rPr>
        <w:t>章节 P89页</w:t>
      </w:r>
    </w:p>
    <w:p w14:paraId="03081D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评标专家提交评标结果后，系统自动汇总评审数据，根据评标方法、是否去掉最高最低分等条件，生成评标结果数据，包括各投标人的分数、报价情况、排名等；评标专家提交评审汇总后，系统自动生成评审报表、评标报告，专家可在线签字。 </w:t>
      </w:r>
    </w:p>
    <w:p w14:paraId="696EAA7B">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009140"/>
            <wp:effectExtent l="0" t="0" r="381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58"/>
                    <a:stretch>
                      <a:fillRect/>
                    </a:stretch>
                  </pic:blipFill>
                  <pic:spPr>
                    <a:xfrm>
                      <a:off x="0" y="0"/>
                      <a:ext cx="5939790" cy="2009140"/>
                    </a:xfrm>
                    <a:prstGeom prst="rect">
                      <a:avLst/>
                    </a:prstGeom>
                  </pic:spPr>
                </pic:pic>
              </a:graphicData>
            </a:graphic>
          </wp:inline>
        </w:drawing>
      </w:r>
    </w:p>
    <w:p w14:paraId="558F32E9">
      <w:pPr>
        <w:snapToGrid w:val="0"/>
        <w:spacing w:line="360" w:lineRule="auto"/>
        <w:contextualSpacing/>
        <w:rPr>
          <w:rFonts w:hint="eastAsia" w:ascii="宋体" w:hAnsi="宋体" w:eastAsia="宋体" w:cs="宋体"/>
          <w:szCs w:val="21"/>
        </w:rPr>
      </w:pPr>
      <w:r>
        <w:rPr>
          <w:rFonts w:ascii="宋体" w:hAnsi="宋体" w:eastAsia="宋体"/>
          <w:szCs w:val="21"/>
        </w:rPr>
        <w:drawing>
          <wp:inline distT="0" distB="0" distL="0" distR="0">
            <wp:extent cx="5939790" cy="2726690"/>
            <wp:effectExtent l="0" t="0" r="381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59"/>
                    <a:stretch>
                      <a:fillRect/>
                    </a:stretch>
                  </pic:blipFill>
                  <pic:spPr>
                    <a:xfrm>
                      <a:off x="0" y="0"/>
                      <a:ext cx="5939790" cy="2726690"/>
                    </a:xfrm>
                    <a:prstGeom prst="rect">
                      <a:avLst/>
                    </a:prstGeom>
                  </pic:spPr>
                </pic:pic>
              </a:graphicData>
            </a:graphic>
          </wp:inline>
        </w:drawing>
      </w:r>
    </w:p>
    <w:p w14:paraId="71A0F9A5">
      <w:pPr>
        <w:pStyle w:val="5"/>
        <w:numPr>
          <w:ilvl w:val="1"/>
          <w:numId w:val="7"/>
        </w:numPr>
        <w:spacing w:before="260" w:after="260"/>
        <w:jc w:val="both"/>
        <w:rPr>
          <w:rFonts w:hint="eastAsia" w:ascii="宋体" w:hAnsi="宋体"/>
          <w:szCs w:val="28"/>
        </w:rPr>
      </w:pPr>
      <w:bookmarkStart w:id="53" w:name="_Toc180165690"/>
      <w:bookmarkStart w:id="54" w:name="_Toc180265536"/>
      <w:r>
        <w:rPr>
          <w:rFonts w:hint="eastAsia" w:ascii="宋体" w:hAnsi="宋体"/>
          <w:szCs w:val="28"/>
        </w:rPr>
        <w:t>具有非公开招标采购方式流程功能</w:t>
      </w:r>
      <w:bookmarkEnd w:id="53"/>
      <w:bookmarkEnd w:id="54"/>
    </w:p>
    <w:p w14:paraId="47962973">
      <w:pPr>
        <w:pStyle w:val="6"/>
        <w:numPr>
          <w:ilvl w:val="2"/>
          <w:numId w:val="7"/>
        </w:numPr>
        <w:spacing w:before="260" w:after="260"/>
        <w:jc w:val="both"/>
        <w:rPr>
          <w:rFonts w:hint="eastAsia" w:ascii="宋体" w:hAnsi="宋体"/>
          <w:szCs w:val="24"/>
        </w:rPr>
      </w:pPr>
      <w:bookmarkStart w:id="55" w:name="_Toc180265537"/>
      <w:bookmarkStart w:id="56" w:name="_Toc180165691"/>
      <w:r>
        <w:rPr>
          <w:rFonts w:hint="eastAsia" w:ascii="宋体" w:hAnsi="宋体"/>
          <w:szCs w:val="24"/>
        </w:rPr>
        <w:t>非招标方式采购流程的项目管理</w:t>
      </w:r>
      <w:bookmarkEnd w:id="55"/>
      <w:bookmarkEnd w:id="56"/>
    </w:p>
    <w:p w14:paraId="66C0FA04">
      <w:pPr>
        <w:pStyle w:val="2"/>
        <w:spacing w:line="360" w:lineRule="auto"/>
        <w:ind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4.2.1</w:t>
      </w:r>
      <w:r>
        <w:rPr>
          <w:rFonts w:hint="eastAsia" w:ascii="宋体" w:hAnsi="宋体"/>
          <w:b/>
          <w:szCs w:val="21"/>
        </w:rPr>
        <w:t>章节 P</w:t>
      </w:r>
      <w:r>
        <w:rPr>
          <w:rFonts w:ascii="宋体" w:hAnsi="宋体"/>
          <w:b/>
          <w:szCs w:val="21"/>
        </w:rPr>
        <w:t>11</w:t>
      </w:r>
      <w:r>
        <w:rPr>
          <w:rFonts w:hint="eastAsia" w:ascii="宋体" w:hAnsi="宋体"/>
          <w:b/>
          <w:szCs w:val="21"/>
        </w:rPr>
        <w:t>5 页</w:t>
      </w:r>
    </w:p>
    <w:p w14:paraId="1444521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非招标方式采购流程，参考一般行业管理要求和《电子采购交易规范非招标方式》等交易规范的要求进行了初始化设置。管理员可查看默认采购流程设置，并可以根据自身企业采购的管理特点，对流程设置进行个性化的微调。</w:t>
      </w:r>
    </w:p>
    <w:p w14:paraId="1C0EA9CE">
      <w:pPr>
        <w:widowControl/>
        <w:spacing w:line="360" w:lineRule="auto"/>
        <w:rPr>
          <w:rFonts w:hint="eastAsia" w:ascii="宋体" w:hAnsi="宋体" w:eastAsia="宋体" w:cs="宋体"/>
          <w:szCs w:val="21"/>
        </w:rPr>
      </w:pPr>
      <w:r>
        <w:rPr>
          <w:rFonts w:ascii="宋体" w:hAnsi="宋体" w:eastAsia="宋体"/>
          <w:szCs w:val="21"/>
        </w:rPr>
        <w:drawing>
          <wp:inline distT="0" distB="0" distL="114300" distR="114300">
            <wp:extent cx="5937885" cy="2770505"/>
            <wp:effectExtent l="0" t="0" r="5715" b="10795"/>
            <wp:docPr id="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
                    <pic:cNvPicPr>
                      <a:picLocks noChangeAspect="1"/>
                    </pic:cNvPicPr>
                  </pic:nvPicPr>
                  <pic:blipFill>
                    <a:blip r:embed="rId60"/>
                    <a:stretch>
                      <a:fillRect/>
                    </a:stretch>
                  </pic:blipFill>
                  <pic:spPr>
                    <a:xfrm>
                      <a:off x="0" y="0"/>
                      <a:ext cx="5937885" cy="2770505"/>
                    </a:xfrm>
                    <a:prstGeom prst="rect">
                      <a:avLst/>
                    </a:prstGeom>
                    <a:noFill/>
                    <a:ln>
                      <a:noFill/>
                    </a:ln>
                  </pic:spPr>
                </pic:pic>
              </a:graphicData>
            </a:graphic>
          </wp:inline>
        </w:drawing>
      </w:r>
    </w:p>
    <w:p w14:paraId="79950F10">
      <w:pPr>
        <w:widowControl/>
        <w:spacing w:line="360" w:lineRule="auto"/>
        <w:rPr>
          <w:rFonts w:hint="eastAsia" w:ascii="宋体" w:hAnsi="宋体" w:eastAsia="宋体"/>
          <w:szCs w:val="21"/>
        </w:rPr>
      </w:pPr>
      <w:r>
        <w:rPr>
          <w:rFonts w:ascii="宋体" w:hAnsi="宋体" w:eastAsia="宋体"/>
          <w:szCs w:val="21"/>
        </w:rPr>
        <w:drawing>
          <wp:inline distT="0" distB="0" distL="114300" distR="114300">
            <wp:extent cx="5932805" cy="2783840"/>
            <wp:effectExtent l="0" t="0" r="10795" b="10160"/>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pic:cNvPicPr>
                  </pic:nvPicPr>
                  <pic:blipFill>
                    <a:blip r:embed="rId61"/>
                    <a:stretch>
                      <a:fillRect/>
                    </a:stretch>
                  </pic:blipFill>
                  <pic:spPr>
                    <a:xfrm>
                      <a:off x="0" y="0"/>
                      <a:ext cx="5932805" cy="2783840"/>
                    </a:xfrm>
                    <a:prstGeom prst="rect">
                      <a:avLst/>
                    </a:prstGeom>
                    <a:noFill/>
                    <a:ln>
                      <a:noFill/>
                    </a:ln>
                  </pic:spPr>
                </pic:pic>
              </a:graphicData>
            </a:graphic>
          </wp:inline>
        </w:drawing>
      </w:r>
    </w:p>
    <w:p w14:paraId="666FC0BC">
      <w:pPr>
        <w:pStyle w:val="6"/>
        <w:numPr>
          <w:ilvl w:val="2"/>
          <w:numId w:val="7"/>
        </w:numPr>
        <w:spacing w:before="260" w:after="260"/>
        <w:jc w:val="both"/>
        <w:rPr>
          <w:rFonts w:hint="eastAsia" w:ascii="宋体" w:hAnsi="宋体"/>
          <w:szCs w:val="24"/>
        </w:rPr>
      </w:pPr>
      <w:bookmarkStart w:id="57" w:name="_Toc180265538"/>
      <w:bookmarkStart w:id="58" w:name="_Toc180165692"/>
      <w:r>
        <w:rPr>
          <w:rFonts w:hint="eastAsia" w:ascii="宋体" w:hAnsi="宋体"/>
          <w:szCs w:val="24"/>
        </w:rPr>
        <w:t>常用非招标方式的项目流程</w:t>
      </w:r>
      <w:bookmarkEnd w:id="57"/>
      <w:bookmarkEnd w:id="58"/>
    </w:p>
    <w:p w14:paraId="6841EA19">
      <w:pPr>
        <w:widowControl/>
        <w:spacing w:line="360" w:lineRule="auto"/>
        <w:rPr>
          <w:rFonts w:hint="eastAsia" w:ascii="宋体" w:hAnsi="宋体" w:eastAsia="宋体"/>
          <w:b/>
          <w:szCs w:val="21"/>
        </w:rPr>
      </w:pPr>
      <w:r>
        <w:rPr>
          <w:rFonts w:hint="eastAsia" w:ascii="宋体" w:hAnsi="宋体" w:eastAsia="宋体"/>
          <w:b/>
          <w:szCs w:val="21"/>
        </w:rPr>
        <w:t>以下为产品功能概述，具体功能详见产品手册第</w:t>
      </w:r>
      <w:r>
        <w:rPr>
          <w:rFonts w:ascii="宋体" w:hAnsi="宋体" w:eastAsia="宋体"/>
          <w:b/>
          <w:szCs w:val="21"/>
        </w:rPr>
        <w:t>4.2.2</w:t>
      </w:r>
      <w:r>
        <w:rPr>
          <w:rFonts w:hint="eastAsia" w:ascii="宋体" w:hAnsi="宋体" w:eastAsia="宋体"/>
          <w:b/>
          <w:szCs w:val="21"/>
        </w:rPr>
        <w:t>章节 P</w:t>
      </w:r>
      <w:r>
        <w:rPr>
          <w:rFonts w:ascii="宋体" w:hAnsi="宋体" w:eastAsia="宋体"/>
          <w:b/>
          <w:szCs w:val="21"/>
        </w:rPr>
        <w:t>11</w:t>
      </w:r>
      <w:r>
        <w:rPr>
          <w:rFonts w:hint="eastAsia" w:ascii="宋体" w:hAnsi="宋体" w:eastAsia="宋体"/>
          <w:b/>
          <w:szCs w:val="21"/>
        </w:rPr>
        <w:t>5页</w:t>
      </w:r>
    </w:p>
    <w:p w14:paraId="43BEC04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平台支持竞争性谈判、谈判采购、询比采购、询价、单一来源、直接采购、框架协议等非招标流程</w:t>
      </w:r>
    </w:p>
    <w:p w14:paraId="07E480E0">
      <w:pPr>
        <w:pStyle w:val="73"/>
        <w:widowControl/>
        <w:numPr>
          <w:ilvl w:val="0"/>
          <w:numId w:val="13"/>
        </w:numPr>
        <w:spacing w:line="360" w:lineRule="auto"/>
        <w:ind w:firstLineChars="0"/>
        <w:rPr>
          <w:rFonts w:hint="eastAsia" w:ascii="宋体" w:hAnsi="宋体" w:eastAsia="宋体"/>
          <w:b/>
          <w:szCs w:val="21"/>
        </w:rPr>
      </w:pPr>
      <w:r>
        <w:rPr>
          <w:rFonts w:hint="eastAsia" w:ascii="宋体" w:hAnsi="宋体" w:eastAsia="宋体"/>
          <w:b/>
          <w:szCs w:val="21"/>
        </w:rPr>
        <w:t>竞争性谈判/谈判采购</w:t>
      </w:r>
    </w:p>
    <w:p w14:paraId="6430D39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创建竞争性谈判/谈判采购流程项目，项目流程包含：项目立项、项目发布、文件发售、开标、谈判管理（评标）、成交阶段、归档、结案、项目结束九个阶段。可全程电子化和非全程电子化两种模式，编辑招标文件、邀请供应商参与项目。</w:t>
      </w:r>
    </w:p>
    <w:p w14:paraId="4032F764">
      <w:pPr>
        <w:autoSpaceDE w:val="0"/>
        <w:autoSpaceDN w:val="0"/>
        <w:adjustRightInd w:val="0"/>
        <w:snapToGrid w:val="0"/>
        <w:spacing w:line="360" w:lineRule="auto"/>
        <w:ind w:firstLine="420" w:firstLineChars="200"/>
        <w:rPr>
          <w:rFonts w:hint="eastAsia" w:ascii="宋体" w:hAnsi="宋体" w:eastAsia="宋体" w:cs="宋体"/>
          <w:szCs w:val="21"/>
        </w:rPr>
      </w:pPr>
      <w:r>
        <w:rPr>
          <w:rFonts w:ascii="宋体" w:hAnsi="宋体" w:eastAsia="宋体"/>
          <w:szCs w:val="21"/>
        </w:rPr>
        <w:drawing>
          <wp:inline distT="0" distB="0" distL="114300" distR="114300">
            <wp:extent cx="5298440" cy="1855470"/>
            <wp:effectExtent l="0" t="0" r="0" b="0"/>
            <wp:docPr id="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1"/>
                    </pic:cNvPicPr>
                  </pic:nvPicPr>
                  <pic:blipFill>
                    <a:blip r:embed="rId62"/>
                    <a:srcRect t="17297" b="7490"/>
                    <a:stretch>
                      <a:fillRect/>
                    </a:stretch>
                  </pic:blipFill>
                  <pic:spPr>
                    <a:xfrm>
                      <a:off x="0" y="0"/>
                      <a:ext cx="5298440" cy="1855470"/>
                    </a:xfrm>
                    <a:prstGeom prst="rect">
                      <a:avLst/>
                    </a:prstGeom>
                    <a:noFill/>
                    <a:ln>
                      <a:noFill/>
                    </a:ln>
                  </pic:spPr>
                </pic:pic>
              </a:graphicData>
            </a:graphic>
          </wp:inline>
        </w:drawing>
      </w:r>
    </w:p>
    <w:p w14:paraId="7E498A7F">
      <w:pPr>
        <w:pStyle w:val="73"/>
        <w:widowControl/>
        <w:numPr>
          <w:ilvl w:val="0"/>
          <w:numId w:val="13"/>
        </w:numPr>
        <w:spacing w:line="360" w:lineRule="auto"/>
        <w:ind w:firstLineChars="0"/>
        <w:rPr>
          <w:rFonts w:hint="eastAsia" w:ascii="宋体" w:hAnsi="宋体" w:eastAsia="宋体"/>
          <w:b/>
          <w:szCs w:val="21"/>
        </w:rPr>
      </w:pPr>
      <w:r>
        <w:rPr>
          <w:rFonts w:hint="eastAsia" w:ascii="宋体" w:hAnsi="宋体" w:eastAsia="宋体"/>
          <w:b/>
          <w:szCs w:val="21"/>
        </w:rPr>
        <w:t>询比采购</w:t>
      </w:r>
    </w:p>
    <w:p w14:paraId="66531BC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创建询比采购流程项目，项目流程包含：项目立项、项目发布、文件发售、开标、评标、成交阶段、归档、结案、项目结束九个阶段。可全程电子化和非全程电子化两种模式，编辑招标文件、邀请供应商参与项目，未邀请的投标人无法在平台上参与项目。</w:t>
      </w:r>
    </w:p>
    <w:p w14:paraId="1D5E7672">
      <w:pPr>
        <w:widowControl/>
        <w:spacing w:line="360" w:lineRule="auto"/>
        <w:rPr>
          <w:rFonts w:hint="eastAsia" w:ascii="宋体" w:hAnsi="宋体" w:eastAsia="宋体" w:cs="宋体"/>
          <w:szCs w:val="21"/>
        </w:rPr>
      </w:pPr>
      <w:r>
        <w:rPr>
          <w:rFonts w:ascii="宋体" w:hAnsi="宋体" w:eastAsia="宋体"/>
          <w:szCs w:val="21"/>
        </w:rPr>
        <w:drawing>
          <wp:inline distT="0" distB="0" distL="114300" distR="114300">
            <wp:extent cx="5932805" cy="2393315"/>
            <wp:effectExtent l="0" t="0" r="10795" b="6985"/>
            <wp:docPr id="8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1"/>
                    <pic:cNvPicPr>
                      <a:picLocks noChangeAspect="1"/>
                    </pic:cNvPicPr>
                  </pic:nvPicPr>
                  <pic:blipFill>
                    <a:blip r:embed="rId63"/>
                    <a:stretch>
                      <a:fillRect/>
                    </a:stretch>
                  </pic:blipFill>
                  <pic:spPr>
                    <a:xfrm>
                      <a:off x="0" y="0"/>
                      <a:ext cx="5932805" cy="2393315"/>
                    </a:xfrm>
                    <a:prstGeom prst="rect">
                      <a:avLst/>
                    </a:prstGeom>
                    <a:noFill/>
                    <a:ln>
                      <a:noFill/>
                    </a:ln>
                  </pic:spPr>
                </pic:pic>
              </a:graphicData>
            </a:graphic>
          </wp:inline>
        </w:drawing>
      </w:r>
    </w:p>
    <w:p w14:paraId="4BF2A744">
      <w:pPr>
        <w:pStyle w:val="73"/>
        <w:widowControl/>
        <w:numPr>
          <w:ilvl w:val="0"/>
          <w:numId w:val="13"/>
        </w:numPr>
        <w:spacing w:line="360" w:lineRule="auto"/>
        <w:ind w:firstLineChars="0"/>
        <w:rPr>
          <w:rFonts w:hint="eastAsia" w:ascii="宋体" w:hAnsi="宋体" w:eastAsia="宋体" w:cs="宋体"/>
          <w:b/>
          <w:szCs w:val="21"/>
        </w:rPr>
      </w:pPr>
      <w:r>
        <w:rPr>
          <w:rFonts w:hint="eastAsia" w:ascii="宋体" w:hAnsi="宋体" w:eastAsia="宋体" w:cs="宋体"/>
          <w:b/>
          <w:szCs w:val="21"/>
        </w:rPr>
        <w:t>询价</w:t>
      </w:r>
    </w:p>
    <w:p w14:paraId="3707A9D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创建询价流程项目，项目流程包含：项目立项、项目发布、文件发售、开标、询价管理（评标）、成交阶段、归档、结案、项目结束九个阶段。可全程电子化和非全程电子化两种模式，编辑招标文件、邀请供应商参与项目，未邀请的投标人无法在平台上参与项目。</w:t>
      </w:r>
    </w:p>
    <w:p w14:paraId="3C0BFB58">
      <w:pPr>
        <w:widowControl/>
        <w:spacing w:line="360" w:lineRule="auto"/>
        <w:rPr>
          <w:rFonts w:hint="eastAsia" w:ascii="宋体" w:hAnsi="宋体" w:eastAsia="宋体" w:cs="宋体"/>
          <w:szCs w:val="21"/>
        </w:rPr>
      </w:pPr>
      <w:r>
        <w:rPr>
          <w:rFonts w:ascii="宋体" w:hAnsi="宋体" w:eastAsia="宋体"/>
          <w:szCs w:val="21"/>
        </w:rPr>
        <w:drawing>
          <wp:inline distT="0" distB="0" distL="114300" distR="114300">
            <wp:extent cx="5932805" cy="2783840"/>
            <wp:effectExtent l="0" t="0" r="10795" b="10160"/>
            <wp:docPr id="9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3"/>
                    <pic:cNvPicPr>
                      <a:picLocks noChangeAspect="1"/>
                    </pic:cNvPicPr>
                  </pic:nvPicPr>
                  <pic:blipFill>
                    <a:blip r:embed="rId64"/>
                    <a:stretch>
                      <a:fillRect/>
                    </a:stretch>
                  </pic:blipFill>
                  <pic:spPr>
                    <a:xfrm>
                      <a:off x="0" y="0"/>
                      <a:ext cx="5932805" cy="2783840"/>
                    </a:xfrm>
                    <a:prstGeom prst="rect">
                      <a:avLst/>
                    </a:prstGeom>
                    <a:noFill/>
                    <a:ln>
                      <a:noFill/>
                    </a:ln>
                  </pic:spPr>
                </pic:pic>
              </a:graphicData>
            </a:graphic>
          </wp:inline>
        </w:drawing>
      </w:r>
    </w:p>
    <w:p w14:paraId="32B62F11">
      <w:pPr>
        <w:pStyle w:val="73"/>
        <w:widowControl/>
        <w:numPr>
          <w:ilvl w:val="0"/>
          <w:numId w:val="13"/>
        </w:numPr>
        <w:spacing w:line="360" w:lineRule="auto"/>
        <w:ind w:firstLineChars="0"/>
        <w:rPr>
          <w:rFonts w:hint="eastAsia" w:ascii="宋体" w:hAnsi="宋体" w:eastAsia="宋体" w:cs="宋体"/>
          <w:b/>
          <w:szCs w:val="21"/>
        </w:rPr>
      </w:pPr>
      <w:r>
        <w:rPr>
          <w:rFonts w:hint="eastAsia" w:ascii="宋体" w:hAnsi="宋体" w:eastAsia="宋体" w:cs="宋体"/>
          <w:b/>
          <w:szCs w:val="21"/>
        </w:rPr>
        <w:t>单一来源</w:t>
      </w:r>
    </w:p>
    <w:p w14:paraId="12387FB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创建单一来源采购流程项目，项目流程包含：项目立项、项目发布、文件发售、开标、协商管理（评标）、成交阶段、归档、结案、项目结束九个阶段。可全程电子化和非全程电子化两种模式，编辑招标文件、邀请供应商参与项目，未邀请的投标人无法在平台上参与项目。</w:t>
      </w:r>
    </w:p>
    <w:p w14:paraId="1C87349E">
      <w:pPr>
        <w:widowControl/>
        <w:spacing w:line="360" w:lineRule="auto"/>
        <w:rPr>
          <w:rFonts w:hint="eastAsia" w:ascii="宋体" w:hAnsi="宋体" w:eastAsia="宋体" w:cs="宋体"/>
          <w:szCs w:val="21"/>
        </w:rPr>
      </w:pPr>
      <w:r>
        <w:rPr>
          <w:rFonts w:hint="eastAsia" w:ascii="宋体" w:hAnsi="宋体" w:eastAsia="宋体"/>
          <w:szCs w:val="21"/>
        </w:rPr>
        <w:drawing>
          <wp:inline distT="0" distB="0" distL="114300" distR="114300">
            <wp:extent cx="5935345" cy="2765425"/>
            <wp:effectExtent l="0" t="0" r="8255" b="3175"/>
            <wp:docPr id="92" name="图片 92" descr="7f342b23de9c138f1fe7216c138b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7f342b23de9c138f1fe7216c138bdf1"/>
                    <pic:cNvPicPr>
                      <a:picLocks noChangeAspect="1"/>
                    </pic:cNvPicPr>
                  </pic:nvPicPr>
                  <pic:blipFill>
                    <a:blip r:embed="rId65"/>
                    <a:stretch>
                      <a:fillRect/>
                    </a:stretch>
                  </pic:blipFill>
                  <pic:spPr>
                    <a:xfrm>
                      <a:off x="0" y="0"/>
                      <a:ext cx="5935345" cy="2765425"/>
                    </a:xfrm>
                    <a:prstGeom prst="rect">
                      <a:avLst/>
                    </a:prstGeom>
                  </pic:spPr>
                </pic:pic>
              </a:graphicData>
            </a:graphic>
          </wp:inline>
        </w:drawing>
      </w:r>
    </w:p>
    <w:p w14:paraId="09FA5549">
      <w:pPr>
        <w:pStyle w:val="73"/>
        <w:widowControl/>
        <w:numPr>
          <w:ilvl w:val="0"/>
          <w:numId w:val="13"/>
        </w:numPr>
        <w:spacing w:line="360" w:lineRule="auto"/>
        <w:ind w:firstLineChars="0"/>
        <w:rPr>
          <w:rFonts w:hint="eastAsia" w:ascii="宋体" w:hAnsi="宋体" w:eastAsia="宋体" w:cs="宋体"/>
          <w:b/>
          <w:szCs w:val="21"/>
        </w:rPr>
      </w:pPr>
      <w:r>
        <w:rPr>
          <w:rFonts w:hint="eastAsia" w:ascii="宋体" w:hAnsi="宋体" w:eastAsia="宋体" w:cs="宋体"/>
          <w:b/>
          <w:szCs w:val="21"/>
        </w:rPr>
        <w:t>直接采购</w:t>
      </w:r>
    </w:p>
    <w:p w14:paraId="63A69AB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创建直接采购流程项目，项目流程包含：项目立项、项目发布、文件发售、开标、协商管理（评标)、成交阶段、归档、结案、项目结束九个阶段。可全程电子化和非全程电子化两种模式，编辑招标文件、邀请供应商参与项目，未邀请的投标人无法在平台上参与项目。</w:t>
      </w:r>
    </w:p>
    <w:p w14:paraId="098A96CF">
      <w:pPr>
        <w:widowControl/>
        <w:spacing w:line="360" w:lineRule="auto"/>
        <w:rPr>
          <w:rFonts w:hint="eastAsia" w:ascii="宋体" w:hAnsi="宋体" w:eastAsia="宋体" w:cs="宋体"/>
          <w:szCs w:val="21"/>
        </w:rPr>
      </w:pPr>
      <w:r>
        <w:rPr>
          <w:rFonts w:ascii="宋体" w:hAnsi="宋体" w:eastAsia="宋体"/>
          <w:szCs w:val="21"/>
        </w:rPr>
        <w:drawing>
          <wp:inline distT="0" distB="0" distL="114300" distR="114300">
            <wp:extent cx="5932805" cy="2783840"/>
            <wp:effectExtent l="0" t="0" r="10795" b="10160"/>
            <wp:docPr id="9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5"/>
                    <pic:cNvPicPr>
                      <a:picLocks noChangeAspect="1"/>
                    </pic:cNvPicPr>
                  </pic:nvPicPr>
                  <pic:blipFill>
                    <a:blip r:embed="rId66"/>
                    <a:stretch>
                      <a:fillRect/>
                    </a:stretch>
                  </pic:blipFill>
                  <pic:spPr>
                    <a:xfrm>
                      <a:off x="0" y="0"/>
                      <a:ext cx="5932805" cy="2783840"/>
                    </a:xfrm>
                    <a:prstGeom prst="rect">
                      <a:avLst/>
                    </a:prstGeom>
                    <a:noFill/>
                    <a:ln>
                      <a:noFill/>
                    </a:ln>
                  </pic:spPr>
                </pic:pic>
              </a:graphicData>
            </a:graphic>
          </wp:inline>
        </w:drawing>
      </w:r>
    </w:p>
    <w:p w14:paraId="24C83062">
      <w:pPr>
        <w:pStyle w:val="73"/>
        <w:widowControl/>
        <w:numPr>
          <w:ilvl w:val="0"/>
          <w:numId w:val="13"/>
        </w:numPr>
        <w:spacing w:line="360" w:lineRule="auto"/>
        <w:ind w:firstLineChars="0"/>
        <w:rPr>
          <w:rFonts w:hint="eastAsia" w:ascii="宋体" w:hAnsi="宋体" w:eastAsia="宋体" w:cs="宋体"/>
          <w:b/>
          <w:szCs w:val="21"/>
        </w:rPr>
      </w:pPr>
      <w:r>
        <w:rPr>
          <w:rFonts w:hint="eastAsia" w:ascii="宋体" w:hAnsi="宋体" w:eastAsia="宋体" w:cs="宋体"/>
          <w:b/>
          <w:szCs w:val="21"/>
        </w:rPr>
        <w:t>竞价采购</w:t>
      </w:r>
    </w:p>
    <w:p w14:paraId="2EF4E76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在平台中开展竞价项目，设置竞价参数。供应商报名参与后，采购人可在竞价时间开始时实时监控项目状态、供应商报价、历史报价等内容。竞价大厅内采购人可以随时对投标人发起沟通。供应商可提交报价、查看最新排名等。</w:t>
      </w:r>
    </w:p>
    <w:p w14:paraId="045D74E5">
      <w:pPr>
        <w:spacing w:line="360" w:lineRule="auto"/>
        <w:rPr>
          <w:rFonts w:hint="eastAsia" w:ascii="宋体" w:hAnsi="宋体" w:eastAsia="宋体"/>
          <w:szCs w:val="21"/>
        </w:rPr>
      </w:pPr>
      <w:r>
        <w:rPr>
          <w:rFonts w:ascii="宋体" w:hAnsi="宋体" w:eastAsia="宋体"/>
          <w:szCs w:val="21"/>
        </w:rPr>
        <w:drawing>
          <wp:inline distT="0" distB="0" distL="114300" distR="114300">
            <wp:extent cx="5361940" cy="2971165"/>
            <wp:effectExtent l="0" t="0" r="10160" b="635"/>
            <wp:docPr id="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
                    <pic:cNvPicPr>
                      <a:picLocks noChangeAspect="1"/>
                    </pic:cNvPicPr>
                  </pic:nvPicPr>
                  <pic:blipFill>
                    <a:blip r:embed="rId67"/>
                    <a:stretch>
                      <a:fillRect/>
                    </a:stretch>
                  </pic:blipFill>
                  <pic:spPr>
                    <a:xfrm>
                      <a:off x="0" y="0"/>
                      <a:ext cx="5361940" cy="2971165"/>
                    </a:xfrm>
                    <a:prstGeom prst="rect">
                      <a:avLst/>
                    </a:prstGeom>
                  </pic:spPr>
                </pic:pic>
              </a:graphicData>
            </a:graphic>
          </wp:inline>
        </w:drawing>
      </w:r>
    </w:p>
    <w:p w14:paraId="105A23F3">
      <w:pPr>
        <w:pStyle w:val="73"/>
        <w:numPr>
          <w:ilvl w:val="0"/>
          <w:numId w:val="13"/>
        </w:numPr>
        <w:spacing w:line="360" w:lineRule="auto"/>
        <w:ind w:firstLineChars="0"/>
        <w:rPr>
          <w:rFonts w:hint="eastAsia" w:ascii="宋体" w:hAnsi="宋体" w:eastAsia="宋体"/>
          <w:b/>
          <w:szCs w:val="21"/>
        </w:rPr>
      </w:pPr>
      <w:r>
        <w:rPr>
          <w:rFonts w:ascii="宋体" w:hAnsi="宋体" w:eastAsia="宋体"/>
          <w:b/>
          <w:szCs w:val="21"/>
        </w:rPr>
        <w:t>框架协议</w:t>
      </w:r>
    </w:p>
    <w:p w14:paraId="6D21E1F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平台</w:t>
      </w:r>
      <w:r>
        <w:rPr>
          <w:rFonts w:hint="eastAsia" w:ascii="宋体" w:hAnsi="宋体" w:eastAsia="宋体"/>
          <w:color w:val="000000" w:themeColor="text1"/>
          <w:szCs w:val="21"/>
          <w14:textFill>
            <w14:solidFill>
              <w14:schemeClr w14:val="tx1"/>
            </w14:solidFill>
          </w14:textFill>
        </w:rPr>
        <w:t>具有框架协议</w:t>
      </w:r>
      <w:r>
        <w:rPr>
          <w:rFonts w:ascii="宋体" w:hAnsi="宋体" w:eastAsia="宋体"/>
          <w:color w:val="000000" w:themeColor="text1"/>
          <w:szCs w:val="21"/>
          <w14:textFill>
            <w14:solidFill>
              <w14:schemeClr w14:val="tx1"/>
            </w14:solidFill>
          </w14:textFill>
        </w:rPr>
        <w:t>相关功能，包括</w:t>
      </w:r>
      <w:r>
        <w:rPr>
          <w:rFonts w:hint="eastAsia" w:ascii="宋体" w:hAnsi="宋体" w:eastAsia="宋体"/>
          <w:color w:val="000000" w:themeColor="text1"/>
          <w:szCs w:val="21"/>
          <w14:textFill>
            <w14:solidFill>
              <w14:schemeClr w14:val="tx1"/>
            </w14:solidFill>
          </w14:textFill>
        </w:rPr>
        <w:t>采购需求、供应商报价、发布结果公告、签署采购合同</w:t>
      </w:r>
      <w:r>
        <w:rPr>
          <w:rFonts w:ascii="宋体" w:hAnsi="宋体" w:eastAsia="宋体"/>
          <w:color w:val="000000" w:themeColor="text1"/>
          <w:szCs w:val="21"/>
          <w14:textFill>
            <w14:solidFill>
              <w14:schemeClr w14:val="tx1"/>
            </w14:solidFill>
          </w14:textFill>
        </w:rPr>
        <w:t>等环节</w:t>
      </w:r>
      <w:r>
        <w:rPr>
          <w:rFonts w:hint="eastAsia" w:ascii="宋体" w:hAnsi="宋体" w:eastAsia="宋体"/>
          <w:color w:val="000000" w:themeColor="text1"/>
          <w:szCs w:val="21"/>
          <w14:textFill>
            <w14:solidFill>
              <w14:schemeClr w14:val="tx1"/>
            </w14:solidFill>
          </w14:textFill>
        </w:rPr>
        <w:t>。项目有三种成交方式：二次竞价、直接选定、顺序轮候。</w:t>
      </w:r>
    </w:p>
    <w:p w14:paraId="47E5AB06">
      <w:pPr>
        <w:spacing w:line="360" w:lineRule="auto"/>
        <w:rPr>
          <w:rFonts w:hint="eastAsia" w:ascii="宋体" w:hAnsi="宋体" w:eastAsia="宋体"/>
          <w:szCs w:val="21"/>
        </w:rPr>
      </w:pPr>
      <w:r>
        <w:rPr>
          <w:rFonts w:hint="eastAsia" w:ascii="宋体" w:hAnsi="宋体" w:eastAsia="宋体" w:cstheme="minorEastAsia"/>
          <w:szCs w:val="21"/>
        </w:rPr>
        <w:drawing>
          <wp:inline distT="0" distB="0" distL="114300" distR="114300">
            <wp:extent cx="5269230" cy="1643380"/>
            <wp:effectExtent l="0" t="0" r="7620" b="1397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515"/>
                    <pic:cNvPicPr>
                      <a:picLocks noChangeAspect="1"/>
                    </pic:cNvPicPr>
                  </pic:nvPicPr>
                  <pic:blipFill>
                    <a:blip r:embed="rId68"/>
                    <a:stretch>
                      <a:fillRect/>
                    </a:stretch>
                  </pic:blipFill>
                  <pic:spPr>
                    <a:xfrm>
                      <a:off x="0" y="0"/>
                      <a:ext cx="5269230" cy="1643380"/>
                    </a:xfrm>
                    <a:prstGeom prst="rect">
                      <a:avLst/>
                    </a:prstGeom>
                  </pic:spPr>
                </pic:pic>
              </a:graphicData>
            </a:graphic>
          </wp:inline>
        </w:drawing>
      </w:r>
    </w:p>
    <w:p w14:paraId="50DEE251">
      <w:pPr>
        <w:pStyle w:val="5"/>
        <w:numPr>
          <w:ilvl w:val="1"/>
          <w:numId w:val="7"/>
        </w:numPr>
        <w:spacing w:before="260" w:after="260"/>
        <w:jc w:val="both"/>
        <w:rPr>
          <w:rFonts w:hint="eastAsia" w:ascii="宋体" w:hAnsi="宋体"/>
          <w:szCs w:val="28"/>
        </w:rPr>
      </w:pPr>
      <w:bookmarkStart w:id="59" w:name="_Toc180165693"/>
      <w:r>
        <w:rPr>
          <w:rFonts w:hint="eastAsia" w:ascii="宋体" w:hAnsi="宋体"/>
          <w:szCs w:val="28"/>
        </w:rPr>
        <w:t xml:space="preserve"> </w:t>
      </w:r>
      <w:bookmarkStart w:id="60" w:name="_Toc180265539"/>
      <w:r>
        <w:rPr>
          <w:rFonts w:hint="eastAsia" w:ascii="宋体" w:hAnsi="宋体"/>
          <w:szCs w:val="28"/>
        </w:rPr>
        <w:t>系统功能及服务要求与</w:t>
      </w:r>
      <w:r>
        <w:rPr>
          <w:rFonts w:ascii="宋体" w:hAnsi="宋体"/>
          <w:szCs w:val="28"/>
        </w:rPr>
        <w:t>产品</w:t>
      </w:r>
      <w:r>
        <w:rPr>
          <w:rFonts w:hint="eastAsia" w:ascii="宋体" w:hAnsi="宋体"/>
          <w:szCs w:val="28"/>
        </w:rPr>
        <w:t>手册</w:t>
      </w:r>
      <w:r>
        <w:rPr>
          <w:rFonts w:ascii="宋体" w:hAnsi="宋体"/>
          <w:szCs w:val="28"/>
        </w:rPr>
        <w:t>对照表</w:t>
      </w:r>
      <w:bookmarkEnd w:id="59"/>
      <w:bookmarkEnd w:id="60"/>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275"/>
        <w:gridCol w:w="4253"/>
        <w:gridCol w:w="1780"/>
      </w:tblGrid>
      <w:tr w14:paraId="3371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88" w:type="dxa"/>
            <w:noWrap/>
          </w:tcPr>
          <w:p w14:paraId="119D0ECD">
            <w:pPr>
              <w:spacing w:line="360" w:lineRule="auto"/>
              <w:rPr>
                <w:rFonts w:hint="eastAsia" w:ascii="宋体" w:hAnsi="宋体" w:eastAsia="宋体"/>
                <w:b/>
                <w:bCs/>
                <w:szCs w:val="21"/>
              </w:rPr>
            </w:pPr>
            <w:r>
              <w:rPr>
                <w:rFonts w:hint="eastAsia" w:ascii="宋体" w:hAnsi="宋体" w:eastAsia="宋体"/>
                <w:b/>
                <w:bCs/>
                <w:szCs w:val="21"/>
              </w:rPr>
              <w:t>一级功能要求</w:t>
            </w:r>
          </w:p>
        </w:tc>
        <w:tc>
          <w:tcPr>
            <w:tcW w:w="1275" w:type="dxa"/>
          </w:tcPr>
          <w:p w14:paraId="514D8BFD">
            <w:pPr>
              <w:spacing w:line="360" w:lineRule="auto"/>
              <w:rPr>
                <w:rFonts w:hint="eastAsia" w:ascii="宋体" w:hAnsi="宋体" w:eastAsia="宋体"/>
                <w:b/>
                <w:bCs/>
                <w:szCs w:val="21"/>
              </w:rPr>
            </w:pPr>
            <w:r>
              <w:rPr>
                <w:rFonts w:hint="eastAsia" w:ascii="宋体" w:hAnsi="宋体" w:eastAsia="宋体"/>
                <w:b/>
                <w:bCs/>
                <w:szCs w:val="21"/>
              </w:rPr>
              <w:t>二级功能要求</w:t>
            </w:r>
          </w:p>
        </w:tc>
        <w:tc>
          <w:tcPr>
            <w:tcW w:w="4253" w:type="dxa"/>
          </w:tcPr>
          <w:p w14:paraId="2700479F">
            <w:pPr>
              <w:spacing w:line="360" w:lineRule="auto"/>
              <w:rPr>
                <w:rFonts w:hint="eastAsia" w:ascii="宋体" w:hAnsi="宋体" w:eastAsia="宋体"/>
                <w:b/>
                <w:bCs/>
                <w:szCs w:val="21"/>
              </w:rPr>
            </w:pPr>
            <w:r>
              <w:rPr>
                <w:rFonts w:hint="eastAsia" w:ascii="宋体" w:hAnsi="宋体" w:eastAsia="宋体"/>
                <w:b/>
                <w:bCs/>
                <w:szCs w:val="21"/>
              </w:rPr>
              <w:t>内容</w:t>
            </w:r>
          </w:p>
        </w:tc>
        <w:tc>
          <w:tcPr>
            <w:tcW w:w="1780" w:type="dxa"/>
            <w:noWrap/>
          </w:tcPr>
          <w:p w14:paraId="50C86904">
            <w:pPr>
              <w:spacing w:line="360" w:lineRule="auto"/>
              <w:rPr>
                <w:rFonts w:hint="eastAsia" w:ascii="宋体" w:hAnsi="宋体" w:eastAsia="宋体"/>
                <w:b/>
                <w:bCs/>
                <w:szCs w:val="21"/>
              </w:rPr>
            </w:pPr>
            <w:r>
              <w:rPr>
                <w:rFonts w:hint="eastAsia" w:ascii="宋体" w:hAnsi="宋体" w:eastAsia="宋体"/>
                <w:b/>
                <w:bCs/>
                <w:szCs w:val="21"/>
              </w:rPr>
              <w:t>产品手册应答项引导</w:t>
            </w:r>
          </w:p>
        </w:tc>
      </w:tr>
      <w:tr w14:paraId="508C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restart"/>
            <w:noWrap/>
          </w:tcPr>
          <w:p w14:paraId="27F4E688">
            <w:pPr>
              <w:spacing w:line="360" w:lineRule="auto"/>
              <w:rPr>
                <w:rFonts w:hint="eastAsia" w:ascii="宋体" w:hAnsi="宋体" w:eastAsia="宋体"/>
                <w:szCs w:val="21"/>
              </w:rPr>
            </w:pPr>
            <w:r>
              <w:rPr>
                <w:rFonts w:hint="eastAsia" w:ascii="宋体" w:hAnsi="宋体" w:eastAsia="宋体"/>
                <w:szCs w:val="21"/>
              </w:rPr>
              <w:t>3.2.1.1用户注册管理</w:t>
            </w:r>
          </w:p>
        </w:tc>
        <w:tc>
          <w:tcPr>
            <w:tcW w:w="1275" w:type="dxa"/>
          </w:tcPr>
          <w:p w14:paraId="793CBC6E">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2A15BDAD">
            <w:pPr>
              <w:spacing w:line="360" w:lineRule="auto"/>
              <w:rPr>
                <w:rFonts w:hint="eastAsia" w:ascii="宋体" w:hAnsi="宋体" w:eastAsia="宋体"/>
                <w:szCs w:val="21"/>
              </w:rPr>
            </w:pPr>
            <w:r>
              <w:rPr>
                <w:rFonts w:hint="eastAsia" w:ascii="宋体" w:hAnsi="宋体" w:eastAsia="宋体"/>
                <w:szCs w:val="21"/>
              </w:rPr>
              <w:t>1）具备从上述三类信息库交换信息的功能，并实现比对、排除重复，以及修正、验证确认、写入信息库的功能</w:t>
            </w:r>
          </w:p>
        </w:tc>
        <w:tc>
          <w:tcPr>
            <w:tcW w:w="1780" w:type="dxa"/>
            <w:noWrap/>
          </w:tcPr>
          <w:p w14:paraId="1F1A571D">
            <w:pPr>
              <w:spacing w:line="360" w:lineRule="auto"/>
              <w:rPr>
                <w:rFonts w:hint="eastAsia" w:ascii="宋体" w:hAnsi="宋体" w:eastAsia="宋体"/>
                <w:szCs w:val="21"/>
              </w:rPr>
            </w:pPr>
            <w:r>
              <w:rPr>
                <w:rFonts w:hint="eastAsia" w:ascii="宋体" w:hAnsi="宋体" w:eastAsia="宋体"/>
                <w:szCs w:val="21"/>
              </w:rPr>
              <w:t>产品手册 2.1.2</w:t>
            </w:r>
          </w:p>
        </w:tc>
      </w:tr>
      <w:tr w14:paraId="4400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02381ED">
            <w:pPr>
              <w:spacing w:line="360" w:lineRule="auto"/>
              <w:rPr>
                <w:rFonts w:hint="eastAsia" w:ascii="宋体" w:hAnsi="宋体" w:eastAsia="宋体"/>
                <w:szCs w:val="21"/>
              </w:rPr>
            </w:pPr>
          </w:p>
        </w:tc>
        <w:tc>
          <w:tcPr>
            <w:tcW w:w="1275" w:type="dxa"/>
          </w:tcPr>
          <w:p w14:paraId="2D3C2788">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77C55C5A">
            <w:pPr>
              <w:spacing w:line="360" w:lineRule="auto"/>
              <w:rPr>
                <w:rFonts w:hint="eastAsia" w:ascii="宋体" w:hAnsi="宋体" w:eastAsia="宋体"/>
                <w:szCs w:val="21"/>
              </w:rPr>
            </w:pPr>
            <w:r>
              <w:rPr>
                <w:rFonts w:hint="eastAsia" w:ascii="宋体" w:hAnsi="宋体" w:eastAsia="宋体"/>
                <w:szCs w:val="21"/>
              </w:rPr>
              <w:t>2）具备记录注册信息的申报人员和验证人员的功能</w:t>
            </w:r>
          </w:p>
        </w:tc>
        <w:tc>
          <w:tcPr>
            <w:tcW w:w="1780" w:type="dxa"/>
            <w:noWrap/>
          </w:tcPr>
          <w:p w14:paraId="6974E1A1">
            <w:pPr>
              <w:spacing w:line="360" w:lineRule="auto"/>
              <w:rPr>
                <w:rFonts w:hint="eastAsia" w:ascii="宋体" w:hAnsi="宋体" w:eastAsia="宋体"/>
                <w:szCs w:val="21"/>
              </w:rPr>
            </w:pPr>
            <w:r>
              <w:rPr>
                <w:rFonts w:hint="eastAsia" w:ascii="宋体" w:hAnsi="宋体" w:eastAsia="宋体"/>
                <w:szCs w:val="21"/>
              </w:rPr>
              <w:t>产品手册 2.2</w:t>
            </w:r>
          </w:p>
        </w:tc>
      </w:tr>
      <w:tr w14:paraId="192C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6B82D7CE">
            <w:pPr>
              <w:spacing w:line="360" w:lineRule="auto"/>
              <w:rPr>
                <w:rFonts w:hint="eastAsia" w:ascii="宋体" w:hAnsi="宋体" w:eastAsia="宋体"/>
                <w:szCs w:val="21"/>
              </w:rPr>
            </w:pPr>
          </w:p>
        </w:tc>
        <w:tc>
          <w:tcPr>
            <w:tcW w:w="1275" w:type="dxa"/>
          </w:tcPr>
          <w:p w14:paraId="159DE835">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65E20228">
            <w:pPr>
              <w:spacing w:line="360" w:lineRule="auto"/>
              <w:rPr>
                <w:rFonts w:hint="eastAsia" w:ascii="宋体" w:hAnsi="宋体" w:eastAsia="宋体"/>
                <w:szCs w:val="21"/>
              </w:rPr>
            </w:pPr>
            <w:r>
              <w:rPr>
                <w:rFonts w:hint="eastAsia" w:ascii="宋体" w:hAnsi="宋体" w:eastAsia="宋体"/>
                <w:szCs w:val="21"/>
              </w:rPr>
              <w:t>3）具备绑定一个或多个CA证书的功能</w:t>
            </w:r>
          </w:p>
        </w:tc>
        <w:tc>
          <w:tcPr>
            <w:tcW w:w="1780" w:type="dxa"/>
            <w:noWrap/>
          </w:tcPr>
          <w:p w14:paraId="2A79AE9F">
            <w:pPr>
              <w:spacing w:line="360" w:lineRule="auto"/>
              <w:rPr>
                <w:rFonts w:hint="eastAsia" w:ascii="宋体" w:hAnsi="宋体" w:eastAsia="宋体"/>
                <w:szCs w:val="21"/>
              </w:rPr>
            </w:pPr>
            <w:r>
              <w:rPr>
                <w:rFonts w:hint="eastAsia" w:ascii="宋体" w:hAnsi="宋体" w:eastAsia="宋体"/>
                <w:szCs w:val="21"/>
              </w:rPr>
              <w:t>产品手册 2.3.1</w:t>
            </w:r>
          </w:p>
        </w:tc>
      </w:tr>
      <w:tr w14:paraId="1989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5EB8D3E">
            <w:pPr>
              <w:spacing w:line="360" w:lineRule="auto"/>
              <w:rPr>
                <w:rFonts w:hint="eastAsia" w:ascii="宋体" w:hAnsi="宋体" w:eastAsia="宋体"/>
                <w:szCs w:val="21"/>
              </w:rPr>
            </w:pPr>
          </w:p>
        </w:tc>
        <w:tc>
          <w:tcPr>
            <w:tcW w:w="1275" w:type="dxa"/>
          </w:tcPr>
          <w:p w14:paraId="18966BE7">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5DB6315E">
            <w:pPr>
              <w:spacing w:line="360" w:lineRule="auto"/>
              <w:rPr>
                <w:rFonts w:hint="eastAsia" w:ascii="宋体" w:hAnsi="宋体" w:eastAsia="宋体"/>
                <w:szCs w:val="21"/>
              </w:rPr>
            </w:pPr>
            <w:r>
              <w:rPr>
                <w:rFonts w:hint="eastAsia" w:ascii="宋体" w:hAnsi="宋体" w:eastAsia="宋体"/>
                <w:szCs w:val="21"/>
              </w:rPr>
              <w:t>4）具备投标人只能将电子印章绑定到一个CA证书的功能。</w:t>
            </w:r>
          </w:p>
        </w:tc>
        <w:tc>
          <w:tcPr>
            <w:tcW w:w="1780" w:type="dxa"/>
            <w:noWrap/>
          </w:tcPr>
          <w:p w14:paraId="3190C2AF">
            <w:pPr>
              <w:spacing w:line="360" w:lineRule="auto"/>
              <w:rPr>
                <w:rFonts w:hint="eastAsia" w:ascii="宋体" w:hAnsi="宋体" w:eastAsia="宋体"/>
                <w:szCs w:val="21"/>
              </w:rPr>
            </w:pPr>
            <w:r>
              <w:rPr>
                <w:rFonts w:hint="eastAsia" w:ascii="宋体" w:hAnsi="宋体" w:eastAsia="宋体"/>
                <w:szCs w:val="21"/>
              </w:rPr>
              <w:t>产品手册 2.3.2</w:t>
            </w:r>
          </w:p>
        </w:tc>
      </w:tr>
      <w:tr w14:paraId="721F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restart"/>
            <w:noWrap/>
          </w:tcPr>
          <w:p w14:paraId="4AAA2835">
            <w:pPr>
              <w:spacing w:line="360" w:lineRule="auto"/>
              <w:rPr>
                <w:rFonts w:hint="eastAsia" w:ascii="宋体" w:hAnsi="宋体" w:eastAsia="宋体"/>
                <w:szCs w:val="21"/>
              </w:rPr>
            </w:pPr>
            <w:r>
              <w:rPr>
                <w:rFonts w:hint="eastAsia" w:ascii="宋体" w:hAnsi="宋体" w:eastAsia="宋体"/>
                <w:szCs w:val="21"/>
              </w:rPr>
              <w:t>3.2.1.2招标方案管理</w:t>
            </w:r>
          </w:p>
        </w:tc>
        <w:tc>
          <w:tcPr>
            <w:tcW w:w="1275" w:type="dxa"/>
            <w:vMerge w:val="restart"/>
          </w:tcPr>
          <w:p w14:paraId="7CD563F3">
            <w:pPr>
              <w:spacing w:line="360" w:lineRule="auto"/>
              <w:rPr>
                <w:rFonts w:hint="eastAsia" w:ascii="宋体" w:hAnsi="宋体" w:eastAsia="宋体"/>
                <w:szCs w:val="21"/>
              </w:rPr>
            </w:pPr>
            <w:r>
              <w:rPr>
                <w:rFonts w:hint="eastAsia" w:ascii="宋体" w:hAnsi="宋体" w:eastAsia="宋体"/>
                <w:szCs w:val="21"/>
              </w:rPr>
              <w:t>3.2.1.2.1项目管理</w:t>
            </w:r>
          </w:p>
        </w:tc>
        <w:tc>
          <w:tcPr>
            <w:tcW w:w="4253" w:type="dxa"/>
          </w:tcPr>
          <w:p w14:paraId="2168544B">
            <w:pPr>
              <w:spacing w:line="360" w:lineRule="auto"/>
              <w:rPr>
                <w:rFonts w:hint="eastAsia" w:ascii="宋体" w:hAnsi="宋体" w:eastAsia="宋体"/>
                <w:szCs w:val="21"/>
              </w:rPr>
            </w:pPr>
            <w:r>
              <w:rPr>
                <w:rFonts w:hint="eastAsia" w:ascii="宋体" w:hAnsi="宋体" w:eastAsia="宋体"/>
                <w:szCs w:val="21"/>
              </w:rPr>
              <w:t>1）具备项目相关信息的建立和递交功能</w:t>
            </w:r>
          </w:p>
        </w:tc>
        <w:tc>
          <w:tcPr>
            <w:tcW w:w="1780" w:type="dxa"/>
            <w:noWrap/>
          </w:tcPr>
          <w:p w14:paraId="3A769431">
            <w:pPr>
              <w:spacing w:line="360" w:lineRule="auto"/>
              <w:rPr>
                <w:rFonts w:hint="eastAsia" w:ascii="宋体" w:hAnsi="宋体" w:eastAsia="宋体"/>
                <w:szCs w:val="21"/>
              </w:rPr>
            </w:pPr>
            <w:r>
              <w:rPr>
                <w:rFonts w:hint="eastAsia" w:ascii="宋体" w:hAnsi="宋体" w:eastAsia="宋体"/>
                <w:szCs w:val="21"/>
              </w:rPr>
              <w:t>产品手册 4.1.1.1</w:t>
            </w:r>
          </w:p>
        </w:tc>
      </w:tr>
      <w:tr w14:paraId="21AF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F8F8135">
            <w:pPr>
              <w:spacing w:line="360" w:lineRule="auto"/>
              <w:rPr>
                <w:rFonts w:hint="eastAsia" w:ascii="宋体" w:hAnsi="宋体" w:eastAsia="宋体"/>
                <w:szCs w:val="21"/>
              </w:rPr>
            </w:pPr>
          </w:p>
        </w:tc>
        <w:tc>
          <w:tcPr>
            <w:tcW w:w="1275" w:type="dxa"/>
            <w:vMerge w:val="continue"/>
          </w:tcPr>
          <w:p w14:paraId="4F5CA073">
            <w:pPr>
              <w:spacing w:line="360" w:lineRule="auto"/>
              <w:rPr>
                <w:rFonts w:hint="eastAsia" w:ascii="宋体" w:hAnsi="宋体" w:eastAsia="宋体"/>
                <w:szCs w:val="21"/>
              </w:rPr>
            </w:pPr>
          </w:p>
        </w:tc>
        <w:tc>
          <w:tcPr>
            <w:tcW w:w="4253" w:type="dxa"/>
          </w:tcPr>
          <w:p w14:paraId="2F843F95">
            <w:pPr>
              <w:spacing w:line="360" w:lineRule="auto"/>
              <w:rPr>
                <w:rFonts w:hint="eastAsia" w:ascii="宋体" w:hAnsi="宋体" w:eastAsia="宋体"/>
                <w:szCs w:val="21"/>
              </w:rPr>
            </w:pPr>
            <w:r>
              <w:rPr>
                <w:rFonts w:hint="eastAsia" w:ascii="宋体" w:hAnsi="宋体" w:eastAsia="宋体"/>
                <w:szCs w:val="21"/>
              </w:rPr>
              <w:t>2）具备项目编号自动生成功能</w:t>
            </w:r>
          </w:p>
        </w:tc>
        <w:tc>
          <w:tcPr>
            <w:tcW w:w="1780" w:type="dxa"/>
            <w:noWrap/>
          </w:tcPr>
          <w:p w14:paraId="7F880EDE">
            <w:pPr>
              <w:spacing w:line="360" w:lineRule="auto"/>
              <w:rPr>
                <w:rFonts w:hint="eastAsia" w:ascii="宋体" w:hAnsi="宋体" w:eastAsia="宋体"/>
                <w:szCs w:val="21"/>
              </w:rPr>
            </w:pPr>
            <w:r>
              <w:rPr>
                <w:rFonts w:hint="eastAsia" w:ascii="宋体" w:hAnsi="宋体" w:eastAsia="宋体"/>
                <w:szCs w:val="21"/>
              </w:rPr>
              <w:t>产品手册 4.5.4</w:t>
            </w:r>
          </w:p>
        </w:tc>
      </w:tr>
      <w:tr w14:paraId="35BA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5D8562CD">
            <w:pPr>
              <w:spacing w:line="360" w:lineRule="auto"/>
              <w:rPr>
                <w:rFonts w:hint="eastAsia" w:ascii="宋体" w:hAnsi="宋体" w:eastAsia="宋体"/>
                <w:szCs w:val="21"/>
              </w:rPr>
            </w:pPr>
          </w:p>
        </w:tc>
        <w:tc>
          <w:tcPr>
            <w:tcW w:w="1275" w:type="dxa"/>
            <w:vMerge w:val="continue"/>
          </w:tcPr>
          <w:p w14:paraId="612C4A82">
            <w:pPr>
              <w:spacing w:line="360" w:lineRule="auto"/>
              <w:rPr>
                <w:rFonts w:hint="eastAsia" w:ascii="宋体" w:hAnsi="宋体" w:eastAsia="宋体"/>
                <w:szCs w:val="21"/>
              </w:rPr>
            </w:pPr>
          </w:p>
        </w:tc>
        <w:tc>
          <w:tcPr>
            <w:tcW w:w="4253" w:type="dxa"/>
          </w:tcPr>
          <w:p w14:paraId="7B33369D">
            <w:pPr>
              <w:spacing w:line="360" w:lineRule="auto"/>
              <w:rPr>
                <w:rFonts w:hint="eastAsia" w:ascii="宋体" w:hAnsi="宋体" w:eastAsia="宋体"/>
                <w:szCs w:val="21"/>
              </w:rPr>
            </w:pPr>
            <w:r>
              <w:rPr>
                <w:rFonts w:hint="eastAsia" w:ascii="宋体" w:hAnsi="宋体" w:eastAsia="宋体"/>
                <w:szCs w:val="21"/>
              </w:rPr>
              <w:t>3）具备项目标段（包）建立和递交功能</w:t>
            </w:r>
          </w:p>
        </w:tc>
        <w:tc>
          <w:tcPr>
            <w:tcW w:w="1780" w:type="dxa"/>
            <w:noWrap/>
          </w:tcPr>
          <w:p w14:paraId="76C3199F">
            <w:pPr>
              <w:spacing w:line="360" w:lineRule="auto"/>
              <w:rPr>
                <w:rFonts w:hint="eastAsia" w:ascii="宋体" w:hAnsi="宋体" w:eastAsia="宋体"/>
                <w:szCs w:val="21"/>
              </w:rPr>
            </w:pPr>
            <w:r>
              <w:rPr>
                <w:rFonts w:hint="eastAsia" w:ascii="宋体" w:hAnsi="宋体" w:eastAsia="宋体"/>
                <w:szCs w:val="21"/>
              </w:rPr>
              <w:t>产品手册 4.1.1.5</w:t>
            </w:r>
          </w:p>
        </w:tc>
      </w:tr>
      <w:tr w14:paraId="48E4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5C6BB5CA">
            <w:pPr>
              <w:spacing w:line="360" w:lineRule="auto"/>
              <w:rPr>
                <w:rFonts w:hint="eastAsia" w:ascii="宋体" w:hAnsi="宋体" w:eastAsia="宋体"/>
                <w:szCs w:val="21"/>
              </w:rPr>
            </w:pPr>
          </w:p>
        </w:tc>
        <w:tc>
          <w:tcPr>
            <w:tcW w:w="1275" w:type="dxa"/>
            <w:vMerge w:val="continue"/>
          </w:tcPr>
          <w:p w14:paraId="2B29EE3C">
            <w:pPr>
              <w:spacing w:line="360" w:lineRule="auto"/>
              <w:rPr>
                <w:rFonts w:hint="eastAsia" w:ascii="宋体" w:hAnsi="宋体" w:eastAsia="宋体"/>
                <w:szCs w:val="21"/>
              </w:rPr>
            </w:pPr>
          </w:p>
        </w:tc>
        <w:tc>
          <w:tcPr>
            <w:tcW w:w="4253" w:type="dxa"/>
          </w:tcPr>
          <w:p w14:paraId="02A54433">
            <w:pPr>
              <w:spacing w:line="360" w:lineRule="auto"/>
              <w:rPr>
                <w:rFonts w:hint="eastAsia" w:ascii="宋体" w:hAnsi="宋体" w:eastAsia="宋体"/>
                <w:szCs w:val="21"/>
              </w:rPr>
            </w:pPr>
            <w:r>
              <w:rPr>
                <w:rFonts w:hint="eastAsia" w:ascii="宋体" w:hAnsi="宋体" w:eastAsia="宋体"/>
                <w:szCs w:val="21"/>
              </w:rPr>
              <w:t>4）具备建立项目与本项目下标段（包）的关联关系（项目编号与标段编号存在关联关系）</w:t>
            </w:r>
          </w:p>
        </w:tc>
        <w:tc>
          <w:tcPr>
            <w:tcW w:w="1780" w:type="dxa"/>
            <w:noWrap/>
          </w:tcPr>
          <w:p w14:paraId="1936082F">
            <w:pPr>
              <w:spacing w:line="360" w:lineRule="auto"/>
              <w:rPr>
                <w:rFonts w:hint="eastAsia" w:ascii="宋体" w:hAnsi="宋体" w:eastAsia="宋体"/>
                <w:szCs w:val="21"/>
              </w:rPr>
            </w:pPr>
            <w:r>
              <w:rPr>
                <w:rFonts w:hint="eastAsia" w:ascii="宋体" w:hAnsi="宋体" w:eastAsia="宋体"/>
                <w:szCs w:val="21"/>
              </w:rPr>
              <w:t>产品手册 4.1.1.5</w:t>
            </w:r>
          </w:p>
        </w:tc>
      </w:tr>
      <w:tr w14:paraId="0220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09D8B53E">
            <w:pPr>
              <w:spacing w:line="360" w:lineRule="auto"/>
              <w:rPr>
                <w:rFonts w:hint="eastAsia" w:ascii="宋体" w:hAnsi="宋体" w:eastAsia="宋体"/>
                <w:szCs w:val="21"/>
              </w:rPr>
            </w:pPr>
          </w:p>
        </w:tc>
        <w:tc>
          <w:tcPr>
            <w:tcW w:w="1275" w:type="dxa"/>
            <w:vMerge w:val="continue"/>
          </w:tcPr>
          <w:p w14:paraId="59ADBD93">
            <w:pPr>
              <w:spacing w:line="360" w:lineRule="auto"/>
              <w:rPr>
                <w:rFonts w:hint="eastAsia" w:ascii="宋体" w:hAnsi="宋体" w:eastAsia="宋体"/>
                <w:szCs w:val="21"/>
              </w:rPr>
            </w:pPr>
          </w:p>
        </w:tc>
        <w:tc>
          <w:tcPr>
            <w:tcW w:w="4253" w:type="dxa"/>
          </w:tcPr>
          <w:p w14:paraId="794E9720">
            <w:pPr>
              <w:spacing w:line="360" w:lineRule="auto"/>
              <w:rPr>
                <w:rFonts w:hint="eastAsia" w:ascii="宋体" w:hAnsi="宋体" w:eastAsia="宋体"/>
                <w:szCs w:val="21"/>
              </w:rPr>
            </w:pPr>
            <w:r>
              <w:rPr>
                <w:rFonts w:hint="eastAsia" w:ascii="宋体" w:hAnsi="宋体" w:eastAsia="宋体"/>
                <w:szCs w:val="21"/>
              </w:rPr>
              <w:t>5）具备项目委托合同的编辑、递交和签署功能</w:t>
            </w:r>
          </w:p>
        </w:tc>
        <w:tc>
          <w:tcPr>
            <w:tcW w:w="1780" w:type="dxa"/>
            <w:noWrap/>
          </w:tcPr>
          <w:p w14:paraId="5708A7F3">
            <w:pPr>
              <w:spacing w:line="360" w:lineRule="auto"/>
              <w:rPr>
                <w:rFonts w:hint="eastAsia" w:ascii="宋体" w:hAnsi="宋体" w:eastAsia="宋体"/>
                <w:szCs w:val="21"/>
              </w:rPr>
            </w:pPr>
            <w:r>
              <w:rPr>
                <w:rFonts w:hint="eastAsia" w:ascii="宋体" w:hAnsi="宋体" w:eastAsia="宋体"/>
                <w:szCs w:val="21"/>
              </w:rPr>
              <w:t>产品手册 4.1.1.</w:t>
            </w:r>
            <w:r>
              <w:rPr>
                <w:rFonts w:ascii="宋体" w:hAnsi="宋体" w:eastAsia="宋体"/>
                <w:szCs w:val="21"/>
              </w:rPr>
              <w:t>4</w:t>
            </w:r>
          </w:p>
        </w:tc>
      </w:tr>
      <w:tr w14:paraId="54D0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211C016E">
            <w:pPr>
              <w:spacing w:line="360" w:lineRule="auto"/>
              <w:rPr>
                <w:rFonts w:hint="eastAsia" w:ascii="宋体" w:hAnsi="宋体" w:eastAsia="宋体"/>
                <w:szCs w:val="21"/>
              </w:rPr>
            </w:pPr>
          </w:p>
        </w:tc>
        <w:tc>
          <w:tcPr>
            <w:tcW w:w="1275" w:type="dxa"/>
            <w:vMerge w:val="continue"/>
          </w:tcPr>
          <w:p w14:paraId="4A6FA491">
            <w:pPr>
              <w:spacing w:line="360" w:lineRule="auto"/>
              <w:rPr>
                <w:rFonts w:hint="eastAsia" w:ascii="宋体" w:hAnsi="宋体" w:eastAsia="宋体"/>
                <w:szCs w:val="21"/>
              </w:rPr>
            </w:pPr>
          </w:p>
        </w:tc>
        <w:tc>
          <w:tcPr>
            <w:tcW w:w="4253" w:type="dxa"/>
          </w:tcPr>
          <w:p w14:paraId="380923B8">
            <w:pPr>
              <w:spacing w:line="360" w:lineRule="auto"/>
              <w:rPr>
                <w:rFonts w:hint="eastAsia" w:ascii="宋体" w:hAnsi="宋体" w:eastAsia="宋体"/>
                <w:szCs w:val="21"/>
              </w:rPr>
            </w:pPr>
            <w:r>
              <w:rPr>
                <w:rFonts w:hint="eastAsia" w:ascii="宋体" w:hAnsi="宋体" w:eastAsia="宋体"/>
                <w:szCs w:val="21"/>
              </w:rPr>
              <w:t>6）具备向指定媒介提供项目数据的功能。</w:t>
            </w:r>
          </w:p>
        </w:tc>
        <w:tc>
          <w:tcPr>
            <w:tcW w:w="1780" w:type="dxa"/>
            <w:noWrap/>
          </w:tcPr>
          <w:p w14:paraId="51AC29E7">
            <w:pPr>
              <w:spacing w:line="360" w:lineRule="auto"/>
              <w:rPr>
                <w:rFonts w:hint="eastAsia" w:ascii="宋体" w:hAnsi="宋体" w:eastAsia="宋体"/>
                <w:szCs w:val="21"/>
              </w:rPr>
            </w:pPr>
            <w:r>
              <w:rPr>
                <w:rFonts w:hint="eastAsia" w:ascii="宋体" w:hAnsi="宋体" w:eastAsia="宋体"/>
                <w:szCs w:val="21"/>
              </w:rPr>
              <w:t>产品手册 4.1.1.5</w:t>
            </w:r>
          </w:p>
        </w:tc>
      </w:tr>
      <w:tr w14:paraId="6846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57BA1933">
            <w:pPr>
              <w:spacing w:line="360" w:lineRule="auto"/>
              <w:rPr>
                <w:rFonts w:hint="eastAsia" w:ascii="宋体" w:hAnsi="宋体" w:eastAsia="宋体"/>
                <w:szCs w:val="21"/>
              </w:rPr>
            </w:pPr>
          </w:p>
        </w:tc>
        <w:tc>
          <w:tcPr>
            <w:tcW w:w="1275" w:type="dxa"/>
            <w:vMerge w:val="restart"/>
          </w:tcPr>
          <w:p w14:paraId="1965A6DA">
            <w:pPr>
              <w:spacing w:line="360" w:lineRule="auto"/>
              <w:rPr>
                <w:rFonts w:hint="eastAsia" w:ascii="宋体" w:hAnsi="宋体" w:eastAsia="宋体"/>
                <w:szCs w:val="21"/>
              </w:rPr>
            </w:pPr>
            <w:r>
              <w:rPr>
                <w:rFonts w:hint="eastAsia" w:ascii="宋体" w:hAnsi="宋体" w:eastAsia="宋体"/>
                <w:szCs w:val="21"/>
              </w:rPr>
              <w:t>3.2.1.2.2招标文件管理</w:t>
            </w:r>
          </w:p>
        </w:tc>
        <w:tc>
          <w:tcPr>
            <w:tcW w:w="4253" w:type="dxa"/>
          </w:tcPr>
          <w:p w14:paraId="6BBEAD31">
            <w:pPr>
              <w:spacing w:line="360" w:lineRule="auto"/>
              <w:rPr>
                <w:rFonts w:hint="eastAsia" w:ascii="宋体" w:hAnsi="宋体" w:eastAsia="宋体"/>
                <w:szCs w:val="21"/>
              </w:rPr>
            </w:pPr>
            <w:r>
              <w:rPr>
                <w:rFonts w:hint="eastAsia" w:ascii="宋体" w:hAnsi="宋体" w:eastAsia="宋体"/>
                <w:szCs w:val="21"/>
              </w:rPr>
              <w:t>1）具备招标文件的编辑、提交、审核、确认、备案、发出功能</w:t>
            </w:r>
          </w:p>
        </w:tc>
        <w:tc>
          <w:tcPr>
            <w:tcW w:w="1780" w:type="dxa"/>
            <w:noWrap/>
          </w:tcPr>
          <w:p w14:paraId="0D073341">
            <w:pPr>
              <w:spacing w:line="360" w:lineRule="auto"/>
              <w:rPr>
                <w:rFonts w:hint="eastAsia" w:ascii="宋体" w:hAnsi="宋体" w:eastAsia="宋体"/>
                <w:szCs w:val="21"/>
              </w:rPr>
            </w:pPr>
            <w:r>
              <w:rPr>
                <w:rFonts w:hint="eastAsia" w:ascii="宋体" w:hAnsi="宋体" w:eastAsia="宋体"/>
                <w:szCs w:val="21"/>
              </w:rPr>
              <w:t>产品手册 4.1.2.1</w:t>
            </w:r>
          </w:p>
        </w:tc>
      </w:tr>
      <w:tr w14:paraId="3FB7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0AA0C3F">
            <w:pPr>
              <w:spacing w:line="360" w:lineRule="auto"/>
              <w:rPr>
                <w:rFonts w:hint="eastAsia" w:ascii="宋体" w:hAnsi="宋体" w:eastAsia="宋体"/>
                <w:szCs w:val="21"/>
              </w:rPr>
            </w:pPr>
          </w:p>
        </w:tc>
        <w:tc>
          <w:tcPr>
            <w:tcW w:w="1275" w:type="dxa"/>
            <w:vMerge w:val="continue"/>
          </w:tcPr>
          <w:p w14:paraId="76A4C897">
            <w:pPr>
              <w:spacing w:line="360" w:lineRule="auto"/>
              <w:rPr>
                <w:rFonts w:hint="eastAsia" w:ascii="宋体" w:hAnsi="宋体" w:eastAsia="宋体"/>
                <w:szCs w:val="21"/>
              </w:rPr>
            </w:pPr>
          </w:p>
        </w:tc>
        <w:tc>
          <w:tcPr>
            <w:tcW w:w="4253" w:type="dxa"/>
          </w:tcPr>
          <w:p w14:paraId="2AB044CA">
            <w:pPr>
              <w:spacing w:line="360" w:lineRule="auto"/>
              <w:rPr>
                <w:rFonts w:hint="eastAsia" w:ascii="宋体" w:hAnsi="宋体" w:eastAsia="宋体"/>
                <w:szCs w:val="21"/>
              </w:rPr>
            </w:pPr>
            <w:r>
              <w:rPr>
                <w:rFonts w:hint="eastAsia" w:ascii="宋体" w:hAnsi="宋体" w:eastAsia="宋体"/>
                <w:szCs w:val="21"/>
              </w:rPr>
              <w:t>2）具备按照标准文件或示范文本生成招标文件的功能</w:t>
            </w:r>
          </w:p>
        </w:tc>
        <w:tc>
          <w:tcPr>
            <w:tcW w:w="1780" w:type="dxa"/>
            <w:noWrap/>
          </w:tcPr>
          <w:p w14:paraId="474BBDA4">
            <w:pPr>
              <w:spacing w:line="360" w:lineRule="auto"/>
              <w:rPr>
                <w:rFonts w:hint="eastAsia" w:ascii="宋体" w:hAnsi="宋体" w:eastAsia="宋体"/>
                <w:szCs w:val="21"/>
              </w:rPr>
            </w:pPr>
            <w:r>
              <w:rPr>
                <w:rFonts w:hint="eastAsia" w:ascii="宋体" w:hAnsi="宋体" w:eastAsia="宋体"/>
                <w:szCs w:val="21"/>
              </w:rPr>
              <w:t>产品手册 4.1.2.1.4</w:t>
            </w:r>
          </w:p>
        </w:tc>
      </w:tr>
      <w:tr w14:paraId="6F1D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09E591D">
            <w:pPr>
              <w:spacing w:line="360" w:lineRule="auto"/>
              <w:rPr>
                <w:rFonts w:hint="eastAsia" w:ascii="宋体" w:hAnsi="宋体" w:eastAsia="宋体"/>
                <w:szCs w:val="21"/>
              </w:rPr>
            </w:pPr>
          </w:p>
        </w:tc>
        <w:tc>
          <w:tcPr>
            <w:tcW w:w="1275" w:type="dxa"/>
            <w:vMerge w:val="continue"/>
          </w:tcPr>
          <w:p w14:paraId="05CDA952">
            <w:pPr>
              <w:spacing w:line="360" w:lineRule="auto"/>
              <w:rPr>
                <w:rFonts w:hint="eastAsia" w:ascii="宋体" w:hAnsi="宋体" w:eastAsia="宋体"/>
                <w:szCs w:val="21"/>
              </w:rPr>
            </w:pPr>
          </w:p>
        </w:tc>
        <w:tc>
          <w:tcPr>
            <w:tcW w:w="4253" w:type="dxa"/>
          </w:tcPr>
          <w:p w14:paraId="3DE564F6">
            <w:pPr>
              <w:spacing w:line="360" w:lineRule="auto"/>
              <w:rPr>
                <w:rFonts w:hint="eastAsia" w:ascii="宋体" w:hAnsi="宋体" w:eastAsia="宋体"/>
                <w:szCs w:val="21"/>
              </w:rPr>
            </w:pPr>
            <w:r>
              <w:rPr>
                <w:rFonts w:hint="eastAsia" w:ascii="宋体" w:hAnsi="宋体" w:eastAsia="宋体"/>
                <w:szCs w:val="21"/>
              </w:rPr>
              <w:t>3）具备设定投标文件主要内容、格式要求的功能</w:t>
            </w:r>
          </w:p>
        </w:tc>
        <w:tc>
          <w:tcPr>
            <w:tcW w:w="1780" w:type="dxa"/>
            <w:noWrap/>
          </w:tcPr>
          <w:p w14:paraId="245F17B9">
            <w:pPr>
              <w:spacing w:line="360" w:lineRule="auto"/>
              <w:rPr>
                <w:rFonts w:hint="eastAsia" w:ascii="宋体" w:hAnsi="宋体" w:eastAsia="宋体"/>
                <w:szCs w:val="21"/>
              </w:rPr>
            </w:pPr>
            <w:r>
              <w:rPr>
                <w:rFonts w:hint="eastAsia" w:ascii="宋体" w:hAnsi="宋体" w:eastAsia="宋体"/>
                <w:szCs w:val="21"/>
              </w:rPr>
              <w:t>产品手册 4.1.2.1.2</w:t>
            </w:r>
          </w:p>
        </w:tc>
      </w:tr>
      <w:tr w14:paraId="4B48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5348E3A">
            <w:pPr>
              <w:spacing w:line="360" w:lineRule="auto"/>
              <w:rPr>
                <w:rFonts w:hint="eastAsia" w:ascii="宋体" w:hAnsi="宋体" w:eastAsia="宋体"/>
                <w:szCs w:val="21"/>
              </w:rPr>
            </w:pPr>
          </w:p>
        </w:tc>
        <w:tc>
          <w:tcPr>
            <w:tcW w:w="1275" w:type="dxa"/>
            <w:vMerge w:val="continue"/>
          </w:tcPr>
          <w:p w14:paraId="2C412D80">
            <w:pPr>
              <w:spacing w:line="360" w:lineRule="auto"/>
              <w:rPr>
                <w:rFonts w:hint="eastAsia" w:ascii="宋体" w:hAnsi="宋体" w:eastAsia="宋体"/>
                <w:szCs w:val="21"/>
              </w:rPr>
            </w:pPr>
          </w:p>
        </w:tc>
        <w:tc>
          <w:tcPr>
            <w:tcW w:w="4253" w:type="dxa"/>
          </w:tcPr>
          <w:p w14:paraId="5B7B4697">
            <w:pPr>
              <w:spacing w:line="360" w:lineRule="auto"/>
              <w:rPr>
                <w:rFonts w:hint="eastAsia" w:ascii="宋体" w:hAnsi="宋体" w:eastAsia="宋体"/>
                <w:szCs w:val="21"/>
              </w:rPr>
            </w:pPr>
            <w:r>
              <w:rPr>
                <w:rFonts w:hint="eastAsia" w:ascii="宋体" w:hAnsi="宋体" w:eastAsia="宋体"/>
                <w:szCs w:val="21"/>
              </w:rPr>
              <w:t>4）具备设定投标文件递交截止时间（开标时间）及其控制的功能</w:t>
            </w:r>
          </w:p>
        </w:tc>
        <w:tc>
          <w:tcPr>
            <w:tcW w:w="1780" w:type="dxa"/>
            <w:noWrap/>
          </w:tcPr>
          <w:p w14:paraId="234FE673">
            <w:pPr>
              <w:spacing w:line="360" w:lineRule="auto"/>
              <w:rPr>
                <w:rFonts w:hint="eastAsia" w:ascii="宋体" w:hAnsi="宋体" w:eastAsia="宋体"/>
                <w:szCs w:val="21"/>
              </w:rPr>
            </w:pPr>
            <w:r>
              <w:rPr>
                <w:rFonts w:hint="eastAsia" w:ascii="宋体" w:hAnsi="宋体" w:eastAsia="宋体"/>
                <w:szCs w:val="21"/>
              </w:rPr>
              <w:t>产品手册 4.1.2.1.1</w:t>
            </w:r>
          </w:p>
        </w:tc>
      </w:tr>
      <w:tr w14:paraId="5BBC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8EB41EA">
            <w:pPr>
              <w:spacing w:line="360" w:lineRule="auto"/>
              <w:rPr>
                <w:rFonts w:hint="eastAsia" w:ascii="宋体" w:hAnsi="宋体" w:eastAsia="宋体"/>
                <w:szCs w:val="21"/>
              </w:rPr>
            </w:pPr>
          </w:p>
        </w:tc>
        <w:tc>
          <w:tcPr>
            <w:tcW w:w="1275" w:type="dxa"/>
            <w:vMerge w:val="continue"/>
          </w:tcPr>
          <w:p w14:paraId="344C70FF">
            <w:pPr>
              <w:spacing w:line="360" w:lineRule="auto"/>
              <w:rPr>
                <w:rFonts w:hint="eastAsia" w:ascii="宋体" w:hAnsi="宋体" w:eastAsia="宋体"/>
                <w:szCs w:val="21"/>
              </w:rPr>
            </w:pPr>
          </w:p>
        </w:tc>
        <w:tc>
          <w:tcPr>
            <w:tcW w:w="4253" w:type="dxa"/>
          </w:tcPr>
          <w:p w14:paraId="7397A8F2">
            <w:pPr>
              <w:spacing w:line="360" w:lineRule="auto"/>
              <w:rPr>
                <w:rFonts w:hint="eastAsia" w:ascii="宋体" w:hAnsi="宋体" w:eastAsia="宋体"/>
                <w:szCs w:val="21"/>
              </w:rPr>
            </w:pPr>
            <w:r>
              <w:rPr>
                <w:rFonts w:hint="eastAsia" w:ascii="宋体" w:hAnsi="宋体" w:eastAsia="宋体"/>
                <w:szCs w:val="21"/>
              </w:rPr>
              <w:t>5）具备记录招标文件下载人、下载时间、下载次数的功能</w:t>
            </w:r>
          </w:p>
        </w:tc>
        <w:tc>
          <w:tcPr>
            <w:tcW w:w="1780" w:type="dxa"/>
            <w:noWrap/>
          </w:tcPr>
          <w:p w14:paraId="1C39429A">
            <w:pPr>
              <w:spacing w:line="360" w:lineRule="auto"/>
              <w:rPr>
                <w:rFonts w:hint="eastAsia" w:ascii="宋体" w:hAnsi="宋体" w:eastAsia="宋体"/>
                <w:szCs w:val="21"/>
              </w:rPr>
            </w:pPr>
            <w:r>
              <w:rPr>
                <w:rFonts w:hint="eastAsia" w:ascii="宋体" w:hAnsi="宋体" w:eastAsia="宋体"/>
                <w:szCs w:val="21"/>
              </w:rPr>
              <w:t>产品手册 4.1.2.1.5</w:t>
            </w:r>
          </w:p>
        </w:tc>
      </w:tr>
      <w:tr w14:paraId="4DD4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776EE50">
            <w:pPr>
              <w:spacing w:line="360" w:lineRule="auto"/>
              <w:rPr>
                <w:rFonts w:hint="eastAsia" w:ascii="宋体" w:hAnsi="宋体" w:eastAsia="宋体"/>
                <w:szCs w:val="21"/>
              </w:rPr>
            </w:pPr>
          </w:p>
        </w:tc>
        <w:tc>
          <w:tcPr>
            <w:tcW w:w="1275" w:type="dxa"/>
            <w:vMerge w:val="continue"/>
          </w:tcPr>
          <w:p w14:paraId="28A15E70">
            <w:pPr>
              <w:spacing w:line="360" w:lineRule="auto"/>
              <w:rPr>
                <w:rFonts w:hint="eastAsia" w:ascii="宋体" w:hAnsi="宋体" w:eastAsia="宋体"/>
                <w:szCs w:val="21"/>
              </w:rPr>
            </w:pPr>
          </w:p>
        </w:tc>
        <w:tc>
          <w:tcPr>
            <w:tcW w:w="4253" w:type="dxa"/>
          </w:tcPr>
          <w:p w14:paraId="51B0AD67">
            <w:pPr>
              <w:spacing w:line="360" w:lineRule="auto"/>
              <w:rPr>
                <w:rFonts w:hint="eastAsia" w:ascii="宋体" w:hAnsi="宋体" w:eastAsia="宋体"/>
                <w:szCs w:val="21"/>
              </w:rPr>
            </w:pPr>
            <w:r>
              <w:rPr>
                <w:rFonts w:hint="eastAsia" w:ascii="宋体" w:hAnsi="宋体" w:eastAsia="宋体"/>
                <w:szCs w:val="21"/>
              </w:rPr>
              <w:t>6）具备将招标文件多个不同格式附件组合打包生成一个文件的功能</w:t>
            </w:r>
          </w:p>
        </w:tc>
        <w:tc>
          <w:tcPr>
            <w:tcW w:w="1780" w:type="dxa"/>
            <w:noWrap/>
          </w:tcPr>
          <w:p w14:paraId="01F92389">
            <w:pPr>
              <w:spacing w:line="360" w:lineRule="auto"/>
              <w:rPr>
                <w:rFonts w:hint="eastAsia" w:ascii="宋体" w:hAnsi="宋体" w:eastAsia="宋体"/>
                <w:szCs w:val="21"/>
              </w:rPr>
            </w:pPr>
            <w:r>
              <w:rPr>
                <w:rFonts w:hint="eastAsia" w:ascii="宋体" w:hAnsi="宋体" w:eastAsia="宋体"/>
                <w:szCs w:val="21"/>
              </w:rPr>
              <w:t>详见产品手册 4.1.2.1.2</w:t>
            </w:r>
          </w:p>
        </w:tc>
      </w:tr>
      <w:tr w14:paraId="4E2B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CA634D6">
            <w:pPr>
              <w:spacing w:line="360" w:lineRule="auto"/>
              <w:rPr>
                <w:rFonts w:hint="eastAsia" w:ascii="宋体" w:hAnsi="宋体" w:eastAsia="宋体"/>
                <w:szCs w:val="21"/>
              </w:rPr>
            </w:pPr>
          </w:p>
        </w:tc>
        <w:tc>
          <w:tcPr>
            <w:tcW w:w="1275" w:type="dxa"/>
            <w:vMerge w:val="continue"/>
          </w:tcPr>
          <w:p w14:paraId="0F45E158">
            <w:pPr>
              <w:spacing w:line="360" w:lineRule="auto"/>
              <w:rPr>
                <w:rFonts w:hint="eastAsia" w:ascii="宋体" w:hAnsi="宋体" w:eastAsia="宋体"/>
                <w:szCs w:val="21"/>
              </w:rPr>
            </w:pPr>
          </w:p>
        </w:tc>
        <w:tc>
          <w:tcPr>
            <w:tcW w:w="4253" w:type="dxa"/>
          </w:tcPr>
          <w:p w14:paraId="06E29A28">
            <w:pPr>
              <w:spacing w:line="360" w:lineRule="auto"/>
              <w:rPr>
                <w:rFonts w:hint="eastAsia" w:ascii="宋体" w:hAnsi="宋体" w:eastAsia="宋体"/>
                <w:szCs w:val="21"/>
              </w:rPr>
            </w:pPr>
            <w:r>
              <w:rPr>
                <w:rFonts w:hint="eastAsia" w:ascii="宋体" w:hAnsi="宋体" w:eastAsia="宋体"/>
                <w:szCs w:val="21"/>
              </w:rPr>
              <w:t>7）具备向指定媒介提供招标文件的功能</w:t>
            </w:r>
          </w:p>
        </w:tc>
        <w:tc>
          <w:tcPr>
            <w:tcW w:w="1780" w:type="dxa"/>
            <w:noWrap/>
          </w:tcPr>
          <w:p w14:paraId="3E4091F3">
            <w:pPr>
              <w:spacing w:line="360" w:lineRule="auto"/>
              <w:rPr>
                <w:rFonts w:hint="eastAsia" w:ascii="宋体" w:hAnsi="宋体" w:eastAsia="宋体"/>
                <w:szCs w:val="21"/>
              </w:rPr>
            </w:pPr>
            <w:r>
              <w:rPr>
                <w:rFonts w:hint="eastAsia" w:ascii="宋体" w:hAnsi="宋体" w:eastAsia="宋体"/>
                <w:szCs w:val="21"/>
              </w:rPr>
              <w:t>详见产品手册 4.1.2.1.5</w:t>
            </w:r>
          </w:p>
        </w:tc>
      </w:tr>
      <w:tr w14:paraId="33E5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6DF1CCC">
            <w:pPr>
              <w:spacing w:line="360" w:lineRule="auto"/>
              <w:rPr>
                <w:rFonts w:hint="eastAsia" w:ascii="宋体" w:hAnsi="宋体" w:eastAsia="宋体"/>
                <w:szCs w:val="21"/>
              </w:rPr>
            </w:pPr>
          </w:p>
        </w:tc>
        <w:tc>
          <w:tcPr>
            <w:tcW w:w="1275" w:type="dxa"/>
          </w:tcPr>
          <w:p w14:paraId="38607EC6">
            <w:pPr>
              <w:spacing w:line="360" w:lineRule="auto"/>
              <w:rPr>
                <w:rFonts w:hint="eastAsia" w:ascii="宋体" w:hAnsi="宋体" w:eastAsia="宋体"/>
                <w:szCs w:val="21"/>
              </w:rPr>
            </w:pPr>
            <w:r>
              <w:rPr>
                <w:rFonts w:hint="eastAsia" w:ascii="宋体" w:hAnsi="宋体" w:eastAsia="宋体"/>
                <w:szCs w:val="21"/>
              </w:rPr>
              <w:t>3.2.1.2.3资格预审文件管理</w:t>
            </w:r>
          </w:p>
        </w:tc>
        <w:tc>
          <w:tcPr>
            <w:tcW w:w="4253" w:type="dxa"/>
          </w:tcPr>
          <w:p w14:paraId="68EC4267">
            <w:pPr>
              <w:spacing w:line="360" w:lineRule="auto"/>
              <w:rPr>
                <w:rFonts w:hint="eastAsia" w:ascii="宋体" w:hAnsi="宋体" w:eastAsia="宋体"/>
                <w:szCs w:val="21"/>
              </w:rPr>
            </w:pPr>
            <w:r>
              <w:rPr>
                <w:rFonts w:hint="eastAsia" w:ascii="宋体" w:hAnsi="宋体" w:eastAsia="宋体"/>
                <w:szCs w:val="21"/>
              </w:rPr>
              <w:t>1）资格预审文件的管理应满足上述招标文件管理相同的规定</w:t>
            </w:r>
          </w:p>
        </w:tc>
        <w:tc>
          <w:tcPr>
            <w:tcW w:w="1780" w:type="dxa"/>
            <w:noWrap/>
          </w:tcPr>
          <w:p w14:paraId="4ABC4667">
            <w:pPr>
              <w:spacing w:line="360" w:lineRule="auto"/>
              <w:rPr>
                <w:rFonts w:hint="eastAsia" w:ascii="宋体" w:hAnsi="宋体" w:eastAsia="宋体"/>
                <w:szCs w:val="21"/>
              </w:rPr>
            </w:pPr>
            <w:r>
              <w:rPr>
                <w:rFonts w:hint="eastAsia" w:ascii="宋体" w:hAnsi="宋体" w:eastAsia="宋体"/>
                <w:szCs w:val="21"/>
              </w:rPr>
              <w:t>详见产品手册 4.1.2.1</w:t>
            </w:r>
          </w:p>
        </w:tc>
      </w:tr>
      <w:tr w14:paraId="298F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118751B">
            <w:pPr>
              <w:spacing w:line="360" w:lineRule="auto"/>
              <w:rPr>
                <w:rFonts w:hint="eastAsia" w:ascii="宋体" w:hAnsi="宋体" w:eastAsia="宋体"/>
                <w:szCs w:val="21"/>
              </w:rPr>
            </w:pPr>
          </w:p>
        </w:tc>
        <w:tc>
          <w:tcPr>
            <w:tcW w:w="1275" w:type="dxa"/>
            <w:vMerge w:val="restart"/>
          </w:tcPr>
          <w:p w14:paraId="72514467">
            <w:pPr>
              <w:spacing w:line="360" w:lineRule="auto"/>
              <w:rPr>
                <w:rFonts w:hint="eastAsia" w:ascii="宋体" w:hAnsi="宋体" w:eastAsia="宋体"/>
                <w:szCs w:val="21"/>
              </w:rPr>
            </w:pPr>
            <w:r>
              <w:rPr>
                <w:rFonts w:hint="eastAsia" w:ascii="宋体" w:hAnsi="宋体" w:eastAsia="宋体"/>
                <w:szCs w:val="21"/>
              </w:rPr>
              <w:t>3.2.1.2.4踏勘现场管理</w:t>
            </w:r>
          </w:p>
        </w:tc>
        <w:tc>
          <w:tcPr>
            <w:tcW w:w="4253" w:type="dxa"/>
          </w:tcPr>
          <w:p w14:paraId="32BA1B14">
            <w:pPr>
              <w:spacing w:line="360" w:lineRule="auto"/>
              <w:rPr>
                <w:rFonts w:hint="eastAsia" w:ascii="宋体" w:hAnsi="宋体" w:eastAsia="宋体"/>
                <w:szCs w:val="21"/>
              </w:rPr>
            </w:pPr>
            <w:r>
              <w:rPr>
                <w:rFonts w:hint="eastAsia" w:ascii="宋体" w:hAnsi="宋体" w:eastAsia="宋体"/>
                <w:szCs w:val="21"/>
              </w:rPr>
              <w:t>1）具备现场踏勘通知的编辑、发出功能</w:t>
            </w:r>
          </w:p>
        </w:tc>
        <w:tc>
          <w:tcPr>
            <w:tcW w:w="1780" w:type="dxa"/>
            <w:noWrap/>
          </w:tcPr>
          <w:p w14:paraId="28ADAB41">
            <w:pPr>
              <w:spacing w:line="360" w:lineRule="auto"/>
              <w:rPr>
                <w:rFonts w:hint="eastAsia" w:ascii="宋体" w:hAnsi="宋体" w:eastAsia="宋体"/>
                <w:szCs w:val="21"/>
              </w:rPr>
            </w:pPr>
            <w:r>
              <w:rPr>
                <w:rFonts w:hint="eastAsia" w:ascii="宋体" w:hAnsi="宋体" w:eastAsia="宋体"/>
                <w:szCs w:val="21"/>
              </w:rPr>
              <w:t>详见产品手册 4.1.2.4.1</w:t>
            </w:r>
          </w:p>
        </w:tc>
      </w:tr>
      <w:tr w14:paraId="48CC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05FBD87C">
            <w:pPr>
              <w:spacing w:line="360" w:lineRule="auto"/>
              <w:rPr>
                <w:rFonts w:hint="eastAsia" w:ascii="宋体" w:hAnsi="宋体" w:eastAsia="宋体"/>
                <w:szCs w:val="21"/>
              </w:rPr>
            </w:pPr>
          </w:p>
        </w:tc>
        <w:tc>
          <w:tcPr>
            <w:tcW w:w="1275" w:type="dxa"/>
            <w:vMerge w:val="continue"/>
          </w:tcPr>
          <w:p w14:paraId="29ACC4A5">
            <w:pPr>
              <w:spacing w:line="360" w:lineRule="auto"/>
              <w:rPr>
                <w:rFonts w:hint="eastAsia" w:ascii="宋体" w:hAnsi="宋体" w:eastAsia="宋体"/>
                <w:szCs w:val="21"/>
              </w:rPr>
            </w:pPr>
          </w:p>
        </w:tc>
        <w:tc>
          <w:tcPr>
            <w:tcW w:w="4253" w:type="dxa"/>
          </w:tcPr>
          <w:p w14:paraId="6400BF3D">
            <w:pPr>
              <w:spacing w:line="360" w:lineRule="auto"/>
              <w:rPr>
                <w:rFonts w:hint="eastAsia" w:ascii="宋体" w:hAnsi="宋体" w:eastAsia="宋体"/>
                <w:szCs w:val="21"/>
              </w:rPr>
            </w:pPr>
            <w:r>
              <w:rPr>
                <w:rFonts w:hint="eastAsia" w:ascii="宋体" w:hAnsi="宋体" w:eastAsia="宋体"/>
                <w:szCs w:val="21"/>
              </w:rPr>
              <w:t>2）具备按招标文件约定的时间，向所有已获取招标文件的潜在投标人发出现场踏勘通知和提示现场踏勘时间的功能</w:t>
            </w:r>
          </w:p>
        </w:tc>
        <w:tc>
          <w:tcPr>
            <w:tcW w:w="1780" w:type="dxa"/>
            <w:noWrap/>
          </w:tcPr>
          <w:p w14:paraId="0BB56413">
            <w:pPr>
              <w:spacing w:line="360" w:lineRule="auto"/>
              <w:rPr>
                <w:rFonts w:hint="eastAsia" w:ascii="宋体" w:hAnsi="宋体" w:eastAsia="宋体"/>
                <w:szCs w:val="21"/>
              </w:rPr>
            </w:pPr>
            <w:r>
              <w:rPr>
                <w:rFonts w:hint="eastAsia" w:ascii="宋体" w:hAnsi="宋体" w:eastAsia="宋体"/>
                <w:szCs w:val="21"/>
              </w:rPr>
              <w:t>详见产品手册 4.1.2.4.2</w:t>
            </w:r>
          </w:p>
        </w:tc>
      </w:tr>
      <w:tr w14:paraId="38F2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821AB63">
            <w:pPr>
              <w:spacing w:line="360" w:lineRule="auto"/>
              <w:rPr>
                <w:rFonts w:hint="eastAsia" w:ascii="宋体" w:hAnsi="宋体" w:eastAsia="宋体"/>
                <w:szCs w:val="21"/>
              </w:rPr>
            </w:pPr>
          </w:p>
        </w:tc>
        <w:tc>
          <w:tcPr>
            <w:tcW w:w="1275" w:type="dxa"/>
            <w:vMerge w:val="continue"/>
          </w:tcPr>
          <w:p w14:paraId="3EB8F8EA">
            <w:pPr>
              <w:spacing w:line="360" w:lineRule="auto"/>
              <w:rPr>
                <w:rFonts w:hint="eastAsia" w:ascii="宋体" w:hAnsi="宋体" w:eastAsia="宋体"/>
                <w:szCs w:val="21"/>
              </w:rPr>
            </w:pPr>
          </w:p>
        </w:tc>
        <w:tc>
          <w:tcPr>
            <w:tcW w:w="4253" w:type="dxa"/>
          </w:tcPr>
          <w:p w14:paraId="5931FDE6">
            <w:pPr>
              <w:spacing w:line="360" w:lineRule="auto"/>
              <w:rPr>
                <w:rFonts w:hint="eastAsia" w:ascii="宋体" w:hAnsi="宋体" w:eastAsia="宋体"/>
                <w:szCs w:val="21"/>
              </w:rPr>
            </w:pPr>
            <w:r>
              <w:rPr>
                <w:rFonts w:hint="eastAsia" w:ascii="宋体" w:hAnsi="宋体" w:eastAsia="宋体"/>
                <w:szCs w:val="21"/>
              </w:rPr>
              <w:t>3）具备现场踏勘信息的记录功能</w:t>
            </w:r>
          </w:p>
        </w:tc>
        <w:tc>
          <w:tcPr>
            <w:tcW w:w="1780" w:type="dxa"/>
            <w:noWrap/>
          </w:tcPr>
          <w:p w14:paraId="6DE65909">
            <w:pPr>
              <w:spacing w:line="360" w:lineRule="auto"/>
              <w:rPr>
                <w:rFonts w:hint="eastAsia" w:ascii="宋体" w:hAnsi="宋体" w:eastAsia="宋体"/>
                <w:szCs w:val="21"/>
              </w:rPr>
            </w:pPr>
            <w:r>
              <w:rPr>
                <w:rFonts w:hint="eastAsia" w:ascii="宋体" w:hAnsi="宋体" w:eastAsia="宋体"/>
                <w:szCs w:val="21"/>
              </w:rPr>
              <w:t>详见产品手册 4.1.2.4.3</w:t>
            </w:r>
          </w:p>
        </w:tc>
      </w:tr>
      <w:tr w14:paraId="7404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restart"/>
            <w:noWrap/>
          </w:tcPr>
          <w:p w14:paraId="518F2488">
            <w:pPr>
              <w:spacing w:line="360" w:lineRule="auto"/>
              <w:rPr>
                <w:rFonts w:hint="eastAsia" w:ascii="宋体" w:hAnsi="宋体" w:eastAsia="宋体"/>
                <w:szCs w:val="21"/>
              </w:rPr>
            </w:pPr>
            <w:r>
              <w:rPr>
                <w:rFonts w:hint="eastAsia" w:ascii="宋体" w:hAnsi="宋体" w:eastAsia="宋体"/>
                <w:szCs w:val="21"/>
              </w:rPr>
              <w:t>3.2.1.3开评标场地管理</w:t>
            </w:r>
          </w:p>
        </w:tc>
        <w:tc>
          <w:tcPr>
            <w:tcW w:w="1275" w:type="dxa"/>
          </w:tcPr>
          <w:p w14:paraId="7B794A5F">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77271DF6">
            <w:pPr>
              <w:spacing w:line="360" w:lineRule="auto"/>
              <w:rPr>
                <w:rFonts w:hint="eastAsia" w:ascii="宋体" w:hAnsi="宋体" w:eastAsia="宋体"/>
                <w:szCs w:val="21"/>
              </w:rPr>
            </w:pPr>
            <w:r>
              <w:rPr>
                <w:rFonts w:hint="eastAsia" w:ascii="宋体" w:hAnsi="宋体" w:eastAsia="宋体"/>
                <w:szCs w:val="21"/>
              </w:rPr>
              <w:t>1）具备开评标场地预约的功能</w:t>
            </w:r>
          </w:p>
        </w:tc>
        <w:tc>
          <w:tcPr>
            <w:tcW w:w="1780" w:type="dxa"/>
            <w:noWrap/>
          </w:tcPr>
          <w:p w14:paraId="32B56586">
            <w:pPr>
              <w:spacing w:line="360" w:lineRule="auto"/>
              <w:rPr>
                <w:rFonts w:hint="eastAsia" w:ascii="宋体" w:hAnsi="宋体" w:eastAsia="宋体"/>
                <w:szCs w:val="21"/>
              </w:rPr>
            </w:pPr>
            <w:r>
              <w:rPr>
                <w:rFonts w:hint="eastAsia" w:ascii="宋体" w:hAnsi="宋体" w:eastAsia="宋体"/>
                <w:szCs w:val="21"/>
              </w:rPr>
              <w:t>详见产品手册 4.1.3.3</w:t>
            </w:r>
          </w:p>
        </w:tc>
      </w:tr>
      <w:tr w14:paraId="2044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C12F4E8">
            <w:pPr>
              <w:spacing w:line="360" w:lineRule="auto"/>
              <w:rPr>
                <w:rFonts w:hint="eastAsia" w:ascii="宋体" w:hAnsi="宋体" w:eastAsia="宋体"/>
                <w:szCs w:val="21"/>
              </w:rPr>
            </w:pPr>
          </w:p>
        </w:tc>
        <w:tc>
          <w:tcPr>
            <w:tcW w:w="1275" w:type="dxa"/>
          </w:tcPr>
          <w:p w14:paraId="2E4A5381">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74725301">
            <w:pPr>
              <w:spacing w:line="360" w:lineRule="auto"/>
              <w:rPr>
                <w:rFonts w:hint="eastAsia" w:ascii="宋体" w:hAnsi="宋体" w:eastAsia="宋体"/>
                <w:szCs w:val="21"/>
              </w:rPr>
            </w:pPr>
            <w:r>
              <w:rPr>
                <w:rFonts w:hint="eastAsia" w:ascii="宋体" w:hAnsi="宋体" w:eastAsia="宋体"/>
                <w:szCs w:val="21"/>
              </w:rPr>
              <w:t>2）具备将项目相关信息（如专家信息）推送至开评标现场</w:t>
            </w:r>
          </w:p>
        </w:tc>
        <w:tc>
          <w:tcPr>
            <w:tcW w:w="1780" w:type="dxa"/>
            <w:noWrap/>
          </w:tcPr>
          <w:p w14:paraId="60E730B7">
            <w:pPr>
              <w:spacing w:line="360" w:lineRule="auto"/>
              <w:rPr>
                <w:rFonts w:hint="eastAsia" w:ascii="宋体" w:hAnsi="宋体" w:eastAsia="宋体"/>
                <w:szCs w:val="21"/>
              </w:rPr>
            </w:pPr>
            <w:r>
              <w:rPr>
                <w:rFonts w:hint="eastAsia" w:ascii="宋体" w:hAnsi="宋体" w:eastAsia="宋体"/>
                <w:szCs w:val="21"/>
              </w:rPr>
              <w:t>详见产品手册 4.1.3.4</w:t>
            </w:r>
          </w:p>
        </w:tc>
      </w:tr>
      <w:tr w14:paraId="605B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C040090">
            <w:pPr>
              <w:spacing w:line="360" w:lineRule="auto"/>
              <w:rPr>
                <w:rFonts w:hint="eastAsia" w:ascii="宋体" w:hAnsi="宋体" w:eastAsia="宋体"/>
                <w:szCs w:val="21"/>
              </w:rPr>
            </w:pPr>
          </w:p>
        </w:tc>
        <w:tc>
          <w:tcPr>
            <w:tcW w:w="1275" w:type="dxa"/>
          </w:tcPr>
          <w:p w14:paraId="10963D27">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6EB4B46B">
            <w:pPr>
              <w:spacing w:line="360" w:lineRule="auto"/>
              <w:rPr>
                <w:rFonts w:hint="eastAsia" w:ascii="宋体" w:hAnsi="宋体" w:eastAsia="宋体"/>
                <w:szCs w:val="21"/>
              </w:rPr>
            </w:pPr>
            <w:r>
              <w:rPr>
                <w:rFonts w:hint="eastAsia" w:ascii="宋体" w:hAnsi="宋体" w:eastAsia="宋体"/>
                <w:szCs w:val="21"/>
              </w:rPr>
              <w:t>3）具备开评标现场相关数据（如音视频）的调阅功能</w:t>
            </w:r>
          </w:p>
        </w:tc>
        <w:tc>
          <w:tcPr>
            <w:tcW w:w="1780" w:type="dxa"/>
            <w:noWrap/>
          </w:tcPr>
          <w:p w14:paraId="257A5001">
            <w:pPr>
              <w:spacing w:line="360" w:lineRule="auto"/>
              <w:rPr>
                <w:rFonts w:hint="eastAsia" w:ascii="宋体" w:hAnsi="宋体" w:eastAsia="宋体"/>
                <w:szCs w:val="21"/>
              </w:rPr>
            </w:pPr>
            <w:r>
              <w:rPr>
                <w:rFonts w:hint="eastAsia" w:ascii="宋体" w:hAnsi="宋体" w:eastAsia="宋体"/>
                <w:szCs w:val="21"/>
              </w:rPr>
              <w:t>详见产品手册 4.1.3.4</w:t>
            </w:r>
          </w:p>
        </w:tc>
      </w:tr>
      <w:tr w14:paraId="5939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restart"/>
            <w:noWrap/>
          </w:tcPr>
          <w:p w14:paraId="42F29A16">
            <w:pPr>
              <w:spacing w:line="360" w:lineRule="auto"/>
              <w:rPr>
                <w:rFonts w:hint="eastAsia" w:ascii="宋体" w:hAnsi="宋体" w:eastAsia="宋体"/>
                <w:szCs w:val="21"/>
              </w:rPr>
            </w:pPr>
            <w:r>
              <w:rPr>
                <w:rFonts w:hint="eastAsia" w:ascii="宋体" w:hAnsi="宋体" w:eastAsia="宋体"/>
                <w:szCs w:val="21"/>
              </w:rPr>
              <w:t>3.2.1.4发标管理</w:t>
            </w:r>
          </w:p>
        </w:tc>
        <w:tc>
          <w:tcPr>
            <w:tcW w:w="1275" w:type="dxa"/>
            <w:vMerge w:val="restart"/>
          </w:tcPr>
          <w:p w14:paraId="700E1030">
            <w:pPr>
              <w:spacing w:line="360" w:lineRule="auto"/>
              <w:rPr>
                <w:rFonts w:hint="eastAsia" w:ascii="宋体" w:hAnsi="宋体" w:eastAsia="宋体"/>
                <w:szCs w:val="21"/>
              </w:rPr>
            </w:pPr>
            <w:r>
              <w:rPr>
                <w:rFonts w:hint="eastAsia" w:ascii="宋体" w:hAnsi="宋体" w:eastAsia="宋体"/>
                <w:szCs w:val="21"/>
              </w:rPr>
              <w:t>3.2.1.4.1招标公告与资格预审公告管理</w:t>
            </w:r>
          </w:p>
        </w:tc>
        <w:tc>
          <w:tcPr>
            <w:tcW w:w="4253" w:type="dxa"/>
          </w:tcPr>
          <w:p w14:paraId="668FE53D">
            <w:pPr>
              <w:spacing w:line="360" w:lineRule="auto"/>
              <w:rPr>
                <w:rFonts w:hint="eastAsia" w:ascii="宋体" w:hAnsi="宋体" w:eastAsia="宋体"/>
                <w:szCs w:val="21"/>
              </w:rPr>
            </w:pPr>
            <w:r>
              <w:rPr>
                <w:rFonts w:hint="eastAsia" w:ascii="宋体" w:hAnsi="宋体" w:eastAsia="宋体"/>
                <w:szCs w:val="21"/>
              </w:rPr>
              <w:t>1）具备公开招标项目采用资格后审的招标公告和采用资格预审的资格预审公告的编辑、提交、审核、验证确认和发布功能</w:t>
            </w:r>
          </w:p>
        </w:tc>
        <w:tc>
          <w:tcPr>
            <w:tcW w:w="1780" w:type="dxa"/>
            <w:noWrap/>
          </w:tcPr>
          <w:p w14:paraId="395A5344">
            <w:pPr>
              <w:spacing w:line="360" w:lineRule="auto"/>
              <w:rPr>
                <w:rFonts w:hint="eastAsia" w:ascii="宋体" w:hAnsi="宋体" w:eastAsia="宋体"/>
                <w:szCs w:val="21"/>
              </w:rPr>
            </w:pPr>
            <w:r>
              <w:rPr>
                <w:rFonts w:hint="eastAsia" w:ascii="宋体" w:hAnsi="宋体" w:eastAsia="宋体"/>
                <w:szCs w:val="21"/>
              </w:rPr>
              <w:t>详见产品手册 4.1.2.2</w:t>
            </w:r>
          </w:p>
        </w:tc>
      </w:tr>
      <w:tr w14:paraId="2BC4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076A6F6">
            <w:pPr>
              <w:spacing w:line="360" w:lineRule="auto"/>
              <w:rPr>
                <w:rFonts w:hint="eastAsia" w:ascii="宋体" w:hAnsi="宋体" w:eastAsia="宋体"/>
                <w:szCs w:val="21"/>
              </w:rPr>
            </w:pPr>
          </w:p>
        </w:tc>
        <w:tc>
          <w:tcPr>
            <w:tcW w:w="1275" w:type="dxa"/>
            <w:vMerge w:val="continue"/>
          </w:tcPr>
          <w:p w14:paraId="62EFC8BD">
            <w:pPr>
              <w:spacing w:line="360" w:lineRule="auto"/>
              <w:rPr>
                <w:rFonts w:hint="eastAsia" w:ascii="宋体" w:hAnsi="宋体" w:eastAsia="宋体"/>
                <w:szCs w:val="21"/>
              </w:rPr>
            </w:pPr>
          </w:p>
        </w:tc>
        <w:tc>
          <w:tcPr>
            <w:tcW w:w="4253" w:type="dxa"/>
          </w:tcPr>
          <w:p w14:paraId="23F4DC4C">
            <w:pPr>
              <w:spacing w:line="360" w:lineRule="auto"/>
              <w:rPr>
                <w:rFonts w:hint="eastAsia" w:ascii="宋体" w:hAnsi="宋体" w:eastAsia="宋体"/>
                <w:szCs w:val="21"/>
              </w:rPr>
            </w:pPr>
            <w:r>
              <w:rPr>
                <w:rFonts w:hint="eastAsia" w:ascii="宋体" w:hAnsi="宋体" w:eastAsia="宋体"/>
                <w:szCs w:val="21"/>
              </w:rPr>
              <w:t>2）具备记录招标公告和资格预审公告编辑、递交发布责任人和验证责任人的功能</w:t>
            </w:r>
          </w:p>
        </w:tc>
        <w:tc>
          <w:tcPr>
            <w:tcW w:w="1780" w:type="dxa"/>
            <w:noWrap/>
          </w:tcPr>
          <w:p w14:paraId="03B40231">
            <w:pPr>
              <w:spacing w:line="360" w:lineRule="auto"/>
              <w:rPr>
                <w:rFonts w:hint="eastAsia" w:ascii="宋体" w:hAnsi="宋体" w:eastAsia="宋体"/>
                <w:szCs w:val="21"/>
              </w:rPr>
            </w:pPr>
            <w:r>
              <w:rPr>
                <w:rFonts w:hint="eastAsia" w:ascii="宋体" w:hAnsi="宋体" w:eastAsia="宋体"/>
                <w:szCs w:val="21"/>
              </w:rPr>
              <w:t>详见产品手册 4.1.2.2.3</w:t>
            </w:r>
          </w:p>
        </w:tc>
      </w:tr>
      <w:tr w14:paraId="2861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48F4076">
            <w:pPr>
              <w:spacing w:line="360" w:lineRule="auto"/>
              <w:rPr>
                <w:rFonts w:hint="eastAsia" w:ascii="宋体" w:hAnsi="宋体" w:eastAsia="宋体"/>
                <w:szCs w:val="21"/>
              </w:rPr>
            </w:pPr>
          </w:p>
        </w:tc>
        <w:tc>
          <w:tcPr>
            <w:tcW w:w="1275" w:type="dxa"/>
            <w:vMerge w:val="continue"/>
          </w:tcPr>
          <w:p w14:paraId="76A8B898">
            <w:pPr>
              <w:spacing w:line="360" w:lineRule="auto"/>
              <w:rPr>
                <w:rFonts w:hint="eastAsia" w:ascii="宋体" w:hAnsi="宋体" w:eastAsia="宋体"/>
                <w:szCs w:val="21"/>
              </w:rPr>
            </w:pPr>
          </w:p>
        </w:tc>
        <w:tc>
          <w:tcPr>
            <w:tcW w:w="4253" w:type="dxa"/>
          </w:tcPr>
          <w:p w14:paraId="41BE953B">
            <w:pPr>
              <w:spacing w:line="360" w:lineRule="auto"/>
              <w:rPr>
                <w:rFonts w:hint="eastAsia" w:ascii="宋体" w:hAnsi="宋体" w:eastAsia="宋体"/>
                <w:szCs w:val="21"/>
              </w:rPr>
            </w:pPr>
            <w:r>
              <w:rPr>
                <w:rFonts w:hint="eastAsia" w:ascii="宋体" w:hAnsi="宋体" w:eastAsia="宋体"/>
                <w:szCs w:val="21"/>
              </w:rPr>
              <w:t>3）具备招标公告和资格预审公告同步递交到指定媒介发布的功能</w:t>
            </w:r>
          </w:p>
        </w:tc>
        <w:tc>
          <w:tcPr>
            <w:tcW w:w="1780" w:type="dxa"/>
            <w:noWrap/>
          </w:tcPr>
          <w:p w14:paraId="476FD592">
            <w:pPr>
              <w:spacing w:line="360" w:lineRule="auto"/>
              <w:rPr>
                <w:rFonts w:hint="eastAsia" w:ascii="宋体" w:hAnsi="宋体" w:eastAsia="宋体"/>
                <w:szCs w:val="21"/>
              </w:rPr>
            </w:pPr>
            <w:r>
              <w:rPr>
                <w:rFonts w:hint="eastAsia" w:ascii="宋体" w:hAnsi="宋体" w:eastAsia="宋体"/>
                <w:szCs w:val="21"/>
              </w:rPr>
              <w:t>详见产品手册 4.1.2.2.5</w:t>
            </w:r>
          </w:p>
        </w:tc>
      </w:tr>
      <w:tr w14:paraId="2E86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F328706">
            <w:pPr>
              <w:spacing w:line="360" w:lineRule="auto"/>
              <w:rPr>
                <w:rFonts w:hint="eastAsia" w:ascii="宋体" w:hAnsi="宋体" w:eastAsia="宋体"/>
                <w:szCs w:val="21"/>
              </w:rPr>
            </w:pPr>
          </w:p>
        </w:tc>
        <w:tc>
          <w:tcPr>
            <w:tcW w:w="1275" w:type="dxa"/>
            <w:vMerge w:val="continue"/>
          </w:tcPr>
          <w:p w14:paraId="4072CFE4">
            <w:pPr>
              <w:spacing w:line="360" w:lineRule="auto"/>
              <w:rPr>
                <w:rFonts w:hint="eastAsia" w:ascii="宋体" w:hAnsi="宋体" w:eastAsia="宋体"/>
                <w:szCs w:val="21"/>
              </w:rPr>
            </w:pPr>
          </w:p>
        </w:tc>
        <w:tc>
          <w:tcPr>
            <w:tcW w:w="4253" w:type="dxa"/>
          </w:tcPr>
          <w:p w14:paraId="0F9E2816">
            <w:pPr>
              <w:spacing w:line="360" w:lineRule="auto"/>
              <w:rPr>
                <w:rFonts w:hint="eastAsia" w:ascii="宋体" w:hAnsi="宋体" w:eastAsia="宋体"/>
                <w:szCs w:val="21"/>
              </w:rPr>
            </w:pPr>
            <w:r>
              <w:rPr>
                <w:rFonts w:hint="eastAsia" w:ascii="宋体" w:hAnsi="宋体" w:eastAsia="宋体"/>
                <w:szCs w:val="21"/>
              </w:rPr>
              <w:t>4）具备向指定媒介同步提供招标公告和资格预审公告的功能</w:t>
            </w:r>
          </w:p>
        </w:tc>
        <w:tc>
          <w:tcPr>
            <w:tcW w:w="1780" w:type="dxa"/>
            <w:noWrap/>
          </w:tcPr>
          <w:p w14:paraId="417487B1">
            <w:pPr>
              <w:spacing w:line="360" w:lineRule="auto"/>
              <w:rPr>
                <w:rFonts w:hint="eastAsia" w:ascii="宋体" w:hAnsi="宋体" w:eastAsia="宋体"/>
                <w:szCs w:val="21"/>
              </w:rPr>
            </w:pPr>
            <w:r>
              <w:rPr>
                <w:rFonts w:hint="eastAsia" w:ascii="宋体" w:hAnsi="宋体" w:eastAsia="宋体"/>
                <w:szCs w:val="21"/>
              </w:rPr>
              <w:t>详见产品手册 4.1.2.2.5</w:t>
            </w:r>
          </w:p>
        </w:tc>
      </w:tr>
      <w:tr w14:paraId="1F25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7B1BFC3">
            <w:pPr>
              <w:spacing w:line="360" w:lineRule="auto"/>
              <w:rPr>
                <w:rFonts w:hint="eastAsia" w:ascii="宋体" w:hAnsi="宋体" w:eastAsia="宋体"/>
                <w:szCs w:val="21"/>
              </w:rPr>
            </w:pPr>
          </w:p>
        </w:tc>
        <w:tc>
          <w:tcPr>
            <w:tcW w:w="1275" w:type="dxa"/>
            <w:vMerge w:val="restart"/>
          </w:tcPr>
          <w:p w14:paraId="7916918D">
            <w:pPr>
              <w:spacing w:line="360" w:lineRule="auto"/>
              <w:rPr>
                <w:rFonts w:hint="eastAsia" w:ascii="宋体" w:hAnsi="宋体" w:eastAsia="宋体"/>
                <w:szCs w:val="21"/>
              </w:rPr>
            </w:pPr>
            <w:r>
              <w:rPr>
                <w:rFonts w:hint="eastAsia" w:ascii="宋体" w:hAnsi="宋体" w:eastAsia="宋体"/>
                <w:szCs w:val="21"/>
              </w:rPr>
              <w:t>3.2.1.4.2投标邀请书管理</w:t>
            </w:r>
          </w:p>
        </w:tc>
        <w:tc>
          <w:tcPr>
            <w:tcW w:w="4253" w:type="dxa"/>
          </w:tcPr>
          <w:p w14:paraId="71DAB5D9">
            <w:pPr>
              <w:spacing w:line="360" w:lineRule="auto"/>
              <w:rPr>
                <w:rFonts w:hint="eastAsia" w:ascii="宋体" w:hAnsi="宋体" w:eastAsia="宋体"/>
                <w:szCs w:val="21"/>
              </w:rPr>
            </w:pPr>
            <w:r>
              <w:rPr>
                <w:rFonts w:hint="eastAsia" w:ascii="宋体" w:hAnsi="宋体" w:eastAsia="宋体"/>
                <w:szCs w:val="21"/>
              </w:rPr>
              <w:t>1）具备从投标人信息库中获取满足投标资格条件或特定条件的潜在投标人的功能</w:t>
            </w:r>
          </w:p>
        </w:tc>
        <w:tc>
          <w:tcPr>
            <w:tcW w:w="1780" w:type="dxa"/>
            <w:noWrap/>
          </w:tcPr>
          <w:p w14:paraId="6E7F27C3">
            <w:pPr>
              <w:spacing w:line="360" w:lineRule="auto"/>
              <w:rPr>
                <w:rFonts w:hint="eastAsia" w:ascii="宋体" w:hAnsi="宋体" w:eastAsia="宋体"/>
                <w:szCs w:val="21"/>
              </w:rPr>
            </w:pPr>
            <w:r>
              <w:rPr>
                <w:rFonts w:hint="eastAsia" w:ascii="宋体" w:hAnsi="宋体" w:eastAsia="宋体"/>
                <w:szCs w:val="21"/>
              </w:rPr>
              <w:t>详见产品手册 4.1.2.3</w:t>
            </w:r>
          </w:p>
        </w:tc>
      </w:tr>
      <w:tr w14:paraId="5CA9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511F30E">
            <w:pPr>
              <w:spacing w:line="360" w:lineRule="auto"/>
              <w:rPr>
                <w:rFonts w:hint="eastAsia" w:ascii="宋体" w:hAnsi="宋体" w:eastAsia="宋体"/>
                <w:szCs w:val="21"/>
              </w:rPr>
            </w:pPr>
          </w:p>
        </w:tc>
        <w:tc>
          <w:tcPr>
            <w:tcW w:w="1275" w:type="dxa"/>
            <w:vMerge w:val="continue"/>
          </w:tcPr>
          <w:p w14:paraId="4CA6599F">
            <w:pPr>
              <w:spacing w:line="360" w:lineRule="auto"/>
              <w:rPr>
                <w:rFonts w:hint="eastAsia" w:ascii="宋体" w:hAnsi="宋体" w:eastAsia="宋体"/>
                <w:szCs w:val="21"/>
              </w:rPr>
            </w:pPr>
          </w:p>
        </w:tc>
        <w:tc>
          <w:tcPr>
            <w:tcW w:w="4253" w:type="dxa"/>
          </w:tcPr>
          <w:p w14:paraId="24C8F437">
            <w:pPr>
              <w:spacing w:line="360" w:lineRule="auto"/>
              <w:rPr>
                <w:rFonts w:hint="eastAsia" w:ascii="宋体" w:hAnsi="宋体" w:eastAsia="宋体"/>
                <w:szCs w:val="21"/>
              </w:rPr>
            </w:pPr>
            <w:r>
              <w:rPr>
                <w:rFonts w:hint="eastAsia" w:ascii="宋体" w:hAnsi="宋体" w:eastAsia="宋体"/>
                <w:szCs w:val="21"/>
              </w:rPr>
              <w:t>2）具备投标邀请书的编辑和发出功能</w:t>
            </w:r>
          </w:p>
        </w:tc>
        <w:tc>
          <w:tcPr>
            <w:tcW w:w="1780" w:type="dxa"/>
            <w:noWrap/>
          </w:tcPr>
          <w:p w14:paraId="4C4DB873">
            <w:pPr>
              <w:spacing w:line="360" w:lineRule="auto"/>
              <w:rPr>
                <w:rFonts w:hint="eastAsia" w:ascii="宋体" w:hAnsi="宋体" w:eastAsia="宋体"/>
                <w:szCs w:val="21"/>
              </w:rPr>
            </w:pPr>
            <w:r>
              <w:rPr>
                <w:rFonts w:hint="eastAsia" w:ascii="宋体" w:hAnsi="宋体" w:eastAsia="宋体"/>
                <w:szCs w:val="21"/>
              </w:rPr>
              <w:t>详见产品手册 4.1.2.3.1</w:t>
            </w:r>
          </w:p>
        </w:tc>
      </w:tr>
      <w:tr w14:paraId="7FBF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BD471AC">
            <w:pPr>
              <w:spacing w:line="360" w:lineRule="auto"/>
              <w:rPr>
                <w:rFonts w:hint="eastAsia" w:ascii="宋体" w:hAnsi="宋体" w:eastAsia="宋体"/>
                <w:szCs w:val="21"/>
              </w:rPr>
            </w:pPr>
          </w:p>
        </w:tc>
        <w:tc>
          <w:tcPr>
            <w:tcW w:w="1275" w:type="dxa"/>
            <w:vMerge w:val="continue"/>
          </w:tcPr>
          <w:p w14:paraId="2019DD94">
            <w:pPr>
              <w:spacing w:line="360" w:lineRule="auto"/>
              <w:rPr>
                <w:rFonts w:hint="eastAsia" w:ascii="宋体" w:hAnsi="宋体" w:eastAsia="宋体"/>
                <w:szCs w:val="21"/>
              </w:rPr>
            </w:pPr>
          </w:p>
        </w:tc>
        <w:tc>
          <w:tcPr>
            <w:tcW w:w="4253" w:type="dxa"/>
          </w:tcPr>
          <w:p w14:paraId="1B56479E">
            <w:pPr>
              <w:spacing w:line="360" w:lineRule="auto"/>
              <w:rPr>
                <w:rFonts w:hint="eastAsia" w:ascii="宋体" w:hAnsi="宋体" w:eastAsia="宋体"/>
                <w:szCs w:val="21"/>
              </w:rPr>
            </w:pPr>
            <w:r>
              <w:rPr>
                <w:rFonts w:hint="eastAsia" w:ascii="宋体" w:hAnsi="宋体" w:eastAsia="宋体"/>
                <w:szCs w:val="21"/>
              </w:rPr>
              <w:t>3）具备被邀请人接受和拒绝投标邀请的回复功能</w:t>
            </w:r>
          </w:p>
        </w:tc>
        <w:tc>
          <w:tcPr>
            <w:tcW w:w="1780" w:type="dxa"/>
            <w:noWrap/>
          </w:tcPr>
          <w:p w14:paraId="58062B80">
            <w:pPr>
              <w:spacing w:line="360" w:lineRule="auto"/>
              <w:rPr>
                <w:rFonts w:hint="eastAsia" w:ascii="宋体" w:hAnsi="宋体" w:eastAsia="宋体"/>
                <w:szCs w:val="21"/>
              </w:rPr>
            </w:pPr>
            <w:r>
              <w:rPr>
                <w:rFonts w:hint="eastAsia" w:ascii="宋体" w:hAnsi="宋体" w:eastAsia="宋体"/>
                <w:szCs w:val="21"/>
              </w:rPr>
              <w:t>详见产品手册 4.1.2.3.2</w:t>
            </w:r>
          </w:p>
        </w:tc>
      </w:tr>
      <w:tr w14:paraId="1A54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5D14E4B">
            <w:pPr>
              <w:spacing w:line="360" w:lineRule="auto"/>
              <w:rPr>
                <w:rFonts w:hint="eastAsia" w:ascii="宋体" w:hAnsi="宋体" w:eastAsia="宋体"/>
                <w:szCs w:val="21"/>
              </w:rPr>
            </w:pPr>
          </w:p>
        </w:tc>
        <w:tc>
          <w:tcPr>
            <w:tcW w:w="1275" w:type="dxa"/>
            <w:vMerge w:val="restart"/>
          </w:tcPr>
          <w:p w14:paraId="79B585F5">
            <w:pPr>
              <w:spacing w:line="360" w:lineRule="auto"/>
              <w:rPr>
                <w:rFonts w:hint="eastAsia" w:ascii="宋体" w:hAnsi="宋体" w:eastAsia="宋体"/>
                <w:szCs w:val="21"/>
              </w:rPr>
            </w:pPr>
            <w:r>
              <w:rPr>
                <w:rFonts w:hint="eastAsia" w:ascii="宋体" w:hAnsi="宋体" w:eastAsia="宋体"/>
                <w:szCs w:val="21"/>
              </w:rPr>
              <w:t>3.2.1.4.3资格预审文件/招标文件澄清与修改管理</w:t>
            </w:r>
          </w:p>
        </w:tc>
        <w:tc>
          <w:tcPr>
            <w:tcW w:w="4253" w:type="dxa"/>
          </w:tcPr>
          <w:p w14:paraId="43E10BCE">
            <w:pPr>
              <w:spacing w:line="360" w:lineRule="auto"/>
              <w:rPr>
                <w:rFonts w:hint="eastAsia" w:ascii="宋体" w:hAnsi="宋体" w:eastAsia="宋体"/>
                <w:szCs w:val="21"/>
              </w:rPr>
            </w:pPr>
            <w:r>
              <w:rPr>
                <w:rFonts w:hint="eastAsia" w:ascii="宋体" w:hAnsi="宋体" w:eastAsia="宋体"/>
                <w:szCs w:val="21"/>
              </w:rPr>
              <w:t>1）具备文件澄清问题的编辑、递交功能</w:t>
            </w:r>
          </w:p>
        </w:tc>
        <w:tc>
          <w:tcPr>
            <w:tcW w:w="1780" w:type="dxa"/>
            <w:noWrap/>
          </w:tcPr>
          <w:p w14:paraId="2B8EA4CB">
            <w:pPr>
              <w:spacing w:line="360" w:lineRule="auto"/>
              <w:rPr>
                <w:rFonts w:hint="eastAsia" w:ascii="宋体" w:hAnsi="宋体" w:eastAsia="宋体"/>
                <w:szCs w:val="21"/>
              </w:rPr>
            </w:pPr>
            <w:r>
              <w:rPr>
                <w:rFonts w:hint="eastAsia" w:ascii="宋体" w:hAnsi="宋体" w:eastAsia="宋体"/>
                <w:szCs w:val="21"/>
              </w:rPr>
              <w:t>详见产品手册 4.1.3.1.1</w:t>
            </w:r>
          </w:p>
        </w:tc>
      </w:tr>
      <w:tr w14:paraId="0276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44404042">
            <w:pPr>
              <w:spacing w:line="360" w:lineRule="auto"/>
              <w:rPr>
                <w:rFonts w:hint="eastAsia" w:ascii="宋体" w:hAnsi="宋体" w:eastAsia="宋体"/>
                <w:szCs w:val="21"/>
              </w:rPr>
            </w:pPr>
          </w:p>
        </w:tc>
        <w:tc>
          <w:tcPr>
            <w:tcW w:w="1275" w:type="dxa"/>
            <w:vMerge w:val="continue"/>
          </w:tcPr>
          <w:p w14:paraId="6FEE06E1">
            <w:pPr>
              <w:spacing w:line="360" w:lineRule="auto"/>
              <w:rPr>
                <w:rFonts w:hint="eastAsia" w:ascii="宋体" w:hAnsi="宋体" w:eastAsia="宋体"/>
                <w:szCs w:val="21"/>
              </w:rPr>
            </w:pPr>
          </w:p>
        </w:tc>
        <w:tc>
          <w:tcPr>
            <w:tcW w:w="4253" w:type="dxa"/>
          </w:tcPr>
          <w:p w14:paraId="198ADCF4">
            <w:pPr>
              <w:spacing w:line="360" w:lineRule="auto"/>
              <w:rPr>
                <w:rFonts w:hint="eastAsia" w:ascii="宋体" w:hAnsi="宋体" w:eastAsia="宋体"/>
                <w:szCs w:val="21"/>
              </w:rPr>
            </w:pPr>
            <w:r>
              <w:rPr>
                <w:rFonts w:hint="eastAsia" w:ascii="宋体" w:hAnsi="宋体" w:eastAsia="宋体"/>
                <w:szCs w:val="21"/>
              </w:rPr>
              <w:t>2）具备符合法律法规规章规定和招标文件约定的由资格预审申请人/投标人递交澄清问题的时间控制功能</w:t>
            </w:r>
          </w:p>
        </w:tc>
        <w:tc>
          <w:tcPr>
            <w:tcW w:w="1780" w:type="dxa"/>
            <w:noWrap/>
          </w:tcPr>
          <w:p w14:paraId="7F4B2FD0">
            <w:pPr>
              <w:spacing w:line="360" w:lineRule="auto"/>
              <w:rPr>
                <w:rFonts w:hint="eastAsia" w:ascii="宋体" w:hAnsi="宋体" w:eastAsia="宋体"/>
                <w:szCs w:val="21"/>
              </w:rPr>
            </w:pPr>
            <w:r>
              <w:rPr>
                <w:rFonts w:hint="eastAsia" w:ascii="宋体" w:hAnsi="宋体" w:eastAsia="宋体"/>
                <w:szCs w:val="21"/>
              </w:rPr>
              <w:t>详见产品手册 4.1.3.1.1</w:t>
            </w:r>
          </w:p>
        </w:tc>
      </w:tr>
      <w:tr w14:paraId="7838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DABD305">
            <w:pPr>
              <w:spacing w:line="360" w:lineRule="auto"/>
              <w:rPr>
                <w:rFonts w:hint="eastAsia" w:ascii="宋体" w:hAnsi="宋体" w:eastAsia="宋体"/>
                <w:szCs w:val="21"/>
              </w:rPr>
            </w:pPr>
          </w:p>
        </w:tc>
        <w:tc>
          <w:tcPr>
            <w:tcW w:w="1275" w:type="dxa"/>
            <w:vMerge w:val="continue"/>
          </w:tcPr>
          <w:p w14:paraId="13CB1B1F">
            <w:pPr>
              <w:spacing w:line="360" w:lineRule="auto"/>
              <w:rPr>
                <w:rFonts w:hint="eastAsia" w:ascii="宋体" w:hAnsi="宋体" w:eastAsia="宋体"/>
                <w:szCs w:val="21"/>
              </w:rPr>
            </w:pPr>
          </w:p>
        </w:tc>
        <w:tc>
          <w:tcPr>
            <w:tcW w:w="4253" w:type="dxa"/>
          </w:tcPr>
          <w:p w14:paraId="71DC367F">
            <w:pPr>
              <w:spacing w:line="360" w:lineRule="auto"/>
              <w:rPr>
                <w:rFonts w:hint="eastAsia" w:ascii="宋体" w:hAnsi="宋体" w:eastAsia="宋体"/>
                <w:szCs w:val="21"/>
              </w:rPr>
            </w:pPr>
            <w:r>
              <w:rPr>
                <w:rFonts w:hint="eastAsia" w:ascii="宋体" w:hAnsi="宋体" w:eastAsia="宋体"/>
                <w:szCs w:val="21"/>
              </w:rPr>
              <w:t>3）具备招标人对文件的澄清与修改进行编辑、审核、发出的功能</w:t>
            </w:r>
          </w:p>
        </w:tc>
        <w:tc>
          <w:tcPr>
            <w:tcW w:w="1780" w:type="dxa"/>
            <w:noWrap/>
          </w:tcPr>
          <w:p w14:paraId="282395DB">
            <w:pPr>
              <w:spacing w:line="360" w:lineRule="auto"/>
              <w:rPr>
                <w:rFonts w:hint="eastAsia" w:ascii="宋体" w:hAnsi="宋体" w:eastAsia="宋体"/>
                <w:szCs w:val="21"/>
              </w:rPr>
            </w:pPr>
            <w:r>
              <w:rPr>
                <w:rFonts w:hint="eastAsia" w:ascii="宋体" w:hAnsi="宋体" w:eastAsia="宋体"/>
                <w:szCs w:val="21"/>
              </w:rPr>
              <w:t>详见产品手册 4.1.3.1.2</w:t>
            </w:r>
          </w:p>
        </w:tc>
      </w:tr>
      <w:tr w14:paraId="56D1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988" w:type="dxa"/>
            <w:vMerge w:val="continue"/>
          </w:tcPr>
          <w:p w14:paraId="3509421C">
            <w:pPr>
              <w:spacing w:line="360" w:lineRule="auto"/>
              <w:rPr>
                <w:rFonts w:hint="eastAsia" w:ascii="宋体" w:hAnsi="宋体" w:eastAsia="宋体"/>
                <w:szCs w:val="21"/>
              </w:rPr>
            </w:pPr>
          </w:p>
        </w:tc>
        <w:tc>
          <w:tcPr>
            <w:tcW w:w="1275" w:type="dxa"/>
            <w:vMerge w:val="continue"/>
          </w:tcPr>
          <w:p w14:paraId="3F39F0BB">
            <w:pPr>
              <w:spacing w:line="360" w:lineRule="auto"/>
              <w:rPr>
                <w:rFonts w:hint="eastAsia" w:ascii="宋体" w:hAnsi="宋体" w:eastAsia="宋体"/>
                <w:szCs w:val="21"/>
              </w:rPr>
            </w:pPr>
          </w:p>
        </w:tc>
        <w:tc>
          <w:tcPr>
            <w:tcW w:w="4253" w:type="dxa"/>
          </w:tcPr>
          <w:p w14:paraId="2CD5177E">
            <w:pPr>
              <w:spacing w:line="360" w:lineRule="auto"/>
              <w:rPr>
                <w:rFonts w:hint="eastAsia" w:ascii="宋体" w:hAnsi="宋体" w:eastAsia="宋体"/>
                <w:szCs w:val="21"/>
              </w:rPr>
            </w:pPr>
            <w:r>
              <w:rPr>
                <w:rFonts w:hint="eastAsia" w:ascii="宋体" w:hAnsi="宋体" w:eastAsia="宋体"/>
                <w:szCs w:val="21"/>
              </w:rPr>
              <w:t>4）具备符合法律法规规章规定和招标文件约定的招标人递交澄清答复的时间控制功能，以及向所有已获取文件的潜在资格预审申请人/投标人发送通知，并以醒目方式公告澄清与修改内容的功能</w:t>
            </w:r>
          </w:p>
        </w:tc>
        <w:tc>
          <w:tcPr>
            <w:tcW w:w="1780" w:type="dxa"/>
            <w:noWrap/>
          </w:tcPr>
          <w:p w14:paraId="05F30349">
            <w:pPr>
              <w:spacing w:line="360" w:lineRule="auto"/>
              <w:rPr>
                <w:rFonts w:hint="eastAsia" w:ascii="宋体" w:hAnsi="宋体" w:eastAsia="宋体"/>
                <w:szCs w:val="21"/>
              </w:rPr>
            </w:pPr>
            <w:r>
              <w:rPr>
                <w:rFonts w:hint="eastAsia" w:ascii="宋体" w:hAnsi="宋体" w:eastAsia="宋体"/>
                <w:szCs w:val="21"/>
              </w:rPr>
              <w:t>详见产品手册 4.1.3.1.3</w:t>
            </w:r>
          </w:p>
        </w:tc>
      </w:tr>
      <w:tr w14:paraId="1397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68F7F5A">
            <w:pPr>
              <w:spacing w:line="360" w:lineRule="auto"/>
              <w:rPr>
                <w:rFonts w:hint="eastAsia" w:ascii="宋体" w:hAnsi="宋体" w:eastAsia="宋体"/>
                <w:szCs w:val="21"/>
              </w:rPr>
            </w:pPr>
          </w:p>
        </w:tc>
        <w:tc>
          <w:tcPr>
            <w:tcW w:w="1275" w:type="dxa"/>
            <w:vMerge w:val="continue"/>
          </w:tcPr>
          <w:p w14:paraId="0A15805B">
            <w:pPr>
              <w:spacing w:line="360" w:lineRule="auto"/>
              <w:rPr>
                <w:rFonts w:hint="eastAsia" w:ascii="宋体" w:hAnsi="宋体" w:eastAsia="宋体"/>
                <w:szCs w:val="21"/>
              </w:rPr>
            </w:pPr>
          </w:p>
        </w:tc>
        <w:tc>
          <w:tcPr>
            <w:tcW w:w="4253" w:type="dxa"/>
          </w:tcPr>
          <w:p w14:paraId="75E9E2AB">
            <w:pPr>
              <w:spacing w:line="360" w:lineRule="auto"/>
              <w:rPr>
                <w:rFonts w:hint="eastAsia" w:ascii="宋体" w:hAnsi="宋体" w:eastAsia="宋体"/>
                <w:szCs w:val="21"/>
              </w:rPr>
            </w:pPr>
            <w:r>
              <w:rPr>
                <w:rFonts w:hint="eastAsia" w:ascii="宋体" w:hAnsi="宋体" w:eastAsia="宋体"/>
                <w:szCs w:val="21"/>
              </w:rPr>
              <w:t>5）具备潜在资格预审申请人/投标人下载澄清与修改文件，并递交回执的功能</w:t>
            </w:r>
          </w:p>
        </w:tc>
        <w:tc>
          <w:tcPr>
            <w:tcW w:w="1780" w:type="dxa"/>
            <w:noWrap/>
          </w:tcPr>
          <w:p w14:paraId="28A9C27E">
            <w:pPr>
              <w:spacing w:line="360" w:lineRule="auto"/>
              <w:rPr>
                <w:rFonts w:hint="eastAsia" w:ascii="宋体" w:hAnsi="宋体" w:eastAsia="宋体"/>
                <w:szCs w:val="21"/>
              </w:rPr>
            </w:pPr>
            <w:r>
              <w:rPr>
                <w:rFonts w:hint="eastAsia" w:ascii="宋体" w:hAnsi="宋体" w:eastAsia="宋体"/>
                <w:szCs w:val="21"/>
              </w:rPr>
              <w:t>详见产品手册 4.1.3.1.3</w:t>
            </w:r>
          </w:p>
        </w:tc>
      </w:tr>
      <w:tr w14:paraId="64BE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988" w:type="dxa"/>
            <w:vMerge w:val="restart"/>
            <w:noWrap/>
          </w:tcPr>
          <w:p w14:paraId="288F3520">
            <w:pPr>
              <w:spacing w:line="360" w:lineRule="auto"/>
              <w:rPr>
                <w:rFonts w:hint="eastAsia" w:ascii="宋体" w:hAnsi="宋体" w:eastAsia="宋体"/>
                <w:szCs w:val="21"/>
              </w:rPr>
            </w:pPr>
            <w:r>
              <w:rPr>
                <w:rFonts w:hint="eastAsia" w:ascii="宋体" w:hAnsi="宋体" w:eastAsia="宋体"/>
                <w:szCs w:val="21"/>
              </w:rPr>
              <w:t>3.2.1.5投标管理</w:t>
            </w:r>
          </w:p>
        </w:tc>
        <w:tc>
          <w:tcPr>
            <w:tcW w:w="1275" w:type="dxa"/>
            <w:vMerge w:val="restart"/>
          </w:tcPr>
          <w:p w14:paraId="18F5DD53">
            <w:pPr>
              <w:spacing w:line="360" w:lineRule="auto"/>
              <w:rPr>
                <w:rFonts w:hint="eastAsia" w:ascii="宋体" w:hAnsi="宋体" w:eastAsia="宋体"/>
                <w:szCs w:val="21"/>
              </w:rPr>
            </w:pPr>
            <w:r>
              <w:rPr>
                <w:rFonts w:hint="eastAsia" w:ascii="宋体" w:hAnsi="宋体" w:eastAsia="宋体"/>
                <w:szCs w:val="21"/>
              </w:rPr>
              <w:t>3.2.1.5.1资格预审申请文件/投标文件管理</w:t>
            </w:r>
          </w:p>
        </w:tc>
        <w:tc>
          <w:tcPr>
            <w:tcW w:w="4253" w:type="dxa"/>
          </w:tcPr>
          <w:p w14:paraId="2B3884AF">
            <w:pPr>
              <w:spacing w:line="360" w:lineRule="auto"/>
              <w:rPr>
                <w:rFonts w:hint="eastAsia" w:ascii="宋体" w:hAnsi="宋体" w:eastAsia="宋体"/>
                <w:szCs w:val="21"/>
              </w:rPr>
            </w:pPr>
            <w:r>
              <w:rPr>
                <w:rFonts w:hint="eastAsia" w:ascii="宋体" w:hAnsi="宋体" w:eastAsia="宋体"/>
                <w:szCs w:val="21"/>
              </w:rPr>
              <w:t>1）具备在线或离线编辑和制作文件的功能，主要包括文件导入、文件内容编辑、工程量清单（如有）导入、版式文件转换、电子签章、文件生成、校验以及加密等功能</w:t>
            </w:r>
          </w:p>
        </w:tc>
        <w:tc>
          <w:tcPr>
            <w:tcW w:w="1780" w:type="dxa"/>
            <w:noWrap/>
          </w:tcPr>
          <w:p w14:paraId="3246E4A6">
            <w:pPr>
              <w:spacing w:line="360" w:lineRule="auto"/>
              <w:rPr>
                <w:rFonts w:hint="eastAsia" w:ascii="宋体" w:hAnsi="宋体" w:eastAsia="宋体"/>
                <w:szCs w:val="21"/>
              </w:rPr>
            </w:pPr>
            <w:r>
              <w:rPr>
                <w:rFonts w:hint="eastAsia" w:ascii="宋体" w:hAnsi="宋体" w:eastAsia="宋体"/>
                <w:szCs w:val="21"/>
              </w:rPr>
              <w:t>详见产品手册 4.1.4</w:t>
            </w:r>
          </w:p>
        </w:tc>
      </w:tr>
      <w:tr w14:paraId="073E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A88B3D4">
            <w:pPr>
              <w:spacing w:line="360" w:lineRule="auto"/>
              <w:rPr>
                <w:rFonts w:hint="eastAsia" w:ascii="宋体" w:hAnsi="宋体" w:eastAsia="宋体"/>
                <w:szCs w:val="21"/>
              </w:rPr>
            </w:pPr>
          </w:p>
        </w:tc>
        <w:tc>
          <w:tcPr>
            <w:tcW w:w="1275" w:type="dxa"/>
            <w:vMerge w:val="continue"/>
          </w:tcPr>
          <w:p w14:paraId="6967D296">
            <w:pPr>
              <w:spacing w:line="360" w:lineRule="auto"/>
              <w:rPr>
                <w:rFonts w:hint="eastAsia" w:ascii="宋体" w:hAnsi="宋体" w:eastAsia="宋体"/>
                <w:szCs w:val="21"/>
              </w:rPr>
            </w:pPr>
          </w:p>
        </w:tc>
        <w:tc>
          <w:tcPr>
            <w:tcW w:w="4253" w:type="dxa"/>
          </w:tcPr>
          <w:p w14:paraId="4F06A706">
            <w:pPr>
              <w:spacing w:line="360" w:lineRule="auto"/>
              <w:rPr>
                <w:rFonts w:hint="eastAsia" w:ascii="宋体" w:hAnsi="宋体" w:eastAsia="宋体"/>
                <w:szCs w:val="21"/>
              </w:rPr>
            </w:pPr>
            <w:r>
              <w:rPr>
                <w:rFonts w:hint="eastAsia" w:ascii="宋体" w:hAnsi="宋体" w:eastAsia="宋体"/>
                <w:szCs w:val="21"/>
              </w:rPr>
              <w:t>2）具备通过网络对文件递交、修改和撤回功能</w:t>
            </w:r>
          </w:p>
        </w:tc>
        <w:tc>
          <w:tcPr>
            <w:tcW w:w="1780" w:type="dxa"/>
            <w:noWrap/>
          </w:tcPr>
          <w:p w14:paraId="4D42658C">
            <w:pPr>
              <w:spacing w:line="360" w:lineRule="auto"/>
              <w:rPr>
                <w:rFonts w:hint="eastAsia" w:ascii="宋体" w:hAnsi="宋体" w:eastAsia="宋体"/>
                <w:szCs w:val="21"/>
              </w:rPr>
            </w:pPr>
            <w:r>
              <w:rPr>
                <w:rFonts w:hint="eastAsia" w:ascii="宋体" w:hAnsi="宋体" w:eastAsia="宋体"/>
                <w:szCs w:val="21"/>
              </w:rPr>
              <w:t>详见产品手册 4.1.4.3</w:t>
            </w:r>
          </w:p>
        </w:tc>
      </w:tr>
      <w:tr w14:paraId="2AF1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7A412C9">
            <w:pPr>
              <w:spacing w:line="360" w:lineRule="auto"/>
              <w:rPr>
                <w:rFonts w:hint="eastAsia" w:ascii="宋体" w:hAnsi="宋体" w:eastAsia="宋体"/>
                <w:szCs w:val="21"/>
              </w:rPr>
            </w:pPr>
          </w:p>
        </w:tc>
        <w:tc>
          <w:tcPr>
            <w:tcW w:w="1275" w:type="dxa"/>
            <w:vMerge w:val="continue"/>
          </w:tcPr>
          <w:p w14:paraId="3C715BE5">
            <w:pPr>
              <w:spacing w:line="360" w:lineRule="auto"/>
              <w:rPr>
                <w:rFonts w:hint="eastAsia" w:ascii="宋体" w:hAnsi="宋体" w:eastAsia="宋体"/>
                <w:szCs w:val="21"/>
              </w:rPr>
            </w:pPr>
          </w:p>
        </w:tc>
        <w:tc>
          <w:tcPr>
            <w:tcW w:w="4253" w:type="dxa"/>
          </w:tcPr>
          <w:p w14:paraId="63DF46D7">
            <w:pPr>
              <w:spacing w:line="360" w:lineRule="auto"/>
              <w:rPr>
                <w:rFonts w:hint="eastAsia" w:ascii="宋体" w:hAnsi="宋体" w:eastAsia="宋体"/>
                <w:szCs w:val="21"/>
              </w:rPr>
            </w:pPr>
            <w:r>
              <w:rPr>
                <w:rFonts w:hint="eastAsia" w:ascii="宋体" w:hAnsi="宋体" w:eastAsia="宋体"/>
                <w:szCs w:val="21"/>
              </w:rPr>
              <w:t>3）具备按照招标文件中的递交截止时间控制文件递交、补充、修改和撤回的功能</w:t>
            </w:r>
          </w:p>
        </w:tc>
        <w:tc>
          <w:tcPr>
            <w:tcW w:w="1780" w:type="dxa"/>
            <w:noWrap/>
          </w:tcPr>
          <w:p w14:paraId="07ADA078">
            <w:pPr>
              <w:spacing w:line="360" w:lineRule="auto"/>
              <w:rPr>
                <w:rFonts w:hint="eastAsia" w:ascii="宋体" w:hAnsi="宋体" w:eastAsia="宋体"/>
                <w:szCs w:val="21"/>
              </w:rPr>
            </w:pPr>
            <w:r>
              <w:rPr>
                <w:rFonts w:hint="eastAsia" w:ascii="宋体" w:hAnsi="宋体" w:eastAsia="宋体"/>
                <w:szCs w:val="21"/>
              </w:rPr>
              <w:t>详见产品手册 4.1.4.3</w:t>
            </w:r>
          </w:p>
        </w:tc>
      </w:tr>
      <w:tr w14:paraId="5DA3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771306F">
            <w:pPr>
              <w:spacing w:line="360" w:lineRule="auto"/>
              <w:rPr>
                <w:rFonts w:hint="eastAsia" w:ascii="宋体" w:hAnsi="宋体" w:eastAsia="宋体"/>
                <w:szCs w:val="21"/>
              </w:rPr>
            </w:pPr>
          </w:p>
        </w:tc>
        <w:tc>
          <w:tcPr>
            <w:tcW w:w="1275" w:type="dxa"/>
            <w:vMerge w:val="continue"/>
          </w:tcPr>
          <w:p w14:paraId="6C5BC353">
            <w:pPr>
              <w:spacing w:line="360" w:lineRule="auto"/>
              <w:rPr>
                <w:rFonts w:hint="eastAsia" w:ascii="宋体" w:hAnsi="宋体" w:eastAsia="宋体"/>
                <w:szCs w:val="21"/>
              </w:rPr>
            </w:pPr>
          </w:p>
        </w:tc>
        <w:tc>
          <w:tcPr>
            <w:tcW w:w="4253" w:type="dxa"/>
          </w:tcPr>
          <w:p w14:paraId="17613F6A">
            <w:pPr>
              <w:spacing w:line="360" w:lineRule="auto"/>
              <w:rPr>
                <w:rFonts w:hint="eastAsia" w:ascii="宋体" w:hAnsi="宋体" w:eastAsia="宋体"/>
                <w:szCs w:val="21"/>
              </w:rPr>
            </w:pPr>
            <w:r>
              <w:rPr>
                <w:rFonts w:hint="eastAsia" w:ascii="宋体" w:hAnsi="宋体" w:eastAsia="宋体"/>
                <w:szCs w:val="21"/>
              </w:rPr>
              <w:t>4）具备递交时间截止后，拒绝资格预审申请人/投标人递交、修改和撤回文件的功能</w:t>
            </w:r>
          </w:p>
        </w:tc>
        <w:tc>
          <w:tcPr>
            <w:tcW w:w="1780" w:type="dxa"/>
            <w:noWrap/>
          </w:tcPr>
          <w:p w14:paraId="08CA8D85">
            <w:pPr>
              <w:spacing w:line="360" w:lineRule="auto"/>
              <w:rPr>
                <w:rFonts w:hint="eastAsia" w:ascii="宋体" w:hAnsi="宋体" w:eastAsia="宋体"/>
                <w:szCs w:val="21"/>
              </w:rPr>
            </w:pPr>
            <w:r>
              <w:rPr>
                <w:rFonts w:hint="eastAsia" w:ascii="宋体" w:hAnsi="宋体" w:eastAsia="宋体"/>
                <w:szCs w:val="21"/>
              </w:rPr>
              <w:t>详见产品手册 4.1.4.3</w:t>
            </w:r>
          </w:p>
        </w:tc>
      </w:tr>
      <w:tr w14:paraId="4D94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F80ECC6">
            <w:pPr>
              <w:spacing w:line="360" w:lineRule="auto"/>
              <w:rPr>
                <w:rFonts w:hint="eastAsia" w:ascii="宋体" w:hAnsi="宋体" w:eastAsia="宋体"/>
                <w:szCs w:val="21"/>
              </w:rPr>
            </w:pPr>
          </w:p>
        </w:tc>
        <w:tc>
          <w:tcPr>
            <w:tcW w:w="1275" w:type="dxa"/>
            <w:vMerge w:val="continue"/>
          </w:tcPr>
          <w:p w14:paraId="40085015">
            <w:pPr>
              <w:spacing w:line="360" w:lineRule="auto"/>
              <w:rPr>
                <w:rFonts w:hint="eastAsia" w:ascii="宋体" w:hAnsi="宋体" w:eastAsia="宋体"/>
                <w:szCs w:val="21"/>
              </w:rPr>
            </w:pPr>
          </w:p>
        </w:tc>
        <w:tc>
          <w:tcPr>
            <w:tcW w:w="4253" w:type="dxa"/>
          </w:tcPr>
          <w:p w14:paraId="19F4FBB1">
            <w:pPr>
              <w:spacing w:line="360" w:lineRule="auto"/>
              <w:rPr>
                <w:rFonts w:hint="eastAsia" w:ascii="宋体" w:hAnsi="宋体" w:eastAsia="宋体"/>
                <w:szCs w:val="21"/>
              </w:rPr>
            </w:pPr>
            <w:r>
              <w:rPr>
                <w:rFonts w:hint="eastAsia" w:ascii="宋体" w:hAnsi="宋体" w:eastAsia="宋体"/>
                <w:szCs w:val="21"/>
              </w:rPr>
              <w:t>5）具备拒绝接收递交时间截止时尚未完成传输的文件的功能</w:t>
            </w:r>
          </w:p>
        </w:tc>
        <w:tc>
          <w:tcPr>
            <w:tcW w:w="1780" w:type="dxa"/>
            <w:noWrap/>
          </w:tcPr>
          <w:p w14:paraId="66686268">
            <w:pPr>
              <w:spacing w:line="360" w:lineRule="auto"/>
              <w:rPr>
                <w:rFonts w:hint="eastAsia" w:ascii="宋体" w:hAnsi="宋体" w:eastAsia="宋体"/>
                <w:szCs w:val="21"/>
              </w:rPr>
            </w:pPr>
            <w:r>
              <w:rPr>
                <w:rFonts w:hint="eastAsia" w:ascii="宋体" w:hAnsi="宋体" w:eastAsia="宋体"/>
                <w:szCs w:val="21"/>
              </w:rPr>
              <w:t>详见产品手册 4.1.4.3</w:t>
            </w:r>
          </w:p>
        </w:tc>
      </w:tr>
      <w:tr w14:paraId="26AB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541936A">
            <w:pPr>
              <w:spacing w:line="360" w:lineRule="auto"/>
              <w:rPr>
                <w:rFonts w:hint="eastAsia" w:ascii="宋体" w:hAnsi="宋体" w:eastAsia="宋体"/>
                <w:szCs w:val="21"/>
              </w:rPr>
            </w:pPr>
          </w:p>
        </w:tc>
        <w:tc>
          <w:tcPr>
            <w:tcW w:w="1275" w:type="dxa"/>
            <w:vMerge w:val="continue"/>
          </w:tcPr>
          <w:p w14:paraId="7FC11E40">
            <w:pPr>
              <w:spacing w:line="360" w:lineRule="auto"/>
              <w:rPr>
                <w:rFonts w:hint="eastAsia" w:ascii="宋体" w:hAnsi="宋体" w:eastAsia="宋体"/>
                <w:szCs w:val="21"/>
              </w:rPr>
            </w:pPr>
          </w:p>
        </w:tc>
        <w:tc>
          <w:tcPr>
            <w:tcW w:w="4253" w:type="dxa"/>
          </w:tcPr>
          <w:p w14:paraId="2EB267CD">
            <w:pPr>
              <w:spacing w:line="360" w:lineRule="auto"/>
              <w:rPr>
                <w:rFonts w:hint="eastAsia" w:ascii="宋体" w:hAnsi="宋体" w:eastAsia="宋体"/>
                <w:szCs w:val="21"/>
              </w:rPr>
            </w:pPr>
            <w:r>
              <w:rPr>
                <w:rFonts w:hint="eastAsia" w:ascii="宋体" w:hAnsi="宋体" w:eastAsia="宋体"/>
                <w:szCs w:val="21"/>
              </w:rPr>
              <w:t>6）具备对文件的主要数据项内容和格式进行校验的功能</w:t>
            </w:r>
          </w:p>
        </w:tc>
        <w:tc>
          <w:tcPr>
            <w:tcW w:w="1780" w:type="dxa"/>
            <w:noWrap/>
          </w:tcPr>
          <w:p w14:paraId="0D44E257">
            <w:pPr>
              <w:spacing w:line="360" w:lineRule="auto"/>
              <w:rPr>
                <w:rFonts w:hint="eastAsia" w:ascii="宋体" w:hAnsi="宋体" w:eastAsia="宋体"/>
                <w:szCs w:val="21"/>
              </w:rPr>
            </w:pPr>
            <w:r>
              <w:rPr>
                <w:rFonts w:hint="eastAsia" w:ascii="宋体" w:hAnsi="宋体" w:eastAsia="宋体"/>
                <w:szCs w:val="21"/>
              </w:rPr>
              <w:t>详见产品手册 4.1.4.2</w:t>
            </w:r>
          </w:p>
        </w:tc>
      </w:tr>
      <w:tr w14:paraId="4AC2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2BAE980D">
            <w:pPr>
              <w:spacing w:line="360" w:lineRule="auto"/>
              <w:rPr>
                <w:rFonts w:hint="eastAsia" w:ascii="宋体" w:hAnsi="宋体" w:eastAsia="宋体"/>
                <w:szCs w:val="21"/>
              </w:rPr>
            </w:pPr>
          </w:p>
        </w:tc>
        <w:tc>
          <w:tcPr>
            <w:tcW w:w="1275" w:type="dxa"/>
            <w:vMerge w:val="continue"/>
          </w:tcPr>
          <w:p w14:paraId="640BE52A">
            <w:pPr>
              <w:spacing w:line="360" w:lineRule="auto"/>
              <w:rPr>
                <w:rFonts w:hint="eastAsia" w:ascii="宋体" w:hAnsi="宋体" w:eastAsia="宋体"/>
                <w:szCs w:val="21"/>
              </w:rPr>
            </w:pPr>
          </w:p>
        </w:tc>
        <w:tc>
          <w:tcPr>
            <w:tcW w:w="4253" w:type="dxa"/>
          </w:tcPr>
          <w:p w14:paraId="3763702C">
            <w:pPr>
              <w:spacing w:line="360" w:lineRule="auto"/>
              <w:rPr>
                <w:rFonts w:hint="eastAsia" w:ascii="宋体" w:hAnsi="宋体" w:eastAsia="宋体"/>
                <w:szCs w:val="21"/>
              </w:rPr>
            </w:pPr>
            <w:r>
              <w:rPr>
                <w:rFonts w:hint="eastAsia" w:ascii="宋体" w:hAnsi="宋体" w:eastAsia="宋体"/>
                <w:szCs w:val="21"/>
              </w:rPr>
              <w:t>7）具备文件防篡改的功能</w:t>
            </w:r>
          </w:p>
        </w:tc>
        <w:tc>
          <w:tcPr>
            <w:tcW w:w="1780" w:type="dxa"/>
            <w:noWrap/>
          </w:tcPr>
          <w:p w14:paraId="7CD321BF">
            <w:pPr>
              <w:spacing w:line="360" w:lineRule="auto"/>
              <w:rPr>
                <w:rFonts w:hint="eastAsia" w:ascii="宋体" w:hAnsi="宋体" w:eastAsia="宋体"/>
                <w:szCs w:val="21"/>
              </w:rPr>
            </w:pPr>
            <w:r>
              <w:rPr>
                <w:rFonts w:hint="eastAsia" w:ascii="宋体" w:hAnsi="宋体" w:eastAsia="宋体"/>
                <w:szCs w:val="21"/>
              </w:rPr>
              <w:t>详见产品手册 4.1.4.2</w:t>
            </w:r>
          </w:p>
        </w:tc>
      </w:tr>
      <w:tr w14:paraId="2A1A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24B978BA">
            <w:pPr>
              <w:spacing w:line="360" w:lineRule="auto"/>
              <w:rPr>
                <w:rFonts w:hint="eastAsia" w:ascii="宋体" w:hAnsi="宋体" w:eastAsia="宋体"/>
                <w:szCs w:val="21"/>
              </w:rPr>
            </w:pPr>
          </w:p>
        </w:tc>
        <w:tc>
          <w:tcPr>
            <w:tcW w:w="1275" w:type="dxa"/>
            <w:vMerge w:val="continue"/>
          </w:tcPr>
          <w:p w14:paraId="7A594C63">
            <w:pPr>
              <w:spacing w:line="360" w:lineRule="auto"/>
              <w:rPr>
                <w:rFonts w:hint="eastAsia" w:ascii="宋体" w:hAnsi="宋体" w:eastAsia="宋体"/>
                <w:szCs w:val="21"/>
              </w:rPr>
            </w:pPr>
          </w:p>
        </w:tc>
        <w:tc>
          <w:tcPr>
            <w:tcW w:w="4253" w:type="dxa"/>
          </w:tcPr>
          <w:p w14:paraId="4ED4637B">
            <w:pPr>
              <w:spacing w:line="360" w:lineRule="auto"/>
              <w:rPr>
                <w:rFonts w:hint="eastAsia" w:ascii="宋体" w:hAnsi="宋体" w:eastAsia="宋体"/>
                <w:szCs w:val="21"/>
              </w:rPr>
            </w:pPr>
            <w:r>
              <w:rPr>
                <w:rFonts w:hint="eastAsia" w:ascii="宋体" w:hAnsi="宋体" w:eastAsia="宋体"/>
                <w:szCs w:val="21"/>
              </w:rPr>
              <w:t>8）具备投标人按照招标文件约定的加密方式选择按标段（包）分段或整体加密、递交文件的功能</w:t>
            </w:r>
          </w:p>
        </w:tc>
        <w:tc>
          <w:tcPr>
            <w:tcW w:w="1780" w:type="dxa"/>
            <w:noWrap/>
          </w:tcPr>
          <w:p w14:paraId="44F946B7">
            <w:pPr>
              <w:spacing w:line="360" w:lineRule="auto"/>
              <w:rPr>
                <w:rFonts w:hint="eastAsia" w:ascii="宋体" w:hAnsi="宋体" w:eastAsia="宋体"/>
                <w:szCs w:val="21"/>
              </w:rPr>
            </w:pPr>
            <w:r>
              <w:rPr>
                <w:rFonts w:hint="eastAsia" w:ascii="宋体" w:hAnsi="宋体" w:eastAsia="宋体"/>
                <w:szCs w:val="21"/>
              </w:rPr>
              <w:t>详见产品手册 4.1.4.2</w:t>
            </w:r>
          </w:p>
        </w:tc>
      </w:tr>
      <w:tr w14:paraId="5C2D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5ECF1096">
            <w:pPr>
              <w:spacing w:line="360" w:lineRule="auto"/>
              <w:rPr>
                <w:rFonts w:hint="eastAsia" w:ascii="宋体" w:hAnsi="宋体" w:eastAsia="宋体"/>
                <w:szCs w:val="21"/>
              </w:rPr>
            </w:pPr>
          </w:p>
        </w:tc>
        <w:tc>
          <w:tcPr>
            <w:tcW w:w="1275" w:type="dxa"/>
            <w:vMerge w:val="continue"/>
          </w:tcPr>
          <w:p w14:paraId="48BC3CAF">
            <w:pPr>
              <w:spacing w:line="360" w:lineRule="auto"/>
              <w:rPr>
                <w:rFonts w:hint="eastAsia" w:ascii="宋体" w:hAnsi="宋体" w:eastAsia="宋体"/>
                <w:szCs w:val="21"/>
              </w:rPr>
            </w:pPr>
          </w:p>
        </w:tc>
        <w:tc>
          <w:tcPr>
            <w:tcW w:w="4253" w:type="dxa"/>
          </w:tcPr>
          <w:p w14:paraId="7870D884">
            <w:pPr>
              <w:spacing w:line="360" w:lineRule="auto"/>
              <w:rPr>
                <w:rFonts w:hint="eastAsia" w:ascii="宋体" w:hAnsi="宋体" w:eastAsia="宋体"/>
                <w:szCs w:val="21"/>
              </w:rPr>
            </w:pPr>
            <w:r>
              <w:rPr>
                <w:rFonts w:hint="eastAsia" w:ascii="宋体" w:hAnsi="宋体" w:eastAsia="宋体"/>
                <w:szCs w:val="21"/>
              </w:rPr>
              <w:t>9）具备文件接收、校验、按接收时间排序和回执递交功能</w:t>
            </w:r>
          </w:p>
        </w:tc>
        <w:tc>
          <w:tcPr>
            <w:tcW w:w="1780" w:type="dxa"/>
            <w:noWrap/>
          </w:tcPr>
          <w:p w14:paraId="1C2F4315">
            <w:pPr>
              <w:spacing w:line="360" w:lineRule="auto"/>
              <w:rPr>
                <w:rFonts w:hint="eastAsia" w:ascii="宋体" w:hAnsi="宋体" w:eastAsia="宋体"/>
                <w:szCs w:val="21"/>
              </w:rPr>
            </w:pPr>
            <w:r>
              <w:rPr>
                <w:rFonts w:hint="eastAsia" w:ascii="宋体" w:hAnsi="宋体" w:eastAsia="宋体"/>
                <w:szCs w:val="21"/>
              </w:rPr>
              <w:t>详见产品手册 4.1.4.2</w:t>
            </w:r>
          </w:p>
        </w:tc>
      </w:tr>
      <w:tr w14:paraId="564E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BE355C2">
            <w:pPr>
              <w:spacing w:line="360" w:lineRule="auto"/>
              <w:rPr>
                <w:rFonts w:hint="eastAsia" w:ascii="宋体" w:hAnsi="宋体" w:eastAsia="宋体"/>
                <w:szCs w:val="21"/>
              </w:rPr>
            </w:pPr>
          </w:p>
        </w:tc>
        <w:tc>
          <w:tcPr>
            <w:tcW w:w="1275" w:type="dxa"/>
            <w:vMerge w:val="continue"/>
          </w:tcPr>
          <w:p w14:paraId="6B5DC811">
            <w:pPr>
              <w:spacing w:line="360" w:lineRule="auto"/>
              <w:rPr>
                <w:rFonts w:hint="eastAsia" w:ascii="宋体" w:hAnsi="宋体" w:eastAsia="宋体"/>
                <w:szCs w:val="21"/>
              </w:rPr>
            </w:pPr>
          </w:p>
        </w:tc>
        <w:tc>
          <w:tcPr>
            <w:tcW w:w="4253" w:type="dxa"/>
          </w:tcPr>
          <w:p w14:paraId="07D13727">
            <w:pPr>
              <w:spacing w:line="360" w:lineRule="auto"/>
              <w:rPr>
                <w:rFonts w:hint="eastAsia" w:ascii="宋体" w:hAnsi="宋体" w:eastAsia="宋体"/>
                <w:szCs w:val="21"/>
              </w:rPr>
            </w:pPr>
            <w:r>
              <w:rPr>
                <w:rFonts w:hint="eastAsia" w:ascii="宋体" w:hAnsi="宋体" w:eastAsia="宋体"/>
                <w:szCs w:val="21"/>
              </w:rPr>
              <w:t>10）具备拒收未按法律法规规章规定和招标文件要求递交文件的功能</w:t>
            </w:r>
          </w:p>
        </w:tc>
        <w:tc>
          <w:tcPr>
            <w:tcW w:w="1780" w:type="dxa"/>
            <w:noWrap/>
          </w:tcPr>
          <w:p w14:paraId="003D9A21">
            <w:pPr>
              <w:spacing w:line="360" w:lineRule="auto"/>
              <w:rPr>
                <w:rFonts w:hint="eastAsia" w:ascii="宋体" w:hAnsi="宋体" w:eastAsia="宋体"/>
                <w:szCs w:val="21"/>
              </w:rPr>
            </w:pPr>
            <w:r>
              <w:rPr>
                <w:rFonts w:hint="eastAsia" w:ascii="宋体" w:hAnsi="宋体" w:eastAsia="宋体"/>
                <w:szCs w:val="21"/>
              </w:rPr>
              <w:t>详见产品手册 4.1.4.3</w:t>
            </w:r>
          </w:p>
        </w:tc>
      </w:tr>
      <w:tr w14:paraId="1946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029A100">
            <w:pPr>
              <w:spacing w:line="360" w:lineRule="auto"/>
              <w:rPr>
                <w:rFonts w:hint="eastAsia" w:ascii="宋体" w:hAnsi="宋体" w:eastAsia="宋体"/>
                <w:szCs w:val="21"/>
              </w:rPr>
            </w:pPr>
          </w:p>
        </w:tc>
        <w:tc>
          <w:tcPr>
            <w:tcW w:w="1275" w:type="dxa"/>
            <w:vMerge w:val="continue"/>
          </w:tcPr>
          <w:p w14:paraId="781247ED">
            <w:pPr>
              <w:spacing w:line="360" w:lineRule="auto"/>
              <w:rPr>
                <w:rFonts w:hint="eastAsia" w:ascii="宋体" w:hAnsi="宋体" w:eastAsia="宋体"/>
                <w:szCs w:val="21"/>
              </w:rPr>
            </w:pPr>
          </w:p>
        </w:tc>
        <w:tc>
          <w:tcPr>
            <w:tcW w:w="4253" w:type="dxa"/>
          </w:tcPr>
          <w:p w14:paraId="705E4183">
            <w:pPr>
              <w:spacing w:line="360" w:lineRule="auto"/>
              <w:rPr>
                <w:rFonts w:hint="eastAsia" w:ascii="宋体" w:hAnsi="宋体" w:eastAsia="宋体"/>
                <w:szCs w:val="21"/>
              </w:rPr>
            </w:pPr>
            <w:r>
              <w:rPr>
                <w:rFonts w:hint="eastAsia" w:ascii="宋体" w:hAnsi="宋体" w:eastAsia="宋体"/>
                <w:szCs w:val="21"/>
              </w:rPr>
              <w:t>11）具备禁止除资格预审申请人/投标人外的任何人在投标截止前解密、提取文件的功能</w:t>
            </w:r>
          </w:p>
        </w:tc>
        <w:tc>
          <w:tcPr>
            <w:tcW w:w="1780" w:type="dxa"/>
            <w:noWrap/>
          </w:tcPr>
          <w:p w14:paraId="6B042683">
            <w:pPr>
              <w:spacing w:line="360" w:lineRule="auto"/>
              <w:rPr>
                <w:rFonts w:hint="eastAsia" w:ascii="宋体" w:hAnsi="宋体" w:eastAsia="宋体"/>
                <w:szCs w:val="21"/>
              </w:rPr>
            </w:pPr>
            <w:r>
              <w:rPr>
                <w:rFonts w:hint="eastAsia" w:ascii="宋体" w:hAnsi="宋体" w:eastAsia="宋体"/>
                <w:szCs w:val="21"/>
              </w:rPr>
              <w:t>详见产品手册 4.1.4.2</w:t>
            </w:r>
          </w:p>
        </w:tc>
      </w:tr>
      <w:tr w14:paraId="7E7D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DDF94A2">
            <w:pPr>
              <w:spacing w:line="360" w:lineRule="auto"/>
              <w:rPr>
                <w:rFonts w:hint="eastAsia" w:ascii="宋体" w:hAnsi="宋体" w:eastAsia="宋体"/>
                <w:szCs w:val="21"/>
              </w:rPr>
            </w:pPr>
          </w:p>
        </w:tc>
        <w:tc>
          <w:tcPr>
            <w:tcW w:w="1275" w:type="dxa"/>
            <w:vMerge w:val="continue"/>
          </w:tcPr>
          <w:p w14:paraId="4555D5A1">
            <w:pPr>
              <w:spacing w:line="360" w:lineRule="auto"/>
              <w:rPr>
                <w:rFonts w:hint="eastAsia" w:ascii="宋体" w:hAnsi="宋体" w:eastAsia="宋体"/>
                <w:szCs w:val="21"/>
              </w:rPr>
            </w:pPr>
          </w:p>
        </w:tc>
        <w:tc>
          <w:tcPr>
            <w:tcW w:w="4253" w:type="dxa"/>
          </w:tcPr>
          <w:p w14:paraId="08F165F9">
            <w:pPr>
              <w:spacing w:line="360" w:lineRule="auto"/>
              <w:rPr>
                <w:rFonts w:hint="eastAsia" w:ascii="宋体" w:hAnsi="宋体" w:eastAsia="宋体"/>
                <w:szCs w:val="21"/>
              </w:rPr>
            </w:pPr>
            <w:r>
              <w:rPr>
                <w:rFonts w:hint="eastAsia" w:ascii="宋体" w:hAnsi="宋体" w:eastAsia="宋体"/>
                <w:szCs w:val="21"/>
              </w:rPr>
              <w:t>12）具备截止时间使用国家授时中心标准时间，动态显示国家授时中心当前时间</w:t>
            </w:r>
          </w:p>
        </w:tc>
        <w:tc>
          <w:tcPr>
            <w:tcW w:w="1780" w:type="dxa"/>
            <w:noWrap/>
          </w:tcPr>
          <w:p w14:paraId="2FE1A4D3">
            <w:pPr>
              <w:spacing w:line="360" w:lineRule="auto"/>
              <w:rPr>
                <w:rFonts w:hint="eastAsia" w:ascii="宋体" w:hAnsi="宋体" w:eastAsia="宋体"/>
                <w:szCs w:val="21"/>
              </w:rPr>
            </w:pPr>
            <w:r>
              <w:rPr>
                <w:rFonts w:hint="eastAsia" w:ascii="宋体" w:hAnsi="宋体" w:eastAsia="宋体"/>
                <w:szCs w:val="21"/>
              </w:rPr>
              <w:t>详见产品手册 4.1.4.3</w:t>
            </w:r>
          </w:p>
        </w:tc>
      </w:tr>
      <w:tr w14:paraId="5836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CCE2109">
            <w:pPr>
              <w:spacing w:line="360" w:lineRule="auto"/>
              <w:rPr>
                <w:rFonts w:hint="eastAsia" w:ascii="宋体" w:hAnsi="宋体" w:eastAsia="宋体"/>
                <w:szCs w:val="21"/>
              </w:rPr>
            </w:pPr>
          </w:p>
        </w:tc>
        <w:tc>
          <w:tcPr>
            <w:tcW w:w="1275" w:type="dxa"/>
            <w:vMerge w:val="restart"/>
          </w:tcPr>
          <w:p w14:paraId="2AD620D3">
            <w:pPr>
              <w:spacing w:line="360" w:lineRule="auto"/>
              <w:rPr>
                <w:rFonts w:hint="eastAsia" w:ascii="宋体" w:hAnsi="宋体" w:eastAsia="宋体"/>
                <w:szCs w:val="21"/>
              </w:rPr>
            </w:pPr>
            <w:r>
              <w:rPr>
                <w:rFonts w:hint="eastAsia" w:ascii="宋体" w:hAnsi="宋体" w:eastAsia="宋体"/>
                <w:szCs w:val="21"/>
              </w:rPr>
              <w:t>3.2.1.5.2投标保证金管理</w:t>
            </w:r>
          </w:p>
        </w:tc>
        <w:tc>
          <w:tcPr>
            <w:tcW w:w="4253" w:type="dxa"/>
          </w:tcPr>
          <w:p w14:paraId="73B60E39">
            <w:pPr>
              <w:spacing w:line="360" w:lineRule="auto"/>
              <w:rPr>
                <w:rFonts w:hint="eastAsia" w:ascii="宋体" w:hAnsi="宋体" w:eastAsia="宋体"/>
                <w:szCs w:val="21"/>
              </w:rPr>
            </w:pPr>
            <w:r>
              <w:rPr>
                <w:rFonts w:hint="eastAsia" w:ascii="宋体" w:hAnsi="宋体" w:eastAsia="宋体"/>
                <w:szCs w:val="21"/>
              </w:rPr>
              <w:t>1）具备记录和提示投标保证金接收、退还信息的功能</w:t>
            </w:r>
          </w:p>
        </w:tc>
        <w:tc>
          <w:tcPr>
            <w:tcW w:w="1780" w:type="dxa"/>
            <w:noWrap/>
          </w:tcPr>
          <w:p w14:paraId="2A4C9D2A">
            <w:pPr>
              <w:spacing w:line="360" w:lineRule="auto"/>
              <w:rPr>
                <w:rFonts w:hint="eastAsia" w:ascii="宋体" w:hAnsi="宋体" w:eastAsia="宋体"/>
                <w:szCs w:val="21"/>
              </w:rPr>
            </w:pPr>
            <w:r>
              <w:rPr>
                <w:rFonts w:hint="eastAsia" w:ascii="宋体" w:hAnsi="宋体" w:eastAsia="宋体"/>
                <w:szCs w:val="21"/>
              </w:rPr>
              <w:t>详见产品手册 4.1.4.4</w:t>
            </w:r>
          </w:p>
        </w:tc>
      </w:tr>
      <w:tr w14:paraId="1371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2FE41A27">
            <w:pPr>
              <w:spacing w:line="360" w:lineRule="auto"/>
              <w:rPr>
                <w:rFonts w:hint="eastAsia" w:ascii="宋体" w:hAnsi="宋体" w:eastAsia="宋体"/>
                <w:szCs w:val="21"/>
              </w:rPr>
            </w:pPr>
          </w:p>
        </w:tc>
        <w:tc>
          <w:tcPr>
            <w:tcW w:w="1275" w:type="dxa"/>
            <w:vMerge w:val="continue"/>
          </w:tcPr>
          <w:p w14:paraId="5CCC27E7">
            <w:pPr>
              <w:spacing w:line="360" w:lineRule="auto"/>
              <w:rPr>
                <w:rFonts w:hint="eastAsia" w:ascii="宋体" w:hAnsi="宋体" w:eastAsia="宋体"/>
                <w:szCs w:val="21"/>
              </w:rPr>
            </w:pPr>
          </w:p>
        </w:tc>
        <w:tc>
          <w:tcPr>
            <w:tcW w:w="4253" w:type="dxa"/>
          </w:tcPr>
          <w:p w14:paraId="1F23ABAD">
            <w:pPr>
              <w:spacing w:line="360" w:lineRule="auto"/>
              <w:rPr>
                <w:rFonts w:hint="eastAsia" w:ascii="宋体" w:hAnsi="宋体" w:eastAsia="宋体"/>
                <w:szCs w:val="21"/>
              </w:rPr>
            </w:pPr>
            <w:r>
              <w:rPr>
                <w:rFonts w:hint="eastAsia" w:ascii="宋体" w:hAnsi="宋体" w:eastAsia="宋体"/>
                <w:szCs w:val="21"/>
              </w:rPr>
              <w:t>2）具备投标保证金接收情况展示的功能</w:t>
            </w:r>
          </w:p>
        </w:tc>
        <w:tc>
          <w:tcPr>
            <w:tcW w:w="1780" w:type="dxa"/>
            <w:noWrap/>
          </w:tcPr>
          <w:p w14:paraId="367DCEC2">
            <w:pPr>
              <w:spacing w:line="360" w:lineRule="auto"/>
              <w:rPr>
                <w:rFonts w:hint="eastAsia" w:ascii="宋体" w:hAnsi="宋体" w:eastAsia="宋体"/>
                <w:szCs w:val="21"/>
              </w:rPr>
            </w:pPr>
            <w:r>
              <w:rPr>
                <w:rFonts w:hint="eastAsia" w:ascii="宋体" w:hAnsi="宋体" w:eastAsia="宋体"/>
                <w:szCs w:val="21"/>
              </w:rPr>
              <w:t>详见产品手册 4.1.4.5</w:t>
            </w:r>
          </w:p>
        </w:tc>
      </w:tr>
      <w:tr w14:paraId="3E5F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0F664186">
            <w:pPr>
              <w:spacing w:line="360" w:lineRule="auto"/>
              <w:rPr>
                <w:rFonts w:hint="eastAsia" w:ascii="宋体" w:hAnsi="宋体" w:eastAsia="宋体"/>
                <w:szCs w:val="21"/>
              </w:rPr>
            </w:pPr>
          </w:p>
        </w:tc>
        <w:tc>
          <w:tcPr>
            <w:tcW w:w="1275" w:type="dxa"/>
            <w:vMerge w:val="continue"/>
          </w:tcPr>
          <w:p w14:paraId="60EC59FD">
            <w:pPr>
              <w:spacing w:line="360" w:lineRule="auto"/>
              <w:rPr>
                <w:rFonts w:hint="eastAsia" w:ascii="宋体" w:hAnsi="宋体" w:eastAsia="宋体"/>
                <w:szCs w:val="21"/>
              </w:rPr>
            </w:pPr>
          </w:p>
        </w:tc>
        <w:tc>
          <w:tcPr>
            <w:tcW w:w="4253" w:type="dxa"/>
          </w:tcPr>
          <w:p w14:paraId="66453478">
            <w:pPr>
              <w:spacing w:line="360" w:lineRule="auto"/>
              <w:rPr>
                <w:rFonts w:hint="eastAsia" w:ascii="宋体" w:hAnsi="宋体" w:eastAsia="宋体"/>
                <w:szCs w:val="21"/>
              </w:rPr>
            </w:pPr>
            <w:r>
              <w:rPr>
                <w:rFonts w:hint="eastAsia" w:ascii="宋体" w:hAnsi="宋体" w:eastAsia="宋体"/>
                <w:szCs w:val="21"/>
              </w:rPr>
              <w:t>3）具备按照招标文件要求对投标保证金支付形式、资金到账时间、金额、接收凭证等进行符合性校验的功能</w:t>
            </w:r>
          </w:p>
        </w:tc>
        <w:tc>
          <w:tcPr>
            <w:tcW w:w="1780" w:type="dxa"/>
            <w:noWrap/>
          </w:tcPr>
          <w:p w14:paraId="07FADF93">
            <w:pPr>
              <w:spacing w:line="360" w:lineRule="auto"/>
              <w:rPr>
                <w:rFonts w:hint="eastAsia" w:ascii="宋体" w:hAnsi="宋体" w:eastAsia="宋体"/>
                <w:szCs w:val="21"/>
              </w:rPr>
            </w:pPr>
            <w:r>
              <w:rPr>
                <w:rFonts w:hint="eastAsia" w:ascii="宋体" w:hAnsi="宋体" w:eastAsia="宋体"/>
                <w:szCs w:val="21"/>
              </w:rPr>
              <w:t>详见产品手册 4.1.4.5</w:t>
            </w:r>
          </w:p>
        </w:tc>
      </w:tr>
      <w:tr w14:paraId="1B2F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restart"/>
            <w:noWrap/>
          </w:tcPr>
          <w:p w14:paraId="7B68A25F">
            <w:pPr>
              <w:spacing w:line="360" w:lineRule="auto"/>
              <w:rPr>
                <w:rFonts w:hint="eastAsia" w:ascii="宋体" w:hAnsi="宋体" w:eastAsia="宋体"/>
                <w:szCs w:val="21"/>
              </w:rPr>
            </w:pPr>
            <w:r>
              <w:rPr>
                <w:rFonts w:hint="eastAsia" w:ascii="宋体" w:hAnsi="宋体" w:eastAsia="宋体"/>
                <w:szCs w:val="21"/>
              </w:rPr>
              <w:t>3.2.1.6开标管理</w:t>
            </w:r>
          </w:p>
        </w:tc>
        <w:tc>
          <w:tcPr>
            <w:tcW w:w="1275" w:type="dxa"/>
          </w:tcPr>
          <w:p w14:paraId="782A09F9">
            <w:pPr>
              <w:spacing w:line="360" w:lineRule="auto"/>
              <w:rPr>
                <w:rFonts w:hint="eastAsia" w:ascii="宋体" w:hAnsi="宋体" w:eastAsia="宋体"/>
                <w:szCs w:val="21"/>
              </w:rPr>
            </w:pPr>
            <w:r>
              <w:rPr>
                <w:rFonts w:hint="eastAsia" w:ascii="宋体" w:hAnsi="宋体" w:eastAsia="宋体"/>
                <w:szCs w:val="21"/>
              </w:rPr>
              <w:t>3.2.1.6.1签到记录</w:t>
            </w:r>
          </w:p>
        </w:tc>
        <w:tc>
          <w:tcPr>
            <w:tcW w:w="4253" w:type="dxa"/>
          </w:tcPr>
          <w:p w14:paraId="7FCD9236">
            <w:pPr>
              <w:spacing w:line="360" w:lineRule="auto"/>
              <w:rPr>
                <w:rFonts w:hint="eastAsia" w:ascii="宋体" w:hAnsi="宋体" w:eastAsia="宋体"/>
                <w:szCs w:val="21"/>
              </w:rPr>
            </w:pPr>
            <w:r>
              <w:rPr>
                <w:rFonts w:hint="eastAsia" w:ascii="宋体" w:hAnsi="宋体" w:eastAsia="宋体"/>
                <w:szCs w:val="21"/>
              </w:rPr>
              <w:t>1）具备参加开标的人员通过网络远程办理电子签到的功能。</w:t>
            </w:r>
          </w:p>
        </w:tc>
        <w:tc>
          <w:tcPr>
            <w:tcW w:w="1780" w:type="dxa"/>
            <w:noWrap/>
          </w:tcPr>
          <w:p w14:paraId="0C6F0C18">
            <w:pPr>
              <w:spacing w:line="360" w:lineRule="auto"/>
              <w:rPr>
                <w:rFonts w:hint="eastAsia" w:ascii="宋体" w:hAnsi="宋体" w:eastAsia="宋体"/>
                <w:szCs w:val="21"/>
              </w:rPr>
            </w:pPr>
            <w:r>
              <w:rPr>
                <w:rFonts w:hint="eastAsia" w:ascii="宋体" w:hAnsi="宋体" w:eastAsia="宋体"/>
                <w:szCs w:val="21"/>
              </w:rPr>
              <w:t>详见产品手册 4.1.5.1</w:t>
            </w:r>
          </w:p>
        </w:tc>
      </w:tr>
      <w:tr w14:paraId="7326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0EFB1057">
            <w:pPr>
              <w:spacing w:line="360" w:lineRule="auto"/>
              <w:rPr>
                <w:rFonts w:hint="eastAsia" w:ascii="宋体" w:hAnsi="宋体" w:eastAsia="宋体"/>
                <w:szCs w:val="21"/>
              </w:rPr>
            </w:pPr>
          </w:p>
        </w:tc>
        <w:tc>
          <w:tcPr>
            <w:tcW w:w="1275" w:type="dxa"/>
            <w:vMerge w:val="restart"/>
          </w:tcPr>
          <w:p w14:paraId="50AE83CA">
            <w:pPr>
              <w:spacing w:line="360" w:lineRule="auto"/>
              <w:rPr>
                <w:rFonts w:hint="eastAsia" w:ascii="宋体" w:hAnsi="宋体" w:eastAsia="宋体"/>
                <w:szCs w:val="21"/>
              </w:rPr>
            </w:pPr>
            <w:r>
              <w:rPr>
                <w:rFonts w:hint="eastAsia" w:ascii="宋体" w:hAnsi="宋体" w:eastAsia="宋体"/>
                <w:szCs w:val="21"/>
              </w:rPr>
              <w:t>3.2.1.6.2开标唱标</w:t>
            </w:r>
          </w:p>
        </w:tc>
        <w:tc>
          <w:tcPr>
            <w:tcW w:w="4253" w:type="dxa"/>
          </w:tcPr>
          <w:p w14:paraId="5202C056">
            <w:pPr>
              <w:spacing w:line="360" w:lineRule="auto"/>
              <w:rPr>
                <w:rFonts w:hint="eastAsia" w:ascii="宋体" w:hAnsi="宋体" w:eastAsia="宋体"/>
                <w:szCs w:val="21"/>
              </w:rPr>
            </w:pPr>
            <w:r>
              <w:rPr>
                <w:rFonts w:hint="eastAsia" w:ascii="宋体" w:hAnsi="宋体" w:eastAsia="宋体"/>
                <w:szCs w:val="21"/>
              </w:rPr>
              <w:t>1）具备开标时验证投标人是否达到和显示法定数量,并可以根据实际情况启动开标或取消开标的功能</w:t>
            </w:r>
          </w:p>
        </w:tc>
        <w:tc>
          <w:tcPr>
            <w:tcW w:w="1780" w:type="dxa"/>
            <w:noWrap/>
          </w:tcPr>
          <w:p w14:paraId="4E9988EB">
            <w:pPr>
              <w:spacing w:line="360" w:lineRule="auto"/>
              <w:rPr>
                <w:rFonts w:hint="eastAsia" w:ascii="宋体" w:hAnsi="宋体" w:eastAsia="宋体"/>
                <w:szCs w:val="21"/>
              </w:rPr>
            </w:pPr>
            <w:r>
              <w:rPr>
                <w:rFonts w:hint="eastAsia" w:ascii="宋体" w:hAnsi="宋体" w:eastAsia="宋体"/>
                <w:szCs w:val="21"/>
              </w:rPr>
              <w:t>详见产品手册 4.1.5.2</w:t>
            </w:r>
          </w:p>
        </w:tc>
      </w:tr>
      <w:tr w14:paraId="4075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8D09E17">
            <w:pPr>
              <w:spacing w:line="360" w:lineRule="auto"/>
              <w:rPr>
                <w:rFonts w:hint="eastAsia" w:ascii="宋体" w:hAnsi="宋体" w:eastAsia="宋体"/>
                <w:szCs w:val="21"/>
              </w:rPr>
            </w:pPr>
          </w:p>
        </w:tc>
        <w:tc>
          <w:tcPr>
            <w:tcW w:w="1275" w:type="dxa"/>
            <w:vMerge w:val="continue"/>
          </w:tcPr>
          <w:p w14:paraId="664D951F">
            <w:pPr>
              <w:spacing w:line="360" w:lineRule="auto"/>
              <w:rPr>
                <w:rFonts w:hint="eastAsia" w:ascii="宋体" w:hAnsi="宋体" w:eastAsia="宋体"/>
                <w:szCs w:val="21"/>
              </w:rPr>
            </w:pPr>
          </w:p>
        </w:tc>
        <w:tc>
          <w:tcPr>
            <w:tcW w:w="4253" w:type="dxa"/>
          </w:tcPr>
          <w:p w14:paraId="495EAC04">
            <w:pPr>
              <w:spacing w:line="360" w:lineRule="auto"/>
              <w:rPr>
                <w:rFonts w:hint="eastAsia" w:ascii="宋体" w:hAnsi="宋体" w:eastAsia="宋体"/>
                <w:szCs w:val="21"/>
              </w:rPr>
            </w:pPr>
            <w:r>
              <w:rPr>
                <w:rFonts w:hint="eastAsia" w:ascii="宋体" w:hAnsi="宋体" w:eastAsia="宋体"/>
                <w:szCs w:val="21"/>
              </w:rPr>
              <w:t>2）具备开标时验证并公布投标文件不被篡改、不遗漏及其投标过程记录的功能</w:t>
            </w:r>
          </w:p>
        </w:tc>
        <w:tc>
          <w:tcPr>
            <w:tcW w:w="1780" w:type="dxa"/>
            <w:noWrap/>
          </w:tcPr>
          <w:p w14:paraId="4FF9E28E">
            <w:pPr>
              <w:spacing w:line="360" w:lineRule="auto"/>
              <w:rPr>
                <w:rFonts w:hint="eastAsia" w:ascii="宋体" w:hAnsi="宋体" w:eastAsia="宋体"/>
                <w:szCs w:val="21"/>
              </w:rPr>
            </w:pPr>
            <w:r>
              <w:rPr>
                <w:rFonts w:hint="eastAsia" w:ascii="宋体" w:hAnsi="宋体" w:eastAsia="宋体"/>
                <w:szCs w:val="21"/>
              </w:rPr>
              <w:t>详见产品手册 4.1.5.3</w:t>
            </w:r>
          </w:p>
        </w:tc>
      </w:tr>
      <w:tr w14:paraId="4464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BEE7C58">
            <w:pPr>
              <w:spacing w:line="360" w:lineRule="auto"/>
              <w:rPr>
                <w:rFonts w:hint="eastAsia" w:ascii="宋体" w:hAnsi="宋体" w:eastAsia="宋体"/>
                <w:szCs w:val="21"/>
              </w:rPr>
            </w:pPr>
          </w:p>
        </w:tc>
        <w:tc>
          <w:tcPr>
            <w:tcW w:w="1275" w:type="dxa"/>
            <w:vMerge w:val="continue"/>
          </w:tcPr>
          <w:p w14:paraId="37253D98">
            <w:pPr>
              <w:spacing w:line="360" w:lineRule="auto"/>
              <w:rPr>
                <w:rFonts w:hint="eastAsia" w:ascii="宋体" w:hAnsi="宋体" w:eastAsia="宋体"/>
                <w:szCs w:val="21"/>
              </w:rPr>
            </w:pPr>
          </w:p>
        </w:tc>
        <w:tc>
          <w:tcPr>
            <w:tcW w:w="4253" w:type="dxa"/>
          </w:tcPr>
          <w:p w14:paraId="2AB8D35A">
            <w:pPr>
              <w:spacing w:line="360" w:lineRule="auto"/>
              <w:rPr>
                <w:rFonts w:hint="eastAsia" w:ascii="宋体" w:hAnsi="宋体" w:eastAsia="宋体"/>
                <w:szCs w:val="21"/>
              </w:rPr>
            </w:pPr>
            <w:r>
              <w:rPr>
                <w:rFonts w:hint="eastAsia" w:ascii="宋体" w:hAnsi="宋体" w:eastAsia="宋体"/>
                <w:szCs w:val="21"/>
              </w:rPr>
              <w:t>3）具备按开标时间规定控制投标文件解密并记录解密过程的功能</w:t>
            </w:r>
          </w:p>
        </w:tc>
        <w:tc>
          <w:tcPr>
            <w:tcW w:w="1780" w:type="dxa"/>
            <w:noWrap/>
          </w:tcPr>
          <w:p w14:paraId="0F90E317">
            <w:pPr>
              <w:spacing w:line="360" w:lineRule="auto"/>
              <w:rPr>
                <w:rFonts w:hint="eastAsia" w:ascii="宋体" w:hAnsi="宋体" w:eastAsia="宋体"/>
                <w:szCs w:val="21"/>
              </w:rPr>
            </w:pPr>
            <w:r>
              <w:rPr>
                <w:rFonts w:hint="eastAsia" w:ascii="宋体" w:hAnsi="宋体" w:eastAsia="宋体"/>
                <w:szCs w:val="21"/>
              </w:rPr>
              <w:t>详见产品手册 4.1.5.3</w:t>
            </w:r>
          </w:p>
        </w:tc>
      </w:tr>
      <w:tr w14:paraId="2B8B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60F8BF09">
            <w:pPr>
              <w:spacing w:line="360" w:lineRule="auto"/>
              <w:rPr>
                <w:rFonts w:hint="eastAsia" w:ascii="宋体" w:hAnsi="宋体" w:eastAsia="宋体"/>
                <w:szCs w:val="21"/>
              </w:rPr>
            </w:pPr>
          </w:p>
        </w:tc>
        <w:tc>
          <w:tcPr>
            <w:tcW w:w="1275" w:type="dxa"/>
            <w:vMerge w:val="continue"/>
          </w:tcPr>
          <w:p w14:paraId="41C59FB3">
            <w:pPr>
              <w:spacing w:line="360" w:lineRule="auto"/>
              <w:rPr>
                <w:rFonts w:hint="eastAsia" w:ascii="宋体" w:hAnsi="宋体" w:eastAsia="宋体"/>
                <w:szCs w:val="21"/>
              </w:rPr>
            </w:pPr>
          </w:p>
        </w:tc>
        <w:tc>
          <w:tcPr>
            <w:tcW w:w="4253" w:type="dxa"/>
          </w:tcPr>
          <w:p w14:paraId="558C714A">
            <w:pPr>
              <w:spacing w:line="360" w:lineRule="auto"/>
              <w:rPr>
                <w:rFonts w:hint="eastAsia" w:ascii="宋体" w:hAnsi="宋体" w:eastAsia="宋体"/>
                <w:szCs w:val="21"/>
              </w:rPr>
            </w:pPr>
            <w:r>
              <w:rPr>
                <w:rFonts w:hint="eastAsia" w:ascii="宋体" w:hAnsi="宋体" w:eastAsia="宋体"/>
                <w:szCs w:val="21"/>
              </w:rPr>
              <w:t>4）具备招标人和投标人按照招标文件约定的解密方式解密投标文件以及解密失败时按规定补救方式执行的功能</w:t>
            </w:r>
          </w:p>
        </w:tc>
        <w:tc>
          <w:tcPr>
            <w:tcW w:w="1780" w:type="dxa"/>
            <w:noWrap/>
          </w:tcPr>
          <w:p w14:paraId="07E306DE">
            <w:pPr>
              <w:spacing w:line="360" w:lineRule="auto"/>
              <w:rPr>
                <w:rFonts w:hint="eastAsia" w:ascii="宋体" w:hAnsi="宋体" w:eastAsia="宋体"/>
                <w:szCs w:val="21"/>
              </w:rPr>
            </w:pPr>
            <w:r>
              <w:rPr>
                <w:rFonts w:hint="eastAsia" w:ascii="宋体" w:hAnsi="宋体" w:eastAsia="宋体"/>
                <w:szCs w:val="21"/>
              </w:rPr>
              <w:t>详见产品手册 4.1.5.4</w:t>
            </w:r>
          </w:p>
        </w:tc>
      </w:tr>
      <w:tr w14:paraId="4424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3F4CECB">
            <w:pPr>
              <w:spacing w:line="360" w:lineRule="auto"/>
              <w:rPr>
                <w:rFonts w:hint="eastAsia" w:ascii="宋体" w:hAnsi="宋体" w:eastAsia="宋体"/>
                <w:szCs w:val="21"/>
              </w:rPr>
            </w:pPr>
          </w:p>
        </w:tc>
        <w:tc>
          <w:tcPr>
            <w:tcW w:w="1275" w:type="dxa"/>
            <w:vMerge w:val="continue"/>
          </w:tcPr>
          <w:p w14:paraId="31ADF0F4">
            <w:pPr>
              <w:spacing w:line="360" w:lineRule="auto"/>
              <w:rPr>
                <w:rFonts w:hint="eastAsia" w:ascii="宋体" w:hAnsi="宋体" w:eastAsia="宋体"/>
                <w:szCs w:val="21"/>
              </w:rPr>
            </w:pPr>
          </w:p>
        </w:tc>
        <w:tc>
          <w:tcPr>
            <w:tcW w:w="4253" w:type="dxa"/>
          </w:tcPr>
          <w:p w14:paraId="790184BF">
            <w:pPr>
              <w:spacing w:line="360" w:lineRule="auto"/>
              <w:rPr>
                <w:rFonts w:hint="eastAsia" w:ascii="宋体" w:hAnsi="宋体" w:eastAsia="宋体"/>
                <w:szCs w:val="21"/>
              </w:rPr>
            </w:pPr>
            <w:r>
              <w:rPr>
                <w:rFonts w:hint="eastAsia" w:ascii="宋体" w:hAnsi="宋体" w:eastAsia="宋体"/>
                <w:szCs w:val="21"/>
              </w:rPr>
              <w:t>5）具备投标文件数据读取、记录、展示的功能</w:t>
            </w:r>
          </w:p>
        </w:tc>
        <w:tc>
          <w:tcPr>
            <w:tcW w:w="1780" w:type="dxa"/>
            <w:noWrap/>
          </w:tcPr>
          <w:p w14:paraId="4A4E97DC">
            <w:pPr>
              <w:spacing w:line="360" w:lineRule="auto"/>
              <w:rPr>
                <w:rFonts w:hint="eastAsia" w:ascii="宋体" w:hAnsi="宋体" w:eastAsia="宋体"/>
                <w:szCs w:val="21"/>
              </w:rPr>
            </w:pPr>
            <w:r>
              <w:rPr>
                <w:rFonts w:hint="eastAsia" w:ascii="宋体" w:hAnsi="宋体" w:eastAsia="宋体"/>
                <w:szCs w:val="21"/>
              </w:rPr>
              <w:t>详见产品手册 4.1.5.5</w:t>
            </w:r>
          </w:p>
        </w:tc>
      </w:tr>
      <w:tr w14:paraId="2E7B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ED37D33">
            <w:pPr>
              <w:spacing w:line="360" w:lineRule="auto"/>
              <w:rPr>
                <w:rFonts w:hint="eastAsia" w:ascii="宋体" w:hAnsi="宋体" w:eastAsia="宋体"/>
                <w:szCs w:val="21"/>
              </w:rPr>
            </w:pPr>
          </w:p>
        </w:tc>
        <w:tc>
          <w:tcPr>
            <w:tcW w:w="1275" w:type="dxa"/>
            <w:vMerge w:val="continue"/>
          </w:tcPr>
          <w:p w14:paraId="2276F11C">
            <w:pPr>
              <w:spacing w:line="360" w:lineRule="auto"/>
              <w:rPr>
                <w:rFonts w:hint="eastAsia" w:ascii="宋体" w:hAnsi="宋体" w:eastAsia="宋体"/>
                <w:szCs w:val="21"/>
              </w:rPr>
            </w:pPr>
          </w:p>
        </w:tc>
        <w:tc>
          <w:tcPr>
            <w:tcW w:w="4253" w:type="dxa"/>
          </w:tcPr>
          <w:p w14:paraId="480C8202">
            <w:pPr>
              <w:spacing w:line="360" w:lineRule="auto"/>
              <w:rPr>
                <w:rFonts w:hint="eastAsia" w:ascii="宋体" w:hAnsi="宋体" w:eastAsia="宋体"/>
                <w:szCs w:val="21"/>
              </w:rPr>
            </w:pPr>
            <w:r>
              <w:rPr>
                <w:rFonts w:hint="eastAsia" w:ascii="宋体" w:hAnsi="宋体" w:eastAsia="宋体"/>
                <w:szCs w:val="21"/>
              </w:rPr>
              <w:t>6）具备开标过程信息的记录、编辑、参与单位电子签名确认和递交功能</w:t>
            </w:r>
          </w:p>
        </w:tc>
        <w:tc>
          <w:tcPr>
            <w:tcW w:w="1780" w:type="dxa"/>
            <w:noWrap/>
          </w:tcPr>
          <w:p w14:paraId="22E46178">
            <w:pPr>
              <w:spacing w:line="360" w:lineRule="auto"/>
              <w:rPr>
                <w:rFonts w:hint="eastAsia" w:ascii="宋体" w:hAnsi="宋体" w:eastAsia="宋体"/>
                <w:szCs w:val="21"/>
              </w:rPr>
            </w:pPr>
            <w:r>
              <w:rPr>
                <w:rFonts w:hint="eastAsia" w:ascii="宋体" w:hAnsi="宋体" w:eastAsia="宋体"/>
                <w:szCs w:val="21"/>
              </w:rPr>
              <w:t>详见产品手册 4.1.5.7.1</w:t>
            </w:r>
          </w:p>
        </w:tc>
      </w:tr>
      <w:tr w14:paraId="1EE7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2EB6268">
            <w:pPr>
              <w:spacing w:line="360" w:lineRule="auto"/>
              <w:rPr>
                <w:rFonts w:hint="eastAsia" w:ascii="宋体" w:hAnsi="宋体" w:eastAsia="宋体"/>
                <w:szCs w:val="21"/>
              </w:rPr>
            </w:pPr>
          </w:p>
        </w:tc>
        <w:tc>
          <w:tcPr>
            <w:tcW w:w="1275" w:type="dxa"/>
            <w:vMerge w:val="continue"/>
          </w:tcPr>
          <w:p w14:paraId="7B2B28DD">
            <w:pPr>
              <w:spacing w:line="360" w:lineRule="auto"/>
              <w:rPr>
                <w:rFonts w:hint="eastAsia" w:ascii="宋体" w:hAnsi="宋体" w:eastAsia="宋体"/>
                <w:szCs w:val="21"/>
              </w:rPr>
            </w:pPr>
          </w:p>
        </w:tc>
        <w:tc>
          <w:tcPr>
            <w:tcW w:w="4253" w:type="dxa"/>
          </w:tcPr>
          <w:p w14:paraId="41CB9481">
            <w:pPr>
              <w:spacing w:line="360" w:lineRule="auto"/>
              <w:rPr>
                <w:rFonts w:hint="eastAsia" w:ascii="宋体" w:hAnsi="宋体" w:eastAsia="宋体"/>
                <w:szCs w:val="21"/>
              </w:rPr>
            </w:pPr>
            <w:r>
              <w:rPr>
                <w:rFonts w:hint="eastAsia" w:ascii="宋体" w:hAnsi="宋体" w:eastAsia="宋体"/>
                <w:szCs w:val="21"/>
              </w:rPr>
              <w:t>7）具备开标记录经过电子签名确认后，可向指定媒介同步交换、公布的功能</w:t>
            </w:r>
          </w:p>
        </w:tc>
        <w:tc>
          <w:tcPr>
            <w:tcW w:w="1780" w:type="dxa"/>
            <w:noWrap/>
          </w:tcPr>
          <w:p w14:paraId="3A0CFA32">
            <w:pPr>
              <w:spacing w:line="360" w:lineRule="auto"/>
              <w:rPr>
                <w:rFonts w:hint="eastAsia" w:ascii="宋体" w:hAnsi="宋体" w:eastAsia="宋体"/>
                <w:szCs w:val="21"/>
              </w:rPr>
            </w:pPr>
            <w:r>
              <w:rPr>
                <w:rFonts w:hint="eastAsia" w:ascii="宋体" w:hAnsi="宋体" w:eastAsia="宋体"/>
                <w:szCs w:val="21"/>
              </w:rPr>
              <w:t>详见产品手册 4.1.5.7.1</w:t>
            </w:r>
          </w:p>
        </w:tc>
      </w:tr>
      <w:tr w14:paraId="77E8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4FB5D45">
            <w:pPr>
              <w:spacing w:line="360" w:lineRule="auto"/>
              <w:rPr>
                <w:rFonts w:hint="eastAsia" w:ascii="宋体" w:hAnsi="宋体" w:eastAsia="宋体"/>
                <w:szCs w:val="21"/>
              </w:rPr>
            </w:pPr>
          </w:p>
        </w:tc>
        <w:tc>
          <w:tcPr>
            <w:tcW w:w="1275" w:type="dxa"/>
            <w:vMerge w:val="continue"/>
          </w:tcPr>
          <w:p w14:paraId="5A35ED64">
            <w:pPr>
              <w:spacing w:line="360" w:lineRule="auto"/>
              <w:rPr>
                <w:rFonts w:hint="eastAsia" w:ascii="宋体" w:hAnsi="宋体" w:eastAsia="宋体"/>
                <w:szCs w:val="21"/>
              </w:rPr>
            </w:pPr>
          </w:p>
        </w:tc>
        <w:tc>
          <w:tcPr>
            <w:tcW w:w="4253" w:type="dxa"/>
          </w:tcPr>
          <w:p w14:paraId="61E1008C">
            <w:pPr>
              <w:spacing w:line="360" w:lineRule="auto"/>
              <w:rPr>
                <w:rFonts w:hint="eastAsia" w:ascii="宋体" w:hAnsi="宋体" w:eastAsia="宋体"/>
                <w:szCs w:val="21"/>
              </w:rPr>
            </w:pPr>
            <w:r>
              <w:rPr>
                <w:rFonts w:hint="eastAsia" w:ascii="宋体" w:hAnsi="宋体" w:eastAsia="宋体"/>
                <w:szCs w:val="21"/>
              </w:rPr>
              <w:t>8）具备开标记录模板的编辑、修改、管理的功能</w:t>
            </w:r>
          </w:p>
        </w:tc>
        <w:tc>
          <w:tcPr>
            <w:tcW w:w="1780" w:type="dxa"/>
            <w:noWrap/>
          </w:tcPr>
          <w:p w14:paraId="0FDEF84B">
            <w:pPr>
              <w:spacing w:line="360" w:lineRule="auto"/>
              <w:rPr>
                <w:rFonts w:hint="eastAsia" w:ascii="宋体" w:hAnsi="宋体" w:eastAsia="宋体"/>
                <w:szCs w:val="21"/>
              </w:rPr>
            </w:pPr>
            <w:r>
              <w:rPr>
                <w:rFonts w:hint="eastAsia" w:ascii="宋体" w:hAnsi="宋体" w:eastAsia="宋体"/>
                <w:szCs w:val="21"/>
              </w:rPr>
              <w:t>详见产品手册 4.1.5.5</w:t>
            </w:r>
          </w:p>
        </w:tc>
      </w:tr>
      <w:tr w14:paraId="49E6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C052E7C">
            <w:pPr>
              <w:spacing w:line="360" w:lineRule="auto"/>
              <w:rPr>
                <w:rFonts w:hint="eastAsia" w:ascii="宋体" w:hAnsi="宋体" w:eastAsia="宋体"/>
                <w:szCs w:val="21"/>
              </w:rPr>
            </w:pPr>
          </w:p>
        </w:tc>
        <w:tc>
          <w:tcPr>
            <w:tcW w:w="1275" w:type="dxa"/>
            <w:vMerge w:val="continue"/>
          </w:tcPr>
          <w:p w14:paraId="0DD50B6A">
            <w:pPr>
              <w:spacing w:line="360" w:lineRule="auto"/>
              <w:rPr>
                <w:rFonts w:hint="eastAsia" w:ascii="宋体" w:hAnsi="宋体" w:eastAsia="宋体"/>
                <w:szCs w:val="21"/>
              </w:rPr>
            </w:pPr>
          </w:p>
        </w:tc>
        <w:tc>
          <w:tcPr>
            <w:tcW w:w="4253" w:type="dxa"/>
          </w:tcPr>
          <w:p w14:paraId="4123961C">
            <w:pPr>
              <w:spacing w:line="360" w:lineRule="auto"/>
              <w:rPr>
                <w:rFonts w:hint="eastAsia" w:ascii="宋体" w:hAnsi="宋体" w:eastAsia="宋体"/>
                <w:szCs w:val="21"/>
              </w:rPr>
            </w:pPr>
            <w:r>
              <w:rPr>
                <w:rFonts w:hint="eastAsia" w:ascii="宋体" w:hAnsi="宋体" w:eastAsia="宋体"/>
                <w:szCs w:val="21"/>
              </w:rPr>
              <w:t>9）具备展示投标人MAC码、IP地址、投标文件制作机器码等信息</w:t>
            </w:r>
          </w:p>
        </w:tc>
        <w:tc>
          <w:tcPr>
            <w:tcW w:w="1780" w:type="dxa"/>
            <w:noWrap/>
          </w:tcPr>
          <w:p w14:paraId="0D427748">
            <w:pPr>
              <w:spacing w:line="360" w:lineRule="auto"/>
              <w:rPr>
                <w:rFonts w:hint="eastAsia" w:ascii="宋体" w:hAnsi="宋体" w:eastAsia="宋体"/>
                <w:szCs w:val="21"/>
              </w:rPr>
            </w:pPr>
            <w:r>
              <w:rPr>
                <w:rFonts w:hint="eastAsia" w:ascii="宋体" w:hAnsi="宋体" w:eastAsia="宋体"/>
                <w:szCs w:val="21"/>
              </w:rPr>
              <w:t>详见产品手册 4.1.5.7.2</w:t>
            </w:r>
          </w:p>
        </w:tc>
      </w:tr>
      <w:tr w14:paraId="6CC0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570B791">
            <w:pPr>
              <w:spacing w:line="360" w:lineRule="auto"/>
              <w:rPr>
                <w:rFonts w:hint="eastAsia" w:ascii="宋体" w:hAnsi="宋体" w:eastAsia="宋体"/>
                <w:szCs w:val="21"/>
              </w:rPr>
            </w:pPr>
          </w:p>
        </w:tc>
        <w:tc>
          <w:tcPr>
            <w:tcW w:w="1275" w:type="dxa"/>
          </w:tcPr>
          <w:p w14:paraId="403EF2F8">
            <w:pPr>
              <w:spacing w:line="360" w:lineRule="auto"/>
              <w:rPr>
                <w:rFonts w:hint="eastAsia" w:ascii="宋体" w:hAnsi="宋体" w:eastAsia="宋体"/>
                <w:szCs w:val="21"/>
              </w:rPr>
            </w:pPr>
            <w:r>
              <w:rPr>
                <w:rFonts w:hint="eastAsia" w:ascii="宋体" w:hAnsi="宋体" w:eastAsia="宋体"/>
                <w:szCs w:val="21"/>
              </w:rPr>
              <w:t>3.2.1.6.3资格预审文件的开启</w:t>
            </w:r>
          </w:p>
        </w:tc>
        <w:tc>
          <w:tcPr>
            <w:tcW w:w="4253" w:type="dxa"/>
          </w:tcPr>
          <w:p w14:paraId="49FBDDE6">
            <w:pPr>
              <w:spacing w:line="360" w:lineRule="auto"/>
              <w:rPr>
                <w:rFonts w:hint="eastAsia" w:ascii="宋体" w:hAnsi="宋体" w:eastAsia="宋体"/>
                <w:szCs w:val="21"/>
              </w:rPr>
            </w:pPr>
            <w:r>
              <w:rPr>
                <w:rFonts w:hint="eastAsia" w:ascii="宋体" w:hAnsi="宋体" w:eastAsia="宋体"/>
                <w:szCs w:val="21"/>
              </w:rPr>
              <w:t>1）资格预审文件的开启管理要求应符合上述开标唱标的规定</w:t>
            </w:r>
          </w:p>
        </w:tc>
        <w:tc>
          <w:tcPr>
            <w:tcW w:w="1780" w:type="dxa"/>
            <w:noWrap/>
          </w:tcPr>
          <w:p w14:paraId="5E7C972C">
            <w:pPr>
              <w:spacing w:line="360" w:lineRule="auto"/>
              <w:rPr>
                <w:rFonts w:hint="eastAsia" w:ascii="宋体" w:hAnsi="宋体" w:eastAsia="宋体"/>
                <w:szCs w:val="21"/>
              </w:rPr>
            </w:pPr>
            <w:r>
              <w:rPr>
                <w:rFonts w:hint="eastAsia" w:ascii="宋体" w:hAnsi="宋体" w:eastAsia="宋体"/>
                <w:szCs w:val="21"/>
              </w:rPr>
              <w:t>详见产品手册 4.1.5</w:t>
            </w:r>
          </w:p>
        </w:tc>
      </w:tr>
      <w:tr w14:paraId="300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restart"/>
            <w:noWrap/>
          </w:tcPr>
          <w:p w14:paraId="282D8DE1">
            <w:pPr>
              <w:spacing w:line="360" w:lineRule="auto"/>
              <w:rPr>
                <w:rFonts w:hint="eastAsia" w:ascii="宋体" w:hAnsi="宋体" w:eastAsia="宋体"/>
                <w:szCs w:val="21"/>
              </w:rPr>
            </w:pPr>
            <w:r>
              <w:rPr>
                <w:rFonts w:hint="eastAsia" w:ascii="宋体" w:hAnsi="宋体" w:eastAsia="宋体"/>
                <w:szCs w:val="21"/>
              </w:rPr>
              <w:t>3.2.1.7评标管理</w:t>
            </w:r>
          </w:p>
        </w:tc>
        <w:tc>
          <w:tcPr>
            <w:tcW w:w="1275" w:type="dxa"/>
            <w:vMerge w:val="restart"/>
          </w:tcPr>
          <w:p w14:paraId="76A8AF00">
            <w:pPr>
              <w:spacing w:line="360" w:lineRule="auto"/>
              <w:rPr>
                <w:rFonts w:hint="eastAsia" w:ascii="宋体" w:hAnsi="宋体" w:eastAsia="宋体"/>
                <w:szCs w:val="21"/>
              </w:rPr>
            </w:pPr>
            <w:r>
              <w:rPr>
                <w:rFonts w:hint="eastAsia" w:ascii="宋体" w:hAnsi="宋体" w:eastAsia="宋体"/>
                <w:szCs w:val="21"/>
              </w:rPr>
              <w:t>3.2.1.7.1评标委员会管理</w:t>
            </w:r>
          </w:p>
        </w:tc>
        <w:tc>
          <w:tcPr>
            <w:tcW w:w="4253" w:type="dxa"/>
          </w:tcPr>
          <w:p w14:paraId="404E9108">
            <w:pPr>
              <w:spacing w:line="360" w:lineRule="auto"/>
              <w:rPr>
                <w:rFonts w:hint="eastAsia" w:ascii="宋体" w:hAnsi="宋体" w:eastAsia="宋体"/>
                <w:szCs w:val="21"/>
              </w:rPr>
            </w:pPr>
            <w:r>
              <w:rPr>
                <w:rFonts w:hint="eastAsia" w:ascii="宋体" w:hAnsi="宋体" w:eastAsia="宋体"/>
                <w:szCs w:val="21"/>
              </w:rPr>
              <w:t>1）具备申请组建评标委员会的功能</w:t>
            </w:r>
          </w:p>
        </w:tc>
        <w:tc>
          <w:tcPr>
            <w:tcW w:w="1780" w:type="dxa"/>
            <w:noWrap/>
          </w:tcPr>
          <w:p w14:paraId="211EA777">
            <w:pPr>
              <w:spacing w:line="360" w:lineRule="auto"/>
              <w:rPr>
                <w:rFonts w:hint="eastAsia" w:ascii="宋体" w:hAnsi="宋体" w:eastAsia="宋体"/>
                <w:szCs w:val="21"/>
              </w:rPr>
            </w:pPr>
            <w:r>
              <w:rPr>
                <w:rFonts w:hint="eastAsia" w:ascii="宋体" w:hAnsi="宋体" w:eastAsia="宋体"/>
                <w:szCs w:val="21"/>
              </w:rPr>
              <w:t>详见产品手册 4.1.6.1.1</w:t>
            </w:r>
          </w:p>
        </w:tc>
      </w:tr>
      <w:tr w14:paraId="4332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3B7A7984">
            <w:pPr>
              <w:spacing w:line="360" w:lineRule="auto"/>
              <w:rPr>
                <w:rFonts w:hint="eastAsia" w:ascii="宋体" w:hAnsi="宋体" w:eastAsia="宋体"/>
                <w:szCs w:val="21"/>
              </w:rPr>
            </w:pPr>
          </w:p>
        </w:tc>
        <w:tc>
          <w:tcPr>
            <w:tcW w:w="1275" w:type="dxa"/>
            <w:vMerge w:val="continue"/>
          </w:tcPr>
          <w:p w14:paraId="6494A2DB">
            <w:pPr>
              <w:spacing w:line="360" w:lineRule="auto"/>
              <w:rPr>
                <w:rFonts w:hint="eastAsia" w:ascii="宋体" w:hAnsi="宋体" w:eastAsia="宋体"/>
                <w:szCs w:val="21"/>
              </w:rPr>
            </w:pPr>
          </w:p>
        </w:tc>
        <w:tc>
          <w:tcPr>
            <w:tcW w:w="4253" w:type="dxa"/>
          </w:tcPr>
          <w:p w14:paraId="35388699">
            <w:pPr>
              <w:spacing w:line="360" w:lineRule="auto"/>
              <w:rPr>
                <w:rFonts w:hint="eastAsia" w:ascii="宋体" w:hAnsi="宋体" w:eastAsia="宋体"/>
                <w:szCs w:val="21"/>
              </w:rPr>
            </w:pPr>
            <w:r>
              <w:rPr>
                <w:rFonts w:hint="eastAsia" w:ascii="宋体" w:hAnsi="宋体" w:eastAsia="宋体"/>
                <w:szCs w:val="21"/>
              </w:rPr>
              <w:t>2）具备连接已建立的专家库的功能</w:t>
            </w:r>
          </w:p>
        </w:tc>
        <w:tc>
          <w:tcPr>
            <w:tcW w:w="1780" w:type="dxa"/>
            <w:noWrap/>
          </w:tcPr>
          <w:p w14:paraId="549069A8">
            <w:pPr>
              <w:spacing w:line="360" w:lineRule="auto"/>
              <w:rPr>
                <w:rFonts w:hint="eastAsia" w:ascii="宋体" w:hAnsi="宋体" w:eastAsia="宋体"/>
                <w:szCs w:val="21"/>
              </w:rPr>
            </w:pPr>
            <w:r>
              <w:rPr>
                <w:rFonts w:hint="eastAsia" w:ascii="宋体" w:hAnsi="宋体" w:eastAsia="宋体"/>
                <w:szCs w:val="21"/>
              </w:rPr>
              <w:t>详见产品手册 4.1.6.1.2</w:t>
            </w:r>
          </w:p>
        </w:tc>
      </w:tr>
      <w:tr w14:paraId="50FE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85689D5">
            <w:pPr>
              <w:spacing w:line="360" w:lineRule="auto"/>
              <w:rPr>
                <w:rFonts w:hint="eastAsia" w:ascii="宋体" w:hAnsi="宋体" w:eastAsia="宋体"/>
                <w:szCs w:val="21"/>
              </w:rPr>
            </w:pPr>
          </w:p>
        </w:tc>
        <w:tc>
          <w:tcPr>
            <w:tcW w:w="1275" w:type="dxa"/>
            <w:vMerge w:val="continue"/>
          </w:tcPr>
          <w:p w14:paraId="2AF2B6E0">
            <w:pPr>
              <w:spacing w:line="360" w:lineRule="auto"/>
              <w:rPr>
                <w:rFonts w:hint="eastAsia" w:ascii="宋体" w:hAnsi="宋体" w:eastAsia="宋体"/>
                <w:szCs w:val="21"/>
              </w:rPr>
            </w:pPr>
          </w:p>
        </w:tc>
        <w:tc>
          <w:tcPr>
            <w:tcW w:w="4253" w:type="dxa"/>
          </w:tcPr>
          <w:p w14:paraId="3C5E8B03">
            <w:pPr>
              <w:spacing w:line="360" w:lineRule="auto"/>
              <w:rPr>
                <w:rFonts w:hint="eastAsia" w:ascii="宋体" w:hAnsi="宋体" w:eastAsia="宋体"/>
                <w:szCs w:val="21"/>
              </w:rPr>
            </w:pPr>
            <w:r>
              <w:rPr>
                <w:rFonts w:hint="eastAsia" w:ascii="宋体" w:hAnsi="宋体" w:eastAsia="宋体"/>
                <w:szCs w:val="21"/>
              </w:rPr>
              <w:t>3）具备通过连接的专家库通知评标委员会成员报到时间、地点的功能</w:t>
            </w:r>
          </w:p>
        </w:tc>
        <w:tc>
          <w:tcPr>
            <w:tcW w:w="1780" w:type="dxa"/>
            <w:noWrap/>
          </w:tcPr>
          <w:p w14:paraId="1207D18D">
            <w:pPr>
              <w:spacing w:line="360" w:lineRule="auto"/>
              <w:rPr>
                <w:rFonts w:hint="eastAsia" w:ascii="宋体" w:hAnsi="宋体" w:eastAsia="宋体"/>
                <w:szCs w:val="21"/>
              </w:rPr>
            </w:pPr>
            <w:r>
              <w:rPr>
                <w:rFonts w:hint="eastAsia" w:ascii="宋体" w:hAnsi="宋体" w:eastAsia="宋体"/>
                <w:szCs w:val="21"/>
              </w:rPr>
              <w:t>详见产品手册 4.1.6.1.2</w:t>
            </w:r>
          </w:p>
        </w:tc>
      </w:tr>
      <w:tr w14:paraId="6E07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5AB5668A">
            <w:pPr>
              <w:spacing w:line="360" w:lineRule="auto"/>
              <w:rPr>
                <w:rFonts w:hint="eastAsia" w:ascii="宋体" w:hAnsi="宋体" w:eastAsia="宋体"/>
                <w:szCs w:val="21"/>
              </w:rPr>
            </w:pPr>
          </w:p>
        </w:tc>
        <w:tc>
          <w:tcPr>
            <w:tcW w:w="1275" w:type="dxa"/>
            <w:vMerge w:val="continue"/>
          </w:tcPr>
          <w:p w14:paraId="7C2BA674">
            <w:pPr>
              <w:spacing w:line="360" w:lineRule="auto"/>
              <w:rPr>
                <w:rFonts w:hint="eastAsia" w:ascii="宋体" w:hAnsi="宋体" w:eastAsia="宋体"/>
                <w:szCs w:val="21"/>
              </w:rPr>
            </w:pPr>
          </w:p>
        </w:tc>
        <w:tc>
          <w:tcPr>
            <w:tcW w:w="4253" w:type="dxa"/>
          </w:tcPr>
          <w:p w14:paraId="319DA6AE">
            <w:pPr>
              <w:spacing w:line="360" w:lineRule="auto"/>
              <w:rPr>
                <w:rFonts w:hint="eastAsia" w:ascii="宋体" w:hAnsi="宋体" w:eastAsia="宋体"/>
                <w:szCs w:val="21"/>
              </w:rPr>
            </w:pPr>
            <w:r>
              <w:rPr>
                <w:rFonts w:hint="eastAsia" w:ascii="宋体" w:hAnsi="宋体" w:eastAsia="宋体"/>
                <w:szCs w:val="21"/>
              </w:rPr>
              <w:t>4）具备接收专家库反馈抽取评标专家名单</w:t>
            </w:r>
          </w:p>
        </w:tc>
        <w:tc>
          <w:tcPr>
            <w:tcW w:w="1780" w:type="dxa"/>
            <w:noWrap/>
          </w:tcPr>
          <w:p w14:paraId="0810227A">
            <w:pPr>
              <w:spacing w:line="360" w:lineRule="auto"/>
              <w:rPr>
                <w:rFonts w:hint="eastAsia" w:ascii="宋体" w:hAnsi="宋体" w:eastAsia="宋体"/>
                <w:szCs w:val="21"/>
              </w:rPr>
            </w:pPr>
            <w:r>
              <w:rPr>
                <w:rFonts w:hint="eastAsia" w:ascii="宋体" w:hAnsi="宋体" w:eastAsia="宋体"/>
                <w:szCs w:val="21"/>
              </w:rPr>
              <w:t>详见产品手册 4.1.6.1.2</w:t>
            </w:r>
          </w:p>
        </w:tc>
      </w:tr>
      <w:tr w14:paraId="7FDA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BA6D6F2">
            <w:pPr>
              <w:spacing w:line="360" w:lineRule="auto"/>
              <w:rPr>
                <w:rFonts w:hint="eastAsia" w:ascii="宋体" w:hAnsi="宋体" w:eastAsia="宋体"/>
                <w:szCs w:val="21"/>
              </w:rPr>
            </w:pPr>
          </w:p>
        </w:tc>
        <w:tc>
          <w:tcPr>
            <w:tcW w:w="1275" w:type="dxa"/>
            <w:vMerge w:val="continue"/>
          </w:tcPr>
          <w:p w14:paraId="3A90C86C">
            <w:pPr>
              <w:spacing w:line="360" w:lineRule="auto"/>
              <w:rPr>
                <w:rFonts w:hint="eastAsia" w:ascii="宋体" w:hAnsi="宋体" w:eastAsia="宋体"/>
                <w:szCs w:val="21"/>
              </w:rPr>
            </w:pPr>
          </w:p>
        </w:tc>
        <w:tc>
          <w:tcPr>
            <w:tcW w:w="4253" w:type="dxa"/>
          </w:tcPr>
          <w:p w14:paraId="5F65AE26">
            <w:pPr>
              <w:spacing w:line="360" w:lineRule="auto"/>
              <w:rPr>
                <w:rFonts w:hint="eastAsia" w:ascii="宋体" w:hAnsi="宋体" w:eastAsia="宋体"/>
                <w:szCs w:val="21"/>
              </w:rPr>
            </w:pPr>
            <w:r>
              <w:rPr>
                <w:rFonts w:hint="eastAsia" w:ascii="宋体" w:hAnsi="宋体" w:eastAsia="宋体"/>
                <w:szCs w:val="21"/>
              </w:rPr>
              <w:t>5）具备评标委员会成员帐号生成、签到、身份确认、回避确认的功能</w:t>
            </w:r>
          </w:p>
        </w:tc>
        <w:tc>
          <w:tcPr>
            <w:tcW w:w="1780" w:type="dxa"/>
            <w:noWrap/>
          </w:tcPr>
          <w:p w14:paraId="5AD6DC9E">
            <w:pPr>
              <w:spacing w:line="360" w:lineRule="auto"/>
              <w:rPr>
                <w:rFonts w:hint="eastAsia" w:ascii="宋体" w:hAnsi="宋体" w:eastAsia="宋体"/>
                <w:szCs w:val="21"/>
              </w:rPr>
            </w:pPr>
            <w:r>
              <w:rPr>
                <w:rFonts w:hint="eastAsia" w:ascii="宋体" w:hAnsi="宋体" w:eastAsia="宋体"/>
                <w:szCs w:val="21"/>
              </w:rPr>
              <w:t>详见产品手册 4.1.6.1.3</w:t>
            </w:r>
          </w:p>
        </w:tc>
      </w:tr>
      <w:tr w14:paraId="259B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B89510F">
            <w:pPr>
              <w:spacing w:line="360" w:lineRule="auto"/>
              <w:rPr>
                <w:rFonts w:hint="eastAsia" w:ascii="宋体" w:hAnsi="宋体" w:eastAsia="宋体"/>
                <w:szCs w:val="21"/>
              </w:rPr>
            </w:pPr>
          </w:p>
        </w:tc>
        <w:tc>
          <w:tcPr>
            <w:tcW w:w="1275" w:type="dxa"/>
            <w:vMerge w:val="continue"/>
          </w:tcPr>
          <w:p w14:paraId="5DF7B4E4">
            <w:pPr>
              <w:spacing w:line="360" w:lineRule="auto"/>
              <w:rPr>
                <w:rFonts w:hint="eastAsia" w:ascii="宋体" w:hAnsi="宋体" w:eastAsia="宋体"/>
                <w:szCs w:val="21"/>
              </w:rPr>
            </w:pPr>
          </w:p>
        </w:tc>
        <w:tc>
          <w:tcPr>
            <w:tcW w:w="4253" w:type="dxa"/>
          </w:tcPr>
          <w:p w14:paraId="02E38631">
            <w:pPr>
              <w:spacing w:line="360" w:lineRule="auto"/>
              <w:rPr>
                <w:rFonts w:hint="eastAsia" w:ascii="宋体" w:hAnsi="宋体" w:eastAsia="宋体"/>
                <w:szCs w:val="21"/>
              </w:rPr>
            </w:pPr>
            <w:r>
              <w:rPr>
                <w:rFonts w:hint="eastAsia" w:ascii="宋体" w:hAnsi="宋体" w:eastAsia="宋体"/>
                <w:szCs w:val="21"/>
              </w:rPr>
              <w:t>6）具备评标专家行为考评记录，并递交到专家所属专家库的功能</w:t>
            </w:r>
          </w:p>
        </w:tc>
        <w:tc>
          <w:tcPr>
            <w:tcW w:w="1780" w:type="dxa"/>
            <w:noWrap/>
          </w:tcPr>
          <w:p w14:paraId="6D9FC6D6">
            <w:pPr>
              <w:spacing w:line="360" w:lineRule="auto"/>
              <w:rPr>
                <w:rFonts w:hint="eastAsia" w:ascii="宋体" w:hAnsi="宋体" w:eastAsia="宋体"/>
                <w:szCs w:val="21"/>
              </w:rPr>
            </w:pPr>
            <w:r>
              <w:rPr>
                <w:rFonts w:hint="eastAsia" w:ascii="宋体" w:hAnsi="宋体" w:eastAsia="宋体"/>
                <w:szCs w:val="21"/>
              </w:rPr>
              <w:t>详见产品手册 4.1.6.1.4</w:t>
            </w:r>
          </w:p>
        </w:tc>
      </w:tr>
      <w:tr w14:paraId="7566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6AC865D5">
            <w:pPr>
              <w:spacing w:line="360" w:lineRule="auto"/>
              <w:rPr>
                <w:rFonts w:hint="eastAsia" w:ascii="宋体" w:hAnsi="宋体" w:eastAsia="宋体"/>
                <w:szCs w:val="21"/>
              </w:rPr>
            </w:pPr>
          </w:p>
        </w:tc>
        <w:tc>
          <w:tcPr>
            <w:tcW w:w="1275" w:type="dxa"/>
            <w:vMerge w:val="continue"/>
          </w:tcPr>
          <w:p w14:paraId="24F77EFD">
            <w:pPr>
              <w:spacing w:line="360" w:lineRule="auto"/>
              <w:rPr>
                <w:rFonts w:hint="eastAsia" w:ascii="宋体" w:hAnsi="宋体" w:eastAsia="宋体"/>
                <w:szCs w:val="21"/>
              </w:rPr>
            </w:pPr>
          </w:p>
        </w:tc>
        <w:tc>
          <w:tcPr>
            <w:tcW w:w="4253" w:type="dxa"/>
          </w:tcPr>
          <w:p w14:paraId="45CF64E2">
            <w:pPr>
              <w:spacing w:line="360" w:lineRule="auto"/>
              <w:rPr>
                <w:rFonts w:hint="eastAsia" w:ascii="宋体" w:hAnsi="宋体" w:eastAsia="宋体"/>
                <w:szCs w:val="21"/>
              </w:rPr>
            </w:pPr>
            <w:r>
              <w:rPr>
                <w:rFonts w:hint="eastAsia" w:ascii="宋体" w:hAnsi="宋体" w:eastAsia="宋体"/>
                <w:szCs w:val="21"/>
              </w:rPr>
              <w:t>7）提供评标委员会名单在评标前的保密功能</w:t>
            </w:r>
          </w:p>
        </w:tc>
        <w:tc>
          <w:tcPr>
            <w:tcW w:w="1780" w:type="dxa"/>
            <w:noWrap/>
          </w:tcPr>
          <w:p w14:paraId="405E1C0D">
            <w:pPr>
              <w:spacing w:line="360" w:lineRule="auto"/>
              <w:rPr>
                <w:rFonts w:hint="eastAsia" w:ascii="宋体" w:hAnsi="宋体" w:eastAsia="宋体"/>
                <w:szCs w:val="21"/>
              </w:rPr>
            </w:pPr>
            <w:r>
              <w:rPr>
                <w:rFonts w:hint="eastAsia" w:ascii="宋体" w:hAnsi="宋体" w:eastAsia="宋体"/>
                <w:szCs w:val="21"/>
              </w:rPr>
              <w:t>详见产品手册 4.1.6.1.2</w:t>
            </w:r>
          </w:p>
        </w:tc>
      </w:tr>
      <w:tr w14:paraId="7D5E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096EC898">
            <w:pPr>
              <w:spacing w:line="360" w:lineRule="auto"/>
              <w:rPr>
                <w:rFonts w:hint="eastAsia" w:ascii="宋体" w:hAnsi="宋体" w:eastAsia="宋体"/>
                <w:szCs w:val="21"/>
              </w:rPr>
            </w:pPr>
          </w:p>
        </w:tc>
        <w:tc>
          <w:tcPr>
            <w:tcW w:w="1275" w:type="dxa"/>
            <w:vMerge w:val="continue"/>
          </w:tcPr>
          <w:p w14:paraId="7A121AE6">
            <w:pPr>
              <w:spacing w:line="360" w:lineRule="auto"/>
              <w:rPr>
                <w:rFonts w:hint="eastAsia" w:ascii="宋体" w:hAnsi="宋体" w:eastAsia="宋体"/>
                <w:szCs w:val="21"/>
              </w:rPr>
            </w:pPr>
          </w:p>
        </w:tc>
        <w:tc>
          <w:tcPr>
            <w:tcW w:w="4253" w:type="dxa"/>
          </w:tcPr>
          <w:p w14:paraId="239EE5CA">
            <w:pPr>
              <w:spacing w:line="360" w:lineRule="auto"/>
              <w:rPr>
                <w:rFonts w:hint="eastAsia" w:ascii="宋体" w:hAnsi="宋体" w:eastAsia="宋体"/>
                <w:szCs w:val="21"/>
              </w:rPr>
            </w:pPr>
            <w:r>
              <w:rPr>
                <w:rFonts w:hint="eastAsia" w:ascii="宋体" w:hAnsi="宋体" w:eastAsia="宋体"/>
                <w:szCs w:val="21"/>
              </w:rPr>
              <w:t>8）支持异地评标专家的抽取功能</w:t>
            </w:r>
          </w:p>
        </w:tc>
        <w:tc>
          <w:tcPr>
            <w:tcW w:w="1780" w:type="dxa"/>
            <w:noWrap/>
          </w:tcPr>
          <w:p w14:paraId="21E23028">
            <w:pPr>
              <w:spacing w:line="360" w:lineRule="auto"/>
              <w:rPr>
                <w:rFonts w:hint="eastAsia" w:ascii="宋体" w:hAnsi="宋体" w:eastAsia="宋体"/>
                <w:szCs w:val="21"/>
              </w:rPr>
            </w:pPr>
            <w:r>
              <w:rPr>
                <w:rFonts w:hint="eastAsia" w:ascii="宋体" w:hAnsi="宋体" w:eastAsia="宋体"/>
                <w:szCs w:val="21"/>
              </w:rPr>
              <w:t>详见产品手册 4.1.6.1.1</w:t>
            </w:r>
          </w:p>
        </w:tc>
      </w:tr>
      <w:tr w14:paraId="3253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F8D956D">
            <w:pPr>
              <w:spacing w:line="360" w:lineRule="auto"/>
              <w:rPr>
                <w:rFonts w:hint="eastAsia" w:ascii="宋体" w:hAnsi="宋体" w:eastAsia="宋体"/>
                <w:szCs w:val="21"/>
              </w:rPr>
            </w:pPr>
          </w:p>
        </w:tc>
        <w:tc>
          <w:tcPr>
            <w:tcW w:w="1275" w:type="dxa"/>
            <w:vMerge w:val="restart"/>
          </w:tcPr>
          <w:p w14:paraId="15AA3E02">
            <w:pPr>
              <w:spacing w:line="360" w:lineRule="auto"/>
              <w:rPr>
                <w:rFonts w:hint="eastAsia" w:ascii="宋体" w:hAnsi="宋体" w:eastAsia="宋体"/>
                <w:szCs w:val="21"/>
              </w:rPr>
            </w:pPr>
            <w:r>
              <w:rPr>
                <w:rFonts w:hint="eastAsia" w:ascii="宋体" w:hAnsi="宋体" w:eastAsia="宋体"/>
                <w:szCs w:val="21"/>
              </w:rPr>
              <w:t>3.2.1.7.2评审管理</w:t>
            </w:r>
          </w:p>
        </w:tc>
        <w:tc>
          <w:tcPr>
            <w:tcW w:w="4253" w:type="dxa"/>
          </w:tcPr>
          <w:p w14:paraId="3F198A2D">
            <w:pPr>
              <w:spacing w:line="360" w:lineRule="auto"/>
              <w:rPr>
                <w:rFonts w:hint="eastAsia" w:ascii="宋体" w:hAnsi="宋体" w:eastAsia="宋体"/>
                <w:szCs w:val="21"/>
              </w:rPr>
            </w:pPr>
            <w:r>
              <w:rPr>
                <w:rFonts w:hint="eastAsia" w:ascii="宋体" w:hAnsi="宋体" w:eastAsia="宋体"/>
                <w:szCs w:val="21"/>
              </w:rPr>
              <w:t>1）具备能够按招标文件约定的评标方法、评审因素和标准设置评审表格和评审项目的功能</w:t>
            </w:r>
          </w:p>
        </w:tc>
        <w:tc>
          <w:tcPr>
            <w:tcW w:w="1780" w:type="dxa"/>
            <w:noWrap/>
          </w:tcPr>
          <w:p w14:paraId="51D6A3B5">
            <w:pPr>
              <w:spacing w:line="360" w:lineRule="auto"/>
              <w:rPr>
                <w:rFonts w:hint="eastAsia" w:ascii="宋体" w:hAnsi="宋体" w:eastAsia="宋体"/>
                <w:szCs w:val="21"/>
              </w:rPr>
            </w:pPr>
            <w:r>
              <w:rPr>
                <w:rFonts w:hint="eastAsia" w:ascii="宋体" w:hAnsi="宋体" w:eastAsia="宋体"/>
                <w:szCs w:val="21"/>
              </w:rPr>
              <w:t>详见产品手册 4.1.6.2</w:t>
            </w:r>
          </w:p>
        </w:tc>
      </w:tr>
      <w:tr w14:paraId="5FB1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3E2E155D">
            <w:pPr>
              <w:spacing w:line="360" w:lineRule="auto"/>
              <w:rPr>
                <w:rFonts w:hint="eastAsia" w:ascii="宋体" w:hAnsi="宋体" w:eastAsia="宋体"/>
                <w:szCs w:val="21"/>
              </w:rPr>
            </w:pPr>
          </w:p>
        </w:tc>
        <w:tc>
          <w:tcPr>
            <w:tcW w:w="1275" w:type="dxa"/>
            <w:vMerge w:val="continue"/>
          </w:tcPr>
          <w:p w14:paraId="08F661B6">
            <w:pPr>
              <w:spacing w:line="360" w:lineRule="auto"/>
              <w:rPr>
                <w:rFonts w:hint="eastAsia" w:ascii="宋体" w:hAnsi="宋体" w:eastAsia="宋体"/>
                <w:szCs w:val="21"/>
              </w:rPr>
            </w:pPr>
          </w:p>
        </w:tc>
        <w:tc>
          <w:tcPr>
            <w:tcW w:w="4253" w:type="dxa"/>
          </w:tcPr>
          <w:p w14:paraId="6F0F3D2F">
            <w:pPr>
              <w:spacing w:line="360" w:lineRule="auto"/>
              <w:rPr>
                <w:rFonts w:hint="eastAsia" w:ascii="宋体" w:hAnsi="宋体" w:eastAsia="宋体"/>
                <w:szCs w:val="21"/>
              </w:rPr>
            </w:pPr>
            <w:r>
              <w:rPr>
                <w:rFonts w:hint="eastAsia" w:ascii="宋体" w:hAnsi="宋体" w:eastAsia="宋体"/>
                <w:szCs w:val="21"/>
              </w:rPr>
              <w:t>2）具备按招标文件约定的评标方法，对投标文件进行解析、对比，辅助评分或计算评标价的功能</w:t>
            </w:r>
          </w:p>
        </w:tc>
        <w:tc>
          <w:tcPr>
            <w:tcW w:w="1780" w:type="dxa"/>
            <w:noWrap/>
          </w:tcPr>
          <w:p w14:paraId="36AB2B83">
            <w:pPr>
              <w:spacing w:line="360" w:lineRule="auto"/>
              <w:rPr>
                <w:rFonts w:hint="eastAsia" w:ascii="宋体" w:hAnsi="宋体" w:eastAsia="宋体"/>
                <w:szCs w:val="21"/>
              </w:rPr>
            </w:pPr>
            <w:r>
              <w:rPr>
                <w:rFonts w:hint="eastAsia" w:ascii="宋体" w:hAnsi="宋体" w:eastAsia="宋体"/>
                <w:szCs w:val="21"/>
              </w:rPr>
              <w:t>详见产品手册 4.1.6.2</w:t>
            </w:r>
          </w:p>
        </w:tc>
      </w:tr>
      <w:tr w14:paraId="2A38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25A95E28">
            <w:pPr>
              <w:spacing w:line="360" w:lineRule="auto"/>
              <w:rPr>
                <w:rFonts w:hint="eastAsia" w:ascii="宋体" w:hAnsi="宋体" w:eastAsia="宋体"/>
                <w:szCs w:val="21"/>
              </w:rPr>
            </w:pPr>
          </w:p>
        </w:tc>
        <w:tc>
          <w:tcPr>
            <w:tcW w:w="1275" w:type="dxa"/>
            <w:vMerge w:val="continue"/>
          </w:tcPr>
          <w:p w14:paraId="6D8DE50B">
            <w:pPr>
              <w:spacing w:line="360" w:lineRule="auto"/>
              <w:rPr>
                <w:rFonts w:hint="eastAsia" w:ascii="宋体" w:hAnsi="宋体" w:eastAsia="宋体"/>
                <w:szCs w:val="21"/>
              </w:rPr>
            </w:pPr>
          </w:p>
        </w:tc>
        <w:tc>
          <w:tcPr>
            <w:tcW w:w="4253" w:type="dxa"/>
          </w:tcPr>
          <w:p w14:paraId="7798BFE5">
            <w:pPr>
              <w:spacing w:line="360" w:lineRule="auto"/>
              <w:rPr>
                <w:rFonts w:hint="eastAsia" w:ascii="宋体" w:hAnsi="宋体" w:eastAsia="宋体"/>
                <w:szCs w:val="21"/>
              </w:rPr>
            </w:pPr>
            <w:r>
              <w:rPr>
                <w:rFonts w:hint="eastAsia" w:ascii="宋体" w:hAnsi="宋体" w:eastAsia="宋体"/>
                <w:szCs w:val="21"/>
              </w:rPr>
              <w:t>3）具备汇总计算投标人综合评分或评标价并进行排序的功能。4）具备编辑和发出评标澄清问题的功能</w:t>
            </w:r>
          </w:p>
        </w:tc>
        <w:tc>
          <w:tcPr>
            <w:tcW w:w="1780" w:type="dxa"/>
            <w:noWrap/>
          </w:tcPr>
          <w:p w14:paraId="3A06996C">
            <w:pPr>
              <w:spacing w:line="360" w:lineRule="auto"/>
              <w:rPr>
                <w:rFonts w:hint="eastAsia" w:ascii="宋体" w:hAnsi="宋体" w:eastAsia="宋体"/>
                <w:szCs w:val="21"/>
              </w:rPr>
            </w:pPr>
            <w:r>
              <w:rPr>
                <w:rFonts w:hint="eastAsia" w:ascii="宋体" w:hAnsi="宋体" w:eastAsia="宋体"/>
                <w:szCs w:val="21"/>
              </w:rPr>
              <w:t>详见产品手册 4.1.6.2</w:t>
            </w:r>
          </w:p>
        </w:tc>
      </w:tr>
      <w:tr w14:paraId="30BD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559FB868">
            <w:pPr>
              <w:spacing w:line="360" w:lineRule="auto"/>
              <w:rPr>
                <w:rFonts w:hint="eastAsia" w:ascii="宋体" w:hAnsi="宋体" w:eastAsia="宋体"/>
                <w:szCs w:val="21"/>
              </w:rPr>
            </w:pPr>
          </w:p>
        </w:tc>
        <w:tc>
          <w:tcPr>
            <w:tcW w:w="1275" w:type="dxa"/>
            <w:vMerge w:val="continue"/>
          </w:tcPr>
          <w:p w14:paraId="6B724A77">
            <w:pPr>
              <w:spacing w:line="360" w:lineRule="auto"/>
              <w:rPr>
                <w:rFonts w:hint="eastAsia" w:ascii="宋体" w:hAnsi="宋体" w:eastAsia="宋体"/>
                <w:szCs w:val="21"/>
              </w:rPr>
            </w:pPr>
          </w:p>
        </w:tc>
        <w:tc>
          <w:tcPr>
            <w:tcW w:w="4253" w:type="dxa"/>
          </w:tcPr>
          <w:p w14:paraId="1A9FAB86">
            <w:pPr>
              <w:spacing w:line="360" w:lineRule="auto"/>
              <w:rPr>
                <w:rFonts w:hint="eastAsia" w:ascii="宋体" w:hAnsi="宋体" w:eastAsia="宋体"/>
                <w:szCs w:val="21"/>
              </w:rPr>
            </w:pPr>
            <w:r>
              <w:rPr>
                <w:rFonts w:hint="eastAsia" w:ascii="宋体" w:hAnsi="宋体" w:eastAsia="宋体"/>
                <w:szCs w:val="21"/>
              </w:rPr>
              <w:t>5）具备投标人编辑和递交投标澄清文件的功能。</w:t>
            </w:r>
          </w:p>
        </w:tc>
        <w:tc>
          <w:tcPr>
            <w:tcW w:w="1780" w:type="dxa"/>
            <w:noWrap/>
          </w:tcPr>
          <w:p w14:paraId="7A83E38E">
            <w:pPr>
              <w:spacing w:line="360" w:lineRule="auto"/>
              <w:rPr>
                <w:rFonts w:hint="eastAsia" w:ascii="宋体" w:hAnsi="宋体" w:eastAsia="宋体"/>
                <w:szCs w:val="21"/>
              </w:rPr>
            </w:pPr>
            <w:r>
              <w:rPr>
                <w:rFonts w:hint="eastAsia" w:ascii="宋体" w:hAnsi="宋体" w:eastAsia="宋体"/>
                <w:szCs w:val="21"/>
              </w:rPr>
              <w:t>详见产品手册 4.1.6.2</w:t>
            </w:r>
          </w:p>
        </w:tc>
      </w:tr>
      <w:tr w14:paraId="1C37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AB1B8AD">
            <w:pPr>
              <w:spacing w:line="360" w:lineRule="auto"/>
              <w:rPr>
                <w:rFonts w:hint="eastAsia" w:ascii="宋体" w:hAnsi="宋体" w:eastAsia="宋体"/>
                <w:szCs w:val="21"/>
              </w:rPr>
            </w:pPr>
          </w:p>
        </w:tc>
        <w:tc>
          <w:tcPr>
            <w:tcW w:w="1275" w:type="dxa"/>
            <w:vMerge w:val="continue"/>
          </w:tcPr>
          <w:p w14:paraId="0F06B565">
            <w:pPr>
              <w:spacing w:line="360" w:lineRule="auto"/>
              <w:rPr>
                <w:rFonts w:hint="eastAsia" w:ascii="宋体" w:hAnsi="宋体" w:eastAsia="宋体"/>
                <w:szCs w:val="21"/>
              </w:rPr>
            </w:pPr>
          </w:p>
        </w:tc>
        <w:tc>
          <w:tcPr>
            <w:tcW w:w="4253" w:type="dxa"/>
          </w:tcPr>
          <w:p w14:paraId="0F699094">
            <w:pPr>
              <w:spacing w:line="360" w:lineRule="auto"/>
              <w:rPr>
                <w:rFonts w:hint="eastAsia" w:ascii="宋体" w:hAnsi="宋体" w:eastAsia="宋体"/>
                <w:szCs w:val="21"/>
              </w:rPr>
            </w:pPr>
            <w:r>
              <w:rPr>
                <w:rFonts w:hint="eastAsia" w:ascii="宋体" w:hAnsi="宋体" w:eastAsia="宋体"/>
                <w:szCs w:val="21"/>
              </w:rPr>
              <w:t>6）具备依评审权限设置评审项目访问、信息阅读的功能</w:t>
            </w:r>
          </w:p>
        </w:tc>
        <w:tc>
          <w:tcPr>
            <w:tcW w:w="1780" w:type="dxa"/>
            <w:noWrap/>
          </w:tcPr>
          <w:p w14:paraId="5FDC29AC">
            <w:pPr>
              <w:spacing w:line="360" w:lineRule="auto"/>
              <w:rPr>
                <w:rFonts w:hint="eastAsia" w:ascii="宋体" w:hAnsi="宋体" w:eastAsia="宋体"/>
                <w:szCs w:val="21"/>
              </w:rPr>
            </w:pPr>
            <w:r>
              <w:rPr>
                <w:rFonts w:hint="eastAsia" w:ascii="宋体" w:hAnsi="宋体" w:eastAsia="宋体"/>
                <w:szCs w:val="21"/>
              </w:rPr>
              <w:t>详见产品手册 4.1.6.2</w:t>
            </w:r>
          </w:p>
        </w:tc>
      </w:tr>
      <w:tr w14:paraId="5E62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trPr>
        <w:tc>
          <w:tcPr>
            <w:tcW w:w="988" w:type="dxa"/>
            <w:vMerge w:val="continue"/>
          </w:tcPr>
          <w:p w14:paraId="1B8C3599">
            <w:pPr>
              <w:spacing w:line="360" w:lineRule="auto"/>
              <w:rPr>
                <w:rFonts w:hint="eastAsia" w:ascii="宋体" w:hAnsi="宋体" w:eastAsia="宋体"/>
                <w:szCs w:val="21"/>
              </w:rPr>
            </w:pPr>
          </w:p>
        </w:tc>
        <w:tc>
          <w:tcPr>
            <w:tcW w:w="1275" w:type="dxa"/>
            <w:vMerge w:val="continue"/>
          </w:tcPr>
          <w:p w14:paraId="6CF0FD54">
            <w:pPr>
              <w:spacing w:line="360" w:lineRule="auto"/>
              <w:rPr>
                <w:rFonts w:hint="eastAsia" w:ascii="宋体" w:hAnsi="宋体" w:eastAsia="宋体"/>
                <w:szCs w:val="21"/>
              </w:rPr>
            </w:pPr>
          </w:p>
        </w:tc>
        <w:tc>
          <w:tcPr>
            <w:tcW w:w="4253" w:type="dxa"/>
          </w:tcPr>
          <w:p w14:paraId="74337C0B">
            <w:pPr>
              <w:spacing w:line="360" w:lineRule="auto"/>
              <w:rPr>
                <w:rFonts w:hint="eastAsia" w:ascii="宋体" w:hAnsi="宋体" w:eastAsia="宋体"/>
                <w:szCs w:val="21"/>
              </w:rPr>
            </w:pPr>
            <w:r>
              <w:rPr>
                <w:rFonts w:hint="eastAsia" w:ascii="宋体" w:hAnsi="宋体" w:eastAsia="宋体"/>
                <w:szCs w:val="21"/>
              </w:rPr>
              <w:t>7）具备以下评审功能：按招标项目类型和评标办法设置、维护和管理评标模板。依据招标项目清单、分项单价与投标报价进行校验、对比，提示差异。检测和辅助分析投标文件及异常投标行为。检测和辅助分析评标委员会成员打分结果</w:t>
            </w:r>
          </w:p>
        </w:tc>
        <w:tc>
          <w:tcPr>
            <w:tcW w:w="1780" w:type="dxa"/>
            <w:noWrap/>
          </w:tcPr>
          <w:p w14:paraId="762AAE00">
            <w:pPr>
              <w:spacing w:line="360" w:lineRule="auto"/>
              <w:rPr>
                <w:rFonts w:hint="eastAsia" w:ascii="宋体" w:hAnsi="宋体" w:eastAsia="宋体"/>
                <w:szCs w:val="21"/>
              </w:rPr>
            </w:pPr>
            <w:r>
              <w:rPr>
                <w:rFonts w:hint="eastAsia" w:ascii="宋体" w:hAnsi="宋体" w:eastAsia="宋体"/>
                <w:szCs w:val="21"/>
              </w:rPr>
              <w:t>详见产品手册 4.1.6.2</w:t>
            </w:r>
          </w:p>
        </w:tc>
      </w:tr>
      <w:tr w14:paraId="5E53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692D3FB">
            <w:pPr>
              <w:spacing w:line="360" w:lineRule="auto"/>
              <w:rPr>
                <w:rFonts w:hint="eastAsia" w:ascii="宋体" w:hAnsi="宋体" w:eastAsia="宋体"/>
                <w:szCs w:val="21"/>
              </w:rPr>
            </w:pPr>
          </w:p>
        </w:tc>
        <w:tc>
          <w:tcPr>
            <w:tcW w:w="1275" w:type="dxa"/>
            <w:vMerge w:val="restart"/>
          </w:tcPr>
          <w:p w14:paraId="79DB4D00">
            <w:pPr>
              <w:spacing w:line="360" w:lineRule="auto"/>
              <w:rPr>
                <w:rFonts w:hint="eastAsia" w:ascii="宋体" w:hAnsi="宋体" w:eastAsia="宋体"/>
                <w:szCs w:val="21"/>
              </w:rPr>
            </w:pPr>
            <w:r>
              <w:rPr>
                <w:rFonts w:hint="eastAsia" w:ascii="宋体" w:hAnsi="宋体" w:eastAsia="宋体"/>
                <w:szCs w:val="21"/>
              </w:rPr>
              <w:t>3.2.1.7.3评标报告管理</w:t>
            </w:r>
          </w:p>
        </w:tc>
        <w:tc>
          <w:tcPr>
            <w:tcW w:w="4253" w:type="dxa"/>
          </w:tcPr>
          <w:p w14:paraId="6D25ECE9">
            <w:pPr>
              <w:spacing w:line="360" w:lineRule="auto"/>
              <w:rPr>
                <w:rFonts w:hint="eastAsia" w:ascii="宋体" w:hAnsi="宋体" w:eastAsia="宋体"/>
                <w:szCs w:val="21"/>
              </w:rPr>
            </w:pPr>
            <w:r>
              <w:rPr>
                <w:rFonts w:hint="eastAsia" w:ascii="宋体" w:hAnsi="宋体" w:eastAsia="宋体"/>
                <w:szCs w:val="21"/>
              </w:rPr>
              <w:t>1）具备评标报告编辑、阅读的权限设置、签署和提交功能</w:t>
            </w:r>
          </w:p>
        </w:tc>
        <w:tc>
          <w:tcPr>
            <w:tcW w:w="1780" w:type="dxa"/>
            <w:noWrap/>
          </w:tcPr>
          <w:p w14:paraId="62FEA6D8">
            <w:pPr>
              <w:spacing w:line="360" w:lineRule="auto"/>
              <w:rPr>
                <w:rFonts w:hint="eastAsia" w:ascii="宋体" w:hAnsi="宋体" w:eastAsia="宋体"/>
                <w:szCs w:val="21"/>
              </w:rPr>
            </w:pPr>
            <w:r>
              <w:rPr>
                <w:rFonts w:hint="eastAsia" w:ascii="宋体" w:hAnsi="宋体" w:eastAsia="宋体"/>
                <w:szCs w:val="21"/>
              </w:rPr>
              <w:t>详见产品手册 4.1.6.2</w:t>
            </w:r>
          </w:p>
        </w:tc>
      </w:tr>
      <w:tr w14:paraId="2164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9DDA220">
            <w:pPr>
              <w:spacing w:line="360" w:lineRule="auto"/>
              <w:rPr>
                <w:rFonts w:hint="eastAsia" w:ascii="宋体" w:hAnsi="宋体" w:eastAsia="宋体"/>
                <w:szCs w:val="21"/>
              </w:rPr>
            </w:pPr>
          </w:p>
        </w:tc>
        <w:tc>
          <w:tcPr>
            <w:tcW w:w="1275" w:type="dxa"/>
            <w:vMerge w:val="continue"/>
          </w:tcPr>
          <w:p w14:paraId="56A16FBA">
            <w:pPr>
              <w:spacing w:line="360" w:lineRule="auto"/>
              <w:rPr>
                <w:rFonts w:hint="eastAsia" w:ascii="宋体" w:hAnsi="宋体" w:eastAsia="宋体"/>
                <w:szCs w:val="21"/>
              </w:rPr>
            </w:pPr>
          </w:p>
        </w:tc>
        <w:tc>
          <w:tcPr>
            <w:tcW w:w="4253" w:type="dxa"/>
          </w:tcPr>
          <w:p w14:paraId="0A482510">
            <w:pPr>
              <w:spacing w:line="360" w:lineRule="auto"/>
              <w:rPr>
                <w:rFonts w:hint="eastAsia" w:ascii="宋体" w:hAnsi="宋体" w:eastAsia="宋体"/>
                <w:szCs w:val="21"/>
              </w:rPr>
            </w:pPr>
            <w:r>
              <w:rPr>
                <w:rFonts w:hint="eastAsia" w:ascii="宋体" w:hAnsi="宋体" w:eastAsia="宋体"/>
                <w:szCs w:val="21"/>
              </w:rPr>
              <w:t>2）具备向监督通道提供评标报告数据的功能</w:t>
            </w:r>
          </w:p>
        </w:tc>
        <w:tc>
          <w:tcPr>
            <w:tcW w:w="1780" w:type="dxa"/>
            <w:noWrap/>
          </w:tcPr>
          <w:p w14:paraId="0CC29F46">
            <w:pPr>
              <w:spacing w:line="360" w:lineRule="auto"/>
              <w:rPr>
                <w:rFonts w:hint="eastAsia" w:ascii="宋体" w:hAnsi="宋体" w:eastAsia="宋体"/>
                <w:szCs w:val="21"/>
              </w:rPr>
            </w:pPr>
            <w:r>
              <w:rPr>
                <w:rFonts w:hint="eastAsia" w:ascii="宋体" w:hAnsi="宋体" w:eastAsia="宋体"/>
                <w:szCs w:val="21"/>
              </w:rPr>
              <w:t>详见产品手册 4.1.6.3</w:t>
            </w:r>
          </w:p>
        </w:tc>
      </w:tr>
      <w:tr w14:paraId="6A52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36E5945D">
            <w:pPr>
              <w:spacing w:line="360" w:lineRule="auto"/>
              <w:rPr>
                <w:rFonts w:hint="eastAsia" w:ascii="宋体" w:hAnsi="宋体" w:eastAsia="宋体"/>
                <w:szCs w:val="21"/>
              </w:rPr>
            </w:pPr>
          </w:p>
        </w:tc>
        <w:tc>
          <w:tcPr>
            <w:tcW w:w="1275" w:type="dxa"/>
            <w:vMerge w:val="restart"/>
          </w:tcPr>
          <w:p w14:paraId="207977D3">
            <w:pPr>
              <w:spacing w:line="360" w:lineRule="auto"/>
              <w:rPr>
                <w:rFonts w:hint="eastAsia" w:ascii="宋体" w:hAnsi="宋体" w:eastAsia="宋体"/>
                <w:szCs w:val="21"/>
              </w:rPr>
            </w:pPr>
            <w:r>
              <w:rPr>
                <w:rFonts w:hint="eastAsia" w:ascii="宋体" w:hAnsi="宋体" w:eastAsia="宋体"/>
                <w:szCs w:val="21"/>
              </w:rPr>
              <w:t>3.2.1.7.4远程异地评标</w:t>
            </w:r>
          </w:p>
        </w:tc>
        <w:tc>
          <w:tcPr>
            <w:tcW w:w="4253" w:type="dxa"/>
          </w:tcPr>
          <w:p w14:paraId="6EF68A6E">
            <w:pPr>
              <w:spacing w:line="360" w:lineRule="auto"/>
              <w:rPr>
                <w:rFonts w:hint="eastAsia" w:ascii="宋体" w:hAnsi="宋体" w:eastAsia="宋体"/>
                <w:szCs w:val="21"/>
              </w:rPr>
            </w:pPr>
            <w:r>
              <w:rPr>
                <w:rFonts w:hint="eastAsia" w:ascii="宋体" w:hAnsi="宋体" w:eastAsia="宋体"/>
                <w:szCs w:val="21"/>
              </w:rPr>
              <w:t>1）对评标委员会实现有效的监控</w:t>
            </w:r>
          </w:p>
        </w:tc>
        <w:tc>
          <w:tcPr>
            <w:tcW w:w="1780" w:type="dxa"/>
            <w:noWrap/>
          </w:tcPr>
          <w:p w14:paraId="03298152">
            <w:pPr>
              <w:spacing w:line="360" w:lineRule="auto"/>
              <w:rPr>
                <w:rFonts w:hint="eastAsia" w:ascii="宋体" w:hAnsi="宋体" w:eastAsia="宋体"/>
                <w:szCs w:val="21"/>
              </w:rPr>
            </w:pPr>
            <w:r>
              <w:rPr>
                <w:rFonts w:hint="eastAsia" w:ascii="宋体" w:hAnsi="宋体" w:eastAsia="宋体"/>
                <w:szCs w:val="21"/>
              </w:rPr>
              <w:t>详见产品手册 4.1.6.4</w:t>
            </w:r>
          </w:p>
        </w:tc>
      </w:tr>
      <w:tr w14:paraId="5A53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06BD3DB1">
            <w:pPr>
              <w:spacing w:line="360" w:lineRule="auto"/>
              <w:rPr>
                <w:rFonts w:hint="eastAsia" w:ascii="宋体" w:hAnsi="宋体" w:eastAsia="宋体"/>
                <w:szCs w:val="21"/>
              </w:rPr>
            </w:pPr>
          </w:p>
        </w:tc>
        <w:tc>
          <w:tcPr>
            <w:tcW w:w="1275" w:type="dxa"/>
            <w:vMerge w:val="continue"/>
          </w:tcPr>
          <w:p w14:paraId="24F46F24">
            <w:pPr>
              <w:spacing w:line="360" w:lineRule="auto"/>
              <w:rPr>
                <w:rFonts w:hint="eastAsia" w:ascii="宋体" w:hAnsi="宋体" w:eastAsia="宋体"/>
                <w:szCs w:val="21"/>
              </w:rPr>
            </w:pPr>
          </w:p>
        </w:tc>
        <w:tc>
          <w:tcPr>
            <w:tcW w:w="4253" w:type="dxa"/>
          </w:tcPr>
          <w:p w14:paraId="505888A0">
            <w:pPr>
              <w:spacing w:line="360" w:lineRule="auto"/>
              <w:rPr>
                <w:rFonts w:hint="eastAsia" w:ascii="宋体" w:hAnsi="宋体" w:eastAsia="宋体"/>
                <w:szCs w:val="21"/>
              </w:rPr>
            </w:pPr>
            <w:r>
              <w:rPr>
                <w:rFonts w:hint="eastAsia" w:ascii="宋体" w:hAnsi="宋体" w:eastAsia="宋体"/>
                <w:szCs w:val="21"/>
              </w:rPr>
              <w:t>2）对评标时间和地点进行控制</w:t>
            </w:r>
          </w:p>
        </w:tc>
        <w:tc>
          <w:tcPr>
            <w:tcW w:w="1780" w:type="dxa"/>
            <w:noWrap/>
          </w:tcPr>
          <w:p w14:paraId="6F7E4614">
            <w:pPr>
              <w:spacing w:line="360" w:lineRule="auto"/>
              <w:rPr>
                <w:rFonts w:hint="eastAsia" w:ascii="宋体" w:hAnsi="宋体" w:eastAsia="宋体"/>
                <w:szCs w:val="21"/>
              </w:rPr>
            </w:pPr>
            <w:r>
              <w:rPr>
                <w:rFonts w:hint="eastAsia" w:ascii="宋体" w:hAnsi="宋体" w:eastAsia="宋体"/>
                <w:szCs w:val="21"/>
              </w:rPr>
              <w:t>详见产品手册 4.1.6.4</w:t>
            </w:r>
          </w:p>
        </w:tc>
      </w:tr>
      <w:tr w14:paraId="09C4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9A1D41F">
            <w:pPr>
              <w:spacing w:line="360" w:lineRule="auto"/>
              <w:rPr>
                <w:rFonts w:hint="eastAsia" w:ascii="宋体" w:hAnsi="宋体" w:eastAsia="宋体"/>
                <w:szCs w:val="21"/>
              </w:rPr>
            </w:pPr>
          </w:p>
        </w:tc>
        <w:tc>
          <w:tcPr>
            <w:tcW w:w="1275" w:type="dxa"/>
            <w:vMerge w:val="continue"/>
          </w:tcPr>
          <w:p w14:paraId="60538AAB">
            <w:pPr>
              <w:spacing w:line="360" w:lineRule="auto"/>
              <w:rPr>
                <w:rFonts w:hint="eastAsia" w:ascii="宋体" w:hAnsi="宋体" w:eastAsia="宋体"/>
                <w:szCs w:val="21"/>
              </w:rPr>
            </w:pPr>
          </w:p>
        </w:tc>
        <w:tc>
          <w:tcPr>
            <w:tcW w:w="4253" w:type="dxa"/>
          </w:tcPr>
          <w:p w14:paraId="7FFBA10D">
            <w:pPr>
              <w:spacing w:line="360" w:lineRule="auto"/>
              <w:rPr>
                <w:rFonts w:hint="eastAsia" w:ascii="宋体" w:hAnsi="宋体" w:eastAsia="宋体"/>
                <w:szCs w:val="21"/>
              </w:rPr>
            </w:pPr>
            <w:r>
              <w:rPr>
                <w:rFonts w:hint="eastAsia" w:ascii="宋体" w:hAnsi="宋体" w:eastAsia="宋体"/>
                <w:szCs w:val="21"/>
              </w:rPr>
              <w:t>3）评标委员会评标必需的沟通功能</w:t>
            </w:r>
          </w:p>
        </w:tc>
        <w:tc>
          <w:tcPr>
            <w:tcW w:w="1780" w:type="dxa"/>
            <w:noWrap/>
          </w:tcPr>
          <w:p w14:paraId="735E753E">
            <w:pPr>
              <w:spacing w:line="360" w:lineRule="auto"/>
              <w:rPr>
                <w:rFonts w:hint="eastAsia" w:ascii="宋体" w:hAnsi="宋体" w:eastAsia="宋体"/>
                <w:szCs w:val="21"/>
              </w:rPr>
            </w:pPr>
            <w:r>
              <w:rPr>
                <w:rFonts w:hint="eastAsia" w:ascii="宋体" w:hAnsi="宋体" w:eastAsia="宋体"/>
                <w:szCs w:val="21"/>
              </w:rPr>
              <w:t>详见产品手册 4.1.6.4</w:t>
            </w:r>
          </w:p>
        </w:tc>
      </w:tr>
      <w:tr w14:paraId="674C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5BFC8502">
            <w:pPr>
              <w:spacing w:line="360" w:lineRule="auto"/>
              <w:rPr>
                <w:rFonts w:hint="eastAsia" w:ascii="宋体" w:hAnsi="宋体" w:eastAsia="宋体"/>
                <w:szCs w:val="21"/>
              </w:rPr>
            </w:pPr>
          </w:p>
        </w:tc>
        <w:tc>
          <w:tcPr>
            <w:tcW w:w="1275" w:type="dxa"/>
          </w:tcPr>
          <w:p w14:paraId="01878548">
            <w:pPr>
              <w:spacing w:line="360" w:lineRule="auto"/>
              <w:rPr>
                <w:rFonts w:hint="eastAsia" w:ascii="宋体" w:hAnsi="宋体" w:eastAsia="宋体"/>
                <w:szCs w:val="21"/>
              </w:rPr>
            </w:pPr>
            <w:r>
              <w:rPr>
                <w:rFonts w:hint="eastAsia" w:ascii="宋体" w:hAnsi="宋体" w:eastAsia="宋体"/>
                <w:szCs w:val="21"/>
              </w:rPr>
              <w:t>3.2.1.7.5资格预审申请文件的评审</w:t>
            </w:r>
          </w:p>
        </w:tc>
        <w:tc>
          <w:tcPr>
            <w:tcW w:w="4253" w:type="dxa"/>
          </w:tcPr>
          <w:p w14:paraId="4710CFAE">
            <w:pPr>
              <w:spacing w:line="360" w:lineRule="auto"/>
              <w:rPr>
                <w:rFonts w:hint="eastAsia" w:ascii="宋体" w:hAnsi="宋体" w:eastAsia="宋体"/>
                <w:szCs w:val="21"/>
              </w:rPr>
            </w:pPr>
            <w:r>
              <w:rPr>
                <w:rFonts w:hint="eastAsia" w:ascii="宋体" w:hAnsi="宋体" w:eastAsia="宋体"/>
                <w:szCs w:val="21"/>
              </w:rPr>
              <w:t>资格预审申请文件的评审应满足3.2.1.7.1至3.2.1.7.1.4功能要求</w:t>
            </w:r>
          </w:p>
        </w:tc>
        <w:tc>
          <w:tcPr>
            <w:tcW w:w="1780" w:type="dxa"/>
            <w:noWrap/>
          </w:tcPr>
          <w:p w14:paraId="6AFC2CB6">
            <w:pPr>
              <w:spacing w:line="360" w:lineRule="auto"/>
              <w:rPr>
                <w:rFonts w:hint="eastAsia" w:ascii="宋体" w:hAnsi="宋体" w:eastAsia="宋体"/>
                <w:szCs w:val="21"/>
              </w:rPr>
            </w:pPr>
            <w:r>
              <w:rPr>
                <w:rFonts w:hint="eastAsia" w:ascii="宋体" w:hAnsi="宋体" w:eastAsia="宋体"/>
                <w:szCs w:val="21"/>
              </w:rPr>
              <w:t>详见产品手册 4.1.6</w:t>
            </w:r>
          </w:p>
        </w:tc>
      </w:tr>
      <w:tr w14:paraId="5D9B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restart"/>
            <w:noWrap/>
          </w:tcPr>
          <w:p w14:paraId="725A03D0">
            <w:pPr>
              <w:spacing w:line="360" w:lineRule="auto"/>
              <w:rPr>
                <w:rFonts w:hint="eastAsia" w:ascii="宋体" w:hAnsi="宋体" w:eastAsia="宋体"/>
                <w:szCs w:val="21"/>
              </w:rPr>
            </w:pPr>
            <w:r>
              <w:rPr>
                <w:rFonts w:hint="eastAsia" w:ascii="宋体" w:hAnsi="宋体" w:eastAsia="宋体"/>
                <w:szCs w:val="21"/>
              </w:rPr>
              <w:t>3.2.1.8定标管理</w:t>
            </w:r>
          </w:p>
        </w:tc>
        <w:tc>
          <w:tcPr>
            <w:tcW w:w="1275" w:type="dxa"/>
            <w:vMerge w:val="restart"/>
          </w:tcPr>
          <w:p w14:paraId="02513F66">
            <w:pPr>
              <w:spacing w:line="360" w:lineRule="auto"/>
              <w:rPr>
                <w:rFonts w:hint="eastAsia" w:ascii="宋体" w:hAnsi="宋体" w:eastAsia="宋体"/>
                <w:szCs w:val="21"/>
              </w:rPr>
            </w:pPr>
            <w:r>
              <w:rPr>
                <w:rFonts w:hint="eastAsia" w:ascii="宋体" w:hAnsi="宋体" w:eastAsia="宋体"/>
                <w:szCs w:val="21"/>
              </w:rPr>
              <w:t>3.2.1.8.1中标候选人公示管理</w:t>
            </w:r>
          </w:p>
        </w:tc>
        <w:tc>
          <w:tcPr>
            <w:tcW w:w="4253" w:type="dxa"/>
          </w:tcPr>
          <w:p w14:paraId="01F9D0D9">
            <w:pPr>
              <w:spacing w:line="360" w:lineRule="auto"/>
              <w:rPr>
                <w:rFonts w:hint="eastAsia" w:ascii="宋体" w:hAnsi="宋体" w:eastAsia="宋体"/>
                <w:szCs w:val="21"/>
              </w:rPr>
            </w:pPr>
            <w:r>
              <w:rPr>
                <w:rFonts w:hint="eastAsia" w:ascii="宋体" w:hAnsi="宋体" w:eastAsia="宋体"/>
                <w:szCs w:val="21"/>
              </w:rPr>
              <w:t>1）具备中标候选人公示的编辑、提交审核、验证确认、发布功能</w:t>
            </w:r>
          </w:p>
        </w:tc>
        <w:tc>
          <w:tcPr>
            <w:tcW w:w="1780" w:type="dxa"/>
            <w:noWrap/>
          </w:tcPr>
          <w:p w14:paraId="67CDCF6D">
            <w:pPr>
              <w:spacing w:line="360" w:lineRule="auto"/>
              <w:rPr>
                <w:rFonts w:hint="eastAsia" w:ascii="宋体" w:hAnsi="宋体" w:eastAsia="宋体"/>
                <w:szCs w:val="21"/>
              </w:rPr>
            </w:pPr>
            <w:r>
              <w:rPr>
                <w:rFonts w:hint="eastAsia" w:ascii="宋体" w:hAnsi="宋体" w:eastAsia="宋体"/>
                <w:szCs w:val="21"/>
              </w:rPr>
              <w:t>详见产品手册 4.1.7.2</w:t>
            </w:r>
          </w:p>
        </w:tc>
      </w:tr>
      <w:tr w14:paraId="2047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0CDBBCE">
            <w:pPr>
              <w:spacing w:line="360" w:lineRule="auto"/>
              <w:rPr>
                <w:rFonts w:hint="eastAsia" w:ascii="宋体" w:hAnsi="宋体" w:eastAsia="宋体"/>
                <w:szCs w:val="21"/>
              </w:rPr>
            </w:pPr>
          </w:p>
        </w:tc>
        <w:tc>
          <w:tcPr>
            <w:tcW w:w="1275" w:type="dxa"/>
            <w:vMerge w:val="continue"/>
          </w:tcPr>
          <w:p w14:paraId="5FAAAC3E">
            <w:pPr>
              <w:spacing w:line="360" w:lineRule="auto"/>
              <w:rPr>
                <w:rFonts w:hint="eastAsia" w:ascii="宋体" w:hAnsi="宋体" w:eastAsia="宋体"/>
                <w:szCs w:val="21"/>
              </w:rPr>
            </w:pPr>
          </w:p>
        </w:tc>
        <w:tc>
          <w:tcPr>
            <w:tcW w:w="4253" w:type="dxa"/>
          </w:tcPr>
          <w:p w14:paraId="319EC1A2">
            <w:pPr>
              <w:spacing w:line="360" w:lineRule="auto"/>
              <w:rPr>
                <w:rFonts w:hint="eastAsia" w:ascii="宋体" w:hAnsi="宋体" w:eastAsia="宋体"/>
                <w:szCs w:val="21"/>
              </w:rPr>
            </w:pPr>
            <w:r>
              <w:rPr>
                <w:rFonts w:hint="eastAsia" w:ascii="宋体" w:hAnsi="宋体" w:eastAsia="宋体"/>
                <w:szCs w:val="21"/>
              </w:rPr>
              <w:t>2）具备向指定媒介提供中标候选人公示数据的功能</w:t>
            </w:r>
          </w:p>
        </w:tc>
        <w:tc>
          <w:tcPr>
            <w:tcW w:w="1780" w:type="dxa"/>
            <w:noWrap/>
          </w:tcPr>
          <w:p w14:paraId="3277280A">
            <w:pPr>
              <w:spacing w:line="360" w:lineRule="auto"/>
              <w:rPr>
                <w:rFonts w:hint="eastAsia" w:ascii="宋体" w:hAnsi="宋体" w:eastAsia="宋体"/>
                <w:szCs w:val="21"/>
              </w:rPr>
            </w:pPr>
            <w:r>
              <w:rPr>
                <w:rFonts w:hint="eastAsia" w:ascii="宋体" w:hAnsi="宋体" w:eastAsia="宋体"/>
                <w:szCs w:val="21"/>
              </w:rPr>
              <w:t>详见产品手册 4.1.7.2</w:t>
            </w:r>
          </w:p>
        </w:tc>
      </w:tr>
      <w:tr w14:paraId="1066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C911F71">
            <w:pPr>
              <w:spacing w:line="360" w:lineRule="auto"/>
              <w:rPr>
                <w:rFonts w:hint="eastAsia" w:ascii="宋体" w:hAnsi="宋体" w:eastAsia="宋体"/>
                <w:szCs w:val="21"/>
              </w:rPr>
            </w:pPr>
          </w:p>
        </w:tc>
        <w:tc>
          <w:tcPr>
            <w:tcW w:w="1275" w:type="dxa"/>
            <w:vMerge w:val="restart"/>
          </w:tcPr>
          <w:p w14:paraId="66702D75">
            <w:pPr>
              <w:spacing w:line="360" w:lineRule="auto"/>
              <w:rPr>
                <w:rFonts w:hint="eastAsia" w:ascii="宋体" w:hAnsi="宋体" w:eastAsia="宋体"/>
                <w:szCs w:val="21"/>
              </w:rPr>
            </w:pPr>
            <w:r>
              <w:rPr>
                <w:rFonts w:hint="eastAsia" w:ascii="宋体" w:hAnsi="宋体" w:eastAsia="宋体"/>
                <w:szCs w:val="21"/>
              </w:rPr>
              <w:t>3.2.1.8.2确认资格预审的申请人/确定中标人</w:t>
            </w:r>
          </w:p>
        </w:tc>
        <w:tc>
          <w:tcPr>
            <w:tcW w:w="4253" w:type="dxa"/>
          </w:tcPr>
          <w:p w14:paraId="788CC1A2">
            <w:pPr>
              <w:spacing w:line="360" w:lineRule="auto"/>
              <w:rPr>
                <w:rFonts w:hint="eastAsia" w:ascii="宋体" w:hAnsi="宋体" w:eastAsia="宋体"/>
                <w:szCs w:val="21"/>
              </w:rPr>
            </w:pPr>
            <w:r>
              <w:rPr>
                <w:rFonts w:hint="eastAsia" w:ascii="宋体" w:hAnsi="宋体" w:eastAsia="宋体"/>
                <w:szCs w:val="21"/>
              </w:rPr>
              <w:t>1）具备授权资格审查委员会确认通过资格预审的申请人/授权评标委员会确定中标人的功能</w:t>
            </w:r>
          </w:p>
        </w:tc>
        <w:tc>
          <w:tcPr>
            <w:tcW w:w="1780" w:type="dxa"/>
            <w:noWrap/>
          </w:tcPr>
          <w:p w14:paraId="4AED65C7">
            <w:pPr>
              <w:spacing w:line="360" w:lineRule="auto"/>
              <w:rPr>
                <w:rFonts w:hint="eastAsia" w:ascii="宋体" w:hAnsi="宋体" w:eastAsia="宋体"/>
                <w:szCs w:val="21"/>
              </w:rPr>
            </w:pPr>
            <w:r>
              <w:rPr>
                <w:rFonts w:hint="eastAsia" w:ascii="宋体" w:hAnsi="宋体" w:eastAsia="宋体"/>
                <w:szCs w:val="21"/>
              </w:rPr>
              <w:t>详见产品手册 4.1.7.1</w:t>
            </w:r>
          </w:p>
        </w:tc>
      </w:tr>
      <w:tr w14:paraId="213C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1E1B518">
            <w:pPr>
              <w:spacing w:line="360" w:lineRule="auto"/>
              <w:rPr>
                <w:rFonts w:hint="eastAsia" w:ascii="宋体" w:hAnsi="宋体" w:eastAsia="宋体"/>
                <w:szCs w:val="21"/>
              </w:rPr>
            </w:pPr>
          </w:p>
        </w:tc>
        <w:tc>
          <w:tcPr>
            <w:tcW w:w="1275" w:type="dxa"/>
            <w:vMerge w:val="continue"/>
          </w:tcPr>
          <w:p w14:paraId="0AED2852">
            <w:pPr>
              <w:spacing w:line="360" w:lineRule="auto"/>
              <w:rPr>
                <w:rFonts w:hint="eastAsia" w:ascii="宋体" w:hAnsi="宋体" w:eastAsia="宋体"/>
                <w:szCs w:val="21"/>
              </w:rPr>
            </w:pPr>
          </w:p>
        </w:tc>
        <w:tc>
          <w:tcPr>
            <w:tcW w:w="4253" w:type="dxa"/>
          </w:tcPr>
          <w:p w14:paraId="47309A05">
            <w:pPr>
              <w:spacing w:line="360" w:lineRule="auto"/>
              <w:rPr>
                <w:rFonts w:hint="eastAsia" w:ascii="宋体" w:hAnsi="宋体" w:eastAsia="宋体"/>
                <w:szCs w:val="21"/>
              </w:rPr>
            </w:pPr>
            <w:r>
              <w:rPr>
                <w:rFonts w:hint="eastAsia" w:ascii="宋体" w:hAnsi="宋体" w:eastAsia="宋体"/>
                <w:szCs w:val="21"/>
              </w:rPr>
              <w:t>2）具备招标人确认通过资格预审的申请人/确定中标人的功能</w:t>
            </w:r>
          </w:p>
        </w:tc>
        <w:tc>
          <w:tcPr>
            <w:tcW w:w="1780" w:type="dxa"/>
            <w:noWrap/>
          </w:tcPr>
          <w:p w14:paraId="2E918F8E">
            <w:pPr>
              <w:spacing w:line="360" w:lineRule="auto"/>
              <w:rPr>
                <w:rFonts w:hint="eastAsia" w:ascii="宋体" w:hAnsi="宋体" w:eastAsia="宋体"/>
                <w:szCs w:val="21"/>
              </w:rPr>
            </w:pPr>
            <w:r>
              <w:rPr>
                <w:rFonts w:hint="eastAsia" w:ascii="宋体" w:hAnsi="宋体" w:eastAsia="宋体"/>
                <w:szCs w:val="21"/>
              </w:rPr>
              <w:t>详见产品手册 4.1.7.1</w:t>
            </w:r>
          </w:p>
        </w:tc>
      </w:tr>
      <w:tr w14:paraId="6801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3ADBBE18">
            <w:pPr>
              <w:spacing w:line="360" w:lineRule="auto"/>
              <w:rPr>
                <w:rFonts w:hint="eastAsia" w:ascii="宋体" w:hAnsi="宋体" w:eastAsia="宋体"/>
                <w:szCs w:val="21"/>
              </w:rPr>
            </w:pPr>
          </w:p>
        </w:tc>
        <w:tc>
          <w:tcPr>
            <w:tcW w:w="1275" w:type="dxa"/>
          </w:tcPr>
          <w:p w14:paraId="1B18806E">
            <w:pPr>
              <w:spacing w:line="360" w:lineRule="auto"/>
              <w:rPr>
                <w:rFonts w:hint="eastAsia" w:ascii="宋体" w:hAnsi="宋体" w:eastAsia="宋体"/>
                <w:szCs w:val="21"/>
              </w:rPr>
            </w:pPr>
            <w:r>
              <w:rPr>
                <w:rFonts w:hint="eastAsia" w:ascii="宋体" w:hAnsi="宋体" w:eastAsia="宋体"/>
                <w:szCs w:val="21"/>
              </w:rPr>
              <w:t>3.2.1.8.3中标结果公告管理</w:t>
            </w:r>
          </w:p>
        </w:tc>
        <w:tc>
          <w:tcPr>
            <w:tcW w:w="4253" w:type="dxa"/>
          </w:tcPr>
          <w:p w14:paraId="1603AA0B">
            <w:pPr>
              <w:spacing w:line="360" w:lineRule="auto"/>
              <w:rPr>
                <w:rFonts w:hint="eastAsia" w:ascii="宋体" w:hAnsi="宋体" w:eastAsia="宋体"/>
                <w:szCs w:val="21"/>
              </w:rPr>
            </w:pPr>
            <w:r>
              <w:rPr>
                <w:rFonts w:hint="eastAsia" w:ascii="宋体" w:hAnsi="宋体" w:eastAsia="宋体"/>
                <w:szCs w:val="21"/>
              </w:rPr>
              <w:t>具备编辑、提交审核、验证确认、备案、发布和向指定媒介提供中标结果公告的功能</w:t>
            </w:r>
          </w:p>
        </w:tc>
        <w:tc>
          <w:tcPr>
            <w:tcW w:w="1780" w:type="dxa"/>
            <w:noWrap/>
          </w:tcPr>
          <w:p w14:paraId="259F36AC">
            <w:pPr>
              <w:spacing w:line="360" w:lineRule="auto"/>
              <w:rPr>
                <w:rFonts w:hint="eastAsia" w:ascii="宋体" w:hAnsi="宋体" w:eastAsia="宋体"/>
                <w:szCs w:val="21"/>
              </w:rPr>
            </w:pPr>
            <w:r>
              <w:rPr>
                <w:rFonts w:hint="eastAsia" w:ascii="宋体" w:hAnsi="宋体" w:eastAsia="宋体"/>
                <w:szCs w:val="21"/>
              </w:rPr>
              <w:t>详见产品手册 4.1.7.3</w:t>
            </w:r>
          </w:p>
        </w:tc>
      </w:tr>
      <w:tr w14:paraId="56F8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1289A31">
            <w:pPr>
              <w:spacing w:line="360" w:lineRule="auto"/>
              <w:rPr>
                <w:rFonts w:hint="eastAsia" w:ascii="宋体" w:hAnsi="宋体" w:eastAsia="宋体"/>
                <w:szCs w:val="21"/>
              </w:rPr>
            </w:pPr>
          </w:p>
        </w:tc>
        <w:tc>
          <w:tcPr>
            <w:tcW w:w="1275" w:type="dxa"/>
            <w:vMerge w:val="restart"/>
          </w:tcPr>
          <w:p w14:paraId="5DB00691">
            <w:pPr>
              <w:spacing w:line="360" w:lineRule="auto"/>
              <w:rPr>
                <w:rFonts w:hint="eastAsia" w:ascii="宋体" w:hAnsi="宋体" w:eastAsia="宋体"/>
                <w:szCs w:val="21"/>
              </w:rPr>
            </w:pPr>
            <w:r>
              <w:rPr>
                <w:rFonts w:hint="eastAsia" w:ascii="宋体" w:hAnsi="宋体" w:eastAsia="宋体"/>
                <w:szCs w:val="21"/>
              </w:rPr>
              <w:t>3.2.1.8.4资格预审/中标通知书管理</w:t>
            </w:r>
          </w:p>
        </w:tc>
        <w:tc>
          <w:tcPr>
            <w:tcW w:w="4253" w:type="dxa"/>
          </w:tcPr>
          <w:p w14:paraId="44F8CE6E">
            <w:pPr>
              <w:spacing w:line="360" w:lineRule="auto"/>
              <w:rPr>
                <w:rFonts w:hint="eastAsia" w:ascii="宋体" w:hAnsi="宋体" w:eastAsia="宋体"/>
                <w:szCs w:val="21"/>
              </w:rPr>
            </w:pPr>
            <w:r>
              <w:rPr>
                <w:rFonts w:hint="eastAsia" w:ascii="宋体" w:hAnsi="宋体" w:eastAsia="宋体"/>
                <w:szCs w:val="21"/>
              </w:rPr>
              <w:t>1）具备中标通知书的编辑、验证确认和递交的功能</w:t>
            </w:r>
          </w:p>
        </w:tc>
        <w:tc>
          <w:tcPr>
            <w:tcW w:w="1780" w:type="dxa"/>
            <w:noWrap/>
          </w:tcPr>
          <w:p w14:paraId="18141F11">
            <w:pPr>
              <w:spacing w:line="360" w:lineRule="auto"/>
              <w:rPr>
                <w:rFonts w:hint="eastAsia" w:ascii="宋体" w:hAnsi="宋体" w:eastAsia="宋体"/>
                <w:szCs w:val="21"/>
              </w:rPr>
            </w:pPr>
            <w:r>
              <w:rPr>
                <w:rFonts w:hint="eastAsia" w:ascii="宋体" w:hAnsi="宋体" w:eastAsia="宋体"/>
                <w:szCs w:val="21"/>
              </w:rPr>
              <w:t>详见产品手册 4.1.7.4</w:t>
            </w:r>
          </w:p>
        </w:tc>
      </w:tr>
      <w:tr w14:paraId="4B1B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631F86C">
            <w:pPr>
              <w:spacing w:line="360" w:lineRule="auto"/>
              <w:rPr>
                <w:rFonts w:hint="eastAsia" w:ascii="宋体" w:hAnsi="宋体" w:eastAsia="宋体"/>
                <w:szCs w:val="21"/>
              </w:rPr>
            </w:pPr>
          </w:p>
        </w:tc>
        <w:tc>
          <w:tcPr>
            <w:tcW w:w="1275" w:type="dxa"/>
            <w:vMerge w:val="continue"/>
          </w:tcPr>
          <w:p w14:paraId="1613FC23">
            <w:pPr>
              <w:spacing w:line="360" w:lineRule="auto"/>
              <w:rPr>
                <w:rFonts w:hint="eastAsia" w:ascii="宋体" w:hAnsi="宋体" w:eastAsia="宋体"/>
                <w:szCs w:val="21"/>
              </w:rPr>
            </w:pPr>
          </w:p>
        </w:tc>
        <w:tc>
          <w:tcPr>
            <w:tcW w:w="4253" w:type="dxa"/>
          </w:tcPr>
          <w:p w14:paraId="17BC8756">
            <w:pPr>
              <w:spacing w:line="360" w:lineRule="auto"/>
              <w:rPr>
                <w:rFonts w:hint="eastAsia" w:ascii="宋体" w:hAnsi="宋体" w:eastAsia="宋体"/>
                <w:szCs w:val="21"/>
              </w:rPr>
            </w:pPr>
            <w:r>
              <w:rPr>
                <w:rFonts w:hint="eastAsia" w:ascii="宋体" w:hAnsi="宋体" w:eastAsia="宋体"/>
                <w:szCs w:val="21"/>
              </w:rPr>
              <w:t>2）具备向中标人提供中标通知书的功能</w:t>
            </w:r>
          </w:p>
        </w:tc>
        <w:tc>
          <w:tcPr>
            <w:tcW w:w="1780" w:type="dxa"/>
            <w:noWrap/>
          </w:tcPr>
          <w:p w14:paraId="36A09FB2">
            <w:pPr>
              <w:spacing w:line="360" w:lineRule="auto"/>
              <w:rPr>
                <w:rFonts w:hint="eastAsia" w:ascii="宋体" w:hAnsi="宋体" w:eastAsia="宋体"/>
                <w:szCs w:val="21"/>
              </w:rPr>
            </w:pPr>
            <w:r>
              <w:rPr>
                <w:rFonts w:hint="eastAsia" w:ascii="宋体" w:hAnsi="宋体" w:eastAsia="宋体"/>
                <w:szCs w:val="21"/>
              </w:rPr>
              <w:t>详见产品手册 4.1.7.4</w:t>
            </w:r>
          </w:p>
        </w:tc>
      </w:tr>
      <w:tr w14:paraId="1C99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7033334B">
            <w:pPr>
              <w:spacing w:line="360" w:lineRule="auto"/>
              <w:rPr>
                <w:rFonts w:hint="eastAsia" w:ascii="宋体" w:hAnsi="宋体" w:eastAsia="宋体"/>
                <w:szCs w:val="21"/>
              </w:rPr>
            </w:pPr>
          </w:p>
        </w:tc>
        <w:tc>
          <w:tcPr>
            <w:tcW w:w="1275" w:type="dxa"/>
            <w:vMerge w:val="restart"/>
          </w:tcPr>
          <w:p w14:paraId="7743AEB7">
            <w:pPr>
              <w:spacing w:line="360" w:lineRule="auto"/>
              <w:rPr>
                <w:rFonts w:hint="eastAsia" w:ascii="宋体" w:hAnsi="宋体" w:eastAsia="宋体"/>
                <w:szCs w:val="21"/>
              </w:rPr>
            </w:pPr>
            <w:r>
              <w:rPr>
                <w:rFonts w:hint="eastAsia" w:ascii="宋体" w:hAnsi="宋体" w:eastAsia="宋体"/>
                <w:szCs w:val="21"/>
              </w:rPr>
              <w:t>3.2.1.8.5合同管理</w:t>
            </w:r>
          </w:p>
        </w:tc>
        <w:tc>
          <w:tcPr>
            <w:tcW w:w="4253" w:type="dxa"/>
          </w:tcPr>
          <w:p w14:paraId="7A92A706">
            <w:pPr>
              <w:spacing w:line="360" w:lineRule="auto"/>
              <w:rPr>
                <w:rFonts w:hint="eastAsia" w:ascii="宋体" w:hAnsi="宋体" w:eastAsia="宋体"/>
                <w:szCs w:val="21"/>
              </w:rPr>
            </w:pPr>
            <w:r>
              <w:rPr>
                <w:rFonts w:hint="eastAsia" w:ascii="宋体" w:hAnsi="宋体" w:eastAsia="宋体"/>
                <w:szCs w:val="21"/>
              </w:rPr>
              <w:t>1）提供招标项目标段（包）与合同的关联关系</w:t>
            </w:r>
          </w:p>
        </w:tc>
        <w:tc>
          <w:tcPr>
            <w:tcW w:w="1780" w:type="dxa"/>
            <w:noWrap/>
          </w:tcPr>
          <w:p w14:paraId="671E9DD1">
            <w:pPr>
              <w:spacing w:line="360" w:lineRule="auto"/>
              <w:rPr>
                <w:rFonts w:hint="eastAsia" w:ascii="宋体" w:hAnsi="宋体" w:eastAsia="宋体"/>
                <w:szCs w:val="21"/>
              </w:rPr>
            </w:pPr>
            <w:r>
              <w:rPr>
                <w:rFonts w:hint="eastAsia" w:ascii="宋体" w:hAnsi="宋体" w:eastAsia="宋体"/>
                <w:szCs w:val="21"/>
              </w:rPr>
              <w:t>详见产品手册 4.1.7.5</w:t>
            </w:r>
          </w:p>
        </w:tc>
      </w:tr>
      <w:tr w14:paraId="4BB3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1F3968A">
            <w:pPr>
              <w:spacing w:line="360" w:lineRule="auto"/>
              <w:rPr>
                <w:rFonts w:hint="eastAsia" w:ascii="宋体" w:hAnsi="宋体" w:eastAsia="宋体"/>
                <w:szCs w:val="21"/>
              </w:rPr>
            </w:pPr>
          </w:p>
        </w:tc>
        <w:tc>
          <w:tcPr>
            <w:tcW w:w="1275" w:type="dxa"/>
            <w:vMerge w:val="continue"/>
          </w:tcPr>
          <w:p w14:paraId="38E30E11">
            <w:pPr>
              <w:spacing w:line="360" w:lineRule="auto"/>
              <w:rPr>
                <w:rFonts w:hint="eastAsia" w:ascii="宋体" w:hAnsi="宋体" w:eastAsia="宋体"/>
                <w:szCs w:val="21"/>
              </w:rPr>
            </w:pPr>
          </w:p>
        </w:tc>
        <w:tc>
          <w:tcPr>
            <w:tcW w:w="4253" w:type="dxa"/>
          </w:tcPr>
          <w:p w14:paraId="799F6529">
            <w:pPr>
              <w:spacing w:line="360" w:lineRule="auto"/>
              <w:rPr>
                <w:rFonts w:hint="eastAsia" w:ascii="宋体" w:hAnsi="宋体" w:eastAsia="宋体"/>
                <w:szCs w:val="21"/>
              </w:rPr>
            </w:pPr>
            <w:r>
              <w:rPr>
                <w:rFonts w:hint="eastAsia" w:ascii="宋体" w:hAnsi="宋体" w:eastAsia="宋体"/>
                <w:szCs w:val="21"/>
              </w:rPr>
              <w:t>2）具备根据招标文件约定的内容，编辑、形成、递交、验证确认和签署合同文本的功能</w:t>
            </w:r>
          </w:p>
        </w:tc>
        <w:tc>
          <w:tcPr>
            <w:tcW w:w="1780" w:type="dxa"/>
            <w:noWrap/>
          </w:tcPr>
          <w:p w14:paraId="72F8BE91">
            <w:pPr>
              <w:spacing w:line="360" w:lineRule="auto"/>
              <w:rPr>
                <w:rFonts w:hint="eastAsia" w:ascii="宋体" w:hAnsi="宋体" w:eastAsia="宋体"/>
                <w:szCs w:val="21"/>
              </w:rPr>
            </w:pPr>
            <w:r>
              <w:rPr>
                <w:rFonts w:hint="eastAsia" w:ascii="宋体" w:hAnsi="宋体" w:eastAsia="宋体"/>
                <w:szCs w:val="21"/>
              </w:rPr>
              <w:t>详见产品手册 4.1.7.5</w:t>
            </w:r>
          </w:p>
        </w:tc>
      </w:tr>
      <w:tr w14:paraId="12A4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89119C8">
            <w:pPr>
              <w:spacing w:line="360" w:lineRule="auto"/>
              <w:rPr>
                <w:rFonts w:hint="eastAsia" w:ascii="宋体" w:hAnsi="宋体" w:eastAsia="宋体"/>
                <w:szCs w:val="21"/>
              </w:rPr>
            </w:pPr>
          </w:p>
        </w:tc>
        <w:tc>
          <w:tcPr>
            <w:tcW w:w="1275" w:type="dxa"/>
            <w:vMerge w:val="continue"/>
          </w:tcPr>
          <w:p w14:paraId="0196DC2F">
            <w:pPr>
              <w:spacing w:line="360" w:lineRule="auto"/>
              <w:rPr>
                <w:rFonts w:hint="eastAsia" w:ascii="宋体" w:hAnsi="宋体" w:eastAsia="宋体"/>
                <w:szCs w:val="21"/>
              </w:rPr>
            </w:pPr>
          </w:p>
        </w:tc>
        <w:tc>
          <w:tcPr>
            <w:tcW w:w="4253" w:type="dxa"/>
          </w:tcPr>
          <w:p w14:paraId="1389B857">
            <w:pPr>
              <w:spacing w:line="360" w:lineRule="auto"/>
              <w:rPr>
                <w:rFonts w:hint="eastAsia" w:ascii="宋体" w:hAnsi="宋体" w:eastAsia="宋体"/>
                <w:szCs w:val="21"/>
              </w:rPr>
            </w:pPr>
            <w:r>
              <w:rPr>
                <w:rFonts w:hint="eastAsia" w:ascii="宋体" w:hAnsi="宋体" w:eastAsia="宋体"/>
                <w:szCs w:val="21"/>
              </w:rPr>
              <w:t>3）具备按规定要求向相关主体和管理单位收集、记录和验证合同履行结果的相关信息</w:t>
            </w:r>
          </w:p>
        </w:tc>
        <w:tc>
          <w:tcPr>
            <w:tcW w:w="1780" w:type="dxa"/>
            <w:noWrap/>
          </w:tcPr>
          <w:p w14:paraId="25719D1A">
            <w:pPr>
              <w:spacing w:line="360" w:lineRule="auto"/>
              <w:rPr>
                <w:rFonts w:hint="eastAsia" w:ascii="宋体" w:hAnsi="宋体" w:eastAsia="宋体"/>
                <w:szCs w:val="21"/>
              </w:rPr>
            </w:pPr>
            <w:r>
              <w:rPr>
                <w:rFonts w:hint="eastAsia" w:ascii="宋体" w:hAnsi="宋体" w:eastAsia="宋体"/>
                <w:szCs w:val="21"/>
              </w:rPr>
              <w:t>详见产品手册 4.1.7.5</w:t>
            </w:r>
          </w:p>
        </w:tc>
      </w:tr>
      <w:tr w14:paraId="5F15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restart"/>
            <w:noWrap/>
          </w:tcPr>
          <w:p w14:paraId="53E599D0">
            <w:pPr>
              <w:spacing w:line="360" w:lineRule="auto"/>
              <w:rPr>
                <w:rFonts w:hint="eastAsia" w:ascii="宋体" w:hAnsi="宋体" w:eastAsia="宋体"/>
                <w:szCs w:val="21"/>
              </w:rPr>
            </w:pPr>
            <w:r>
              <w:rPr>
                <w:rFonts w:hint="eastAsia" w:ascii="宋体" w:hAnsi="宋体" w:eastAsia="宋体"/>
                <w:szCs w:val="21"/>
              </w:rPr>
              <w:t>3.2.1.9费用管理</w:t>
            </w:r>
          </w:p>
        </w:tc>
        <w:tc>
          <w:tcPr>
            <w:tcW w:w="1275" w:type="dxa"/>
          </w:tcPr>
          <w:p w14:paraId="2A4A90ED">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09A6937E">
            <w:pPr>
              <w:spacing w:line="360" w:lineRule="auto"/>
              <w:rPr>
                <w:rFonts w:hint="eastAsia" w:ascii="宋体" w:hAnsi="宋体" w:eastAsia="宋体"/>
                <w:szCs w:val="21"/>
              </w:rPr>
            </w:pPr>
            <w:r>
              <w:rPr>
                <w:rFonts w:hint="eastAsia" w:ascii="宋体" w:hAnsi="宋体" w:eastAsia="宋体"/>
                <w:szCs w:val="21"/>
              </w:rPr>
              <w:t>1）具备招投标过程中各类费用的支付结算、退还的信息管理及控制后续相关程序等管理功能</w:t>
            </w:r>
          </w:p>
        </w:tc>
        <w:tc>
          <w:tcPr>
            <w:tcW w:w="1780" w:type="dxa"/>
            <w:noWrap/>
          </w:tcPr>
          <w:p w14:paraId="5674EF83">
            <w:pPr>
              <w:spacing w:line="360" w:lineRule="auto"/>
              <w:rPr>
                <w:rFonts w:hint="eastAsia" w:ascii="宋体" w:hAnsi="宋体" w:eastAsia="宋体"/>
                <w:szCs w:val="21"/>
              </w:rPr>
            </w:pPr>
            <w:r>
              <w:rPr>
                <w:rFonts w:hint="eastAsia" w:ascii="宋体" w:hAnsi="宋体" w:eastAsia="宋体"/>
                <w:szCs w:val="21"/>
              </w:rPr>
              <w:t>详见产品手册 4.3</w:t>
            </w:r>
          </w:p>
        </w:tc>
      </w:tr>
      <w:tr w14:paraId="7BAC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EE789B6">
            <w:pPr>
              <w:spacing w:line="360" w:lineRule="auto"/>
              <w:rPr>
                <w:rFonts w:hint="eastAsia" w:ascii="宋体" w:hAnsi="宋体" w:eastAsia="宋体"/>
                <w:szCs w:val="21"/>
              </w:rPr>
            </w:pPr>
          </w:p>
        </w:tc>
        <w:tc>
          <w:tcPr>
            <w:tcW w:w="1275" w:type="dxa"/>
          </w:tcPr>
          <w:p w14:paraId="239AE662">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0884FA39">
            <w:pPr>
              <w:spacing w:line="360" w:lineRule="auto"/>
              <w:rPr>
                <w:rFonts w:hint="eastAsia" w:ascii="宋体" w:hAnsi="宋体" w:eastAsia="宋体"/>
                <w:szCs w:val="21"/>
              </w:rPr>
            </w:pPr>
            <w:r>
              <w:rPr>
                <w:rFonts w:hint="eastAsia" w:ascii="宋体" w:hAnsi="宋体" w:eastAsia="宋体"/>
                <w:szCs w:val="21"/>
              </w:rPr>
              <w:t>2）费用类型包括资格预审文件费用、招标文件费用、投标保证金及其利息、交易服务费等</w:t>
            </w:r>
          </w:p>
        </w:tc>
        <w:tc>
          <w:tcPr>
            <w:tcW w:w="1780" w:type="dxa"/>
            <w:noWrap/>
          </w:tcPr>
          <w:p w14:paraId="70800E28">
            <w:pPr>
              <w:spacing w:line="360" w:lineRule="auto"/>
              <w:rPr>
                <w:rFonts w:hint="eastAsia" w:ascii="宋体" w:hAnsi="宋体" w:eastAsia="宋体"/>
                <w:szCs w:val="21"/>
              </w:rPr>
            </w:pPr>
            <w:r>
              <w:rPr>
                <w:rFonts w:hint="eastAsia" w:ascii="宋体" w:hAnsi="宋体" w:eastAsia="宋体"/>
                <w:szCs w:val="21"/>
              </w:rPr>
              <w:t>详见产品手册 4.3.2</w:t>
            </w:r>
          </w:p>
        </w:tc>
      </w:tr>
      <w:tr w14:paraId="20A2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2F7C9CE">
            <w:pPr>
              <w:spacing w:line="360" w:lineRule="auto"/>
              <w:rPr>
                <w:rFonts w:hint="eastAsia" w:ascii="宋体" w:hAnsi="宋体" w:eastAsia="宋体"/>
                <w:szCs w:val="21"/>
              </w:rPr>
            </w:pPr>
          </w:p>
        </w:tc>
        <w:tc>
          <w:tcPr>
            <w:tcW w:w="1275" w:type="dxa"/>
          </w:tcPr>
          <w:p w14:paraId="4705AEFD">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401700DE">
            <w:pPr>
              <w:spacing w:line="360" w:lineRule="auto"/>
              <w:rPr>
                <w:rFonts w:hint="eastAsia" w:ascii="宋体" w:hAnsi="宋体" w:eastAsia="宋体"/>
                <w:szCs w:val="21"/>
              </w:rPr>
            </w:pPr>
            <w:r>
              <w:rPr>
                <w:rFonts w:hint="eastAsia" w:ascii="宋体" w:hAnsi="宋体" w:eastAsia="宋体"/>
                <w:szCs w:val="21"/>
              </w:rPr>
              <w:t>3）具备选择多种支付结算方式的功能</w:t>
            </w:r>
          </w:p>
        </w:tc>
        <w:tc>
          <w:tcPr>
            <w:tcW w:w="1780" w:type="dxa"/>
            <w:noWrap/>
          </w:tcPr>
          <w:p w14:paraId="4D892023">
            <w:pPr>
              <w:spacing w:line="360" w:lineRule="auto"/>
              <w:rPr>
                <w:rFonts w:hint="eastAsia" w:ascii="宋体" w:hAnsi="宋体" w:eastAsia="宋体"/>
                <w:szCs w:val="21"/>
              </w:rPr>
            </w:pPr>
            <w:r>
              <w:rPr>
                <w:rFonts w:hint="eastAsia" w:ascii="宋体" w:hAnsi="宋体" w:eastAsia="宋体"/>
                <w:szCs w:val="21"/>
              </w:rPr>
              <w:t>详见产品手册 4.3</w:t>
            </w:r>
          </w:p>
        </w:tc>
      </w:tr>
      <w:tr w14:paraId="2DB6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C4FDF9E">
            <w:pPr>
              <w:spacing w:line="360" w:lineRule="auto"/>
              <w:rPr>
                <w:rFonts w:hint="eastAsia" w:ascii="宋体" w:hAnsi="宋体" w:eastAsia="宋体"/>
                <w:szCs w:val="21"/>
              </w:rPr>
            </w:pPr>
          </w:p>
        </w:tc>
        <w:tc>
          <w:tcPr>
            <w:tcW w:w="1275" w:type="dxa"/>
          </w:tcPr>
          <w:p w14:paraId="3F426081">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707CFFDD">
            <w:pPr>
              <w:spacing w:line="360" w:lineRule="auto"/>
              <w:rPr>
                <w:rFonts w:hint="eastAsia" w:ascii="宋体" w:hAnsi="宋体" w:eastAsia="宋体"/>
                <w:szCs w:val="21"/>
              </w:rPr>
            </w:pPr>
            <w:r>
              <w:rPr>
                <w:rFonts w:hint="eastAsia" w:ascii="宋体" w:hAnsi="宋体" w:eastAsia="宋体"/>
                <w:szCs w:val="21"/>
              </w:rPr>
              <w:t>4）具备支持网上电子支付结算的功能</w:t>
            </w:r>
          </w:p>
        </w:tc>
        <w:tc>
          <w:tcPr>
            <w:tcW w:w="1780" w:type="dxa"/>
            <w:noWrap/>
          </w:tcPr>
          <w:p w14:paraId="0670BAAC">
            <w:pPr>
              <w:spacing w:line="360" w:lineRule="auto"/>
              <w:rPr>
                <w:rFonts w:hint="eastAsia" w:ascii="宋体" w:hAnsi="宋体" w:eastAsia="宋体"/>
                <w:szCs w:val="21"/>
              </w:rPr>
            </w:pPr>
            <w:r>
              <w:rPr>
                <w:rFonts w:hint="eastAsia" w:ascii="宋体" w:hAnsi="宋体" w:eastAsia="宋体"/>
                <w:szCs w:val="21"/>
              </w:rPr>
              <w:t>详见产品手册 4.3.3</w:t>
            </w:r>
          </w:p>
        </w:tc>
      </w:tr>
      <w:tr w14:paraId="4B9C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restart"/>
            <w:noWrap/>
          </w:tcPr>
          <w:p w14:paraId="3D711CF8">
            <w:pPr>
              <w:spacing w:line="360" w:lineRule="auto"/>
              <w:rPr>
                <w:rFonts w:hint="eastAsia" w:ascii="宋体" w:hAnsi="宋体" w:eastAsia="宋体"/>
                <w:szCs w:val="21"/>
              </w:rPr>
            </w:pPr>
            <w:r>
              <w:rPr>
                <w:rFonts w:hint="eastAsia" w:ascii="宋体" w:hAnsi="宋体" w:eastAsia="宋体"/>
                <w:szCs w:val="21"/>
              </w:rPr>
              <w:t>3.2.1.10异议管理</w:t>
            </w:r>
          </w:p>
        </w:tc>
        <w:tc>
          <w:tcPr>
            <w:tcW w:w="1275" w:type="dxa"/>
          </w:tcPr>
          <w:p w14:paraId="37712897">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0B2F022C">
            <w:pPr>
              <w:spacing w:line="360" w:lineRule="auto"/>
              <w:rPr>
                <w:rFonts w:hint="eastAsia" w:ascii="宋体" w:hAnsi="宋体" w:eastAsia="宋体"/>
                <w:szCs w:val="21"/>
              </w:rPr>
            </w:pPr>
            <w:r>
              <w:rPr>
                <w:rFonts w:hint="eastAsia" w:ascii="宋体" w:hAnsi="宋体" w:eastAsia="宋体"/>
                <w:szCs w:val="21"/>
              </w:rPr>
              <w:t>1）具备投标人对资格预审文件、招标文件、开标过程、资格预审结果、评标结果按规定的时间提出异议的功能</w:t>
            </w:r>
          </w:p>
        </w:tc>
        <w:tc>
          <w:tcPr>
            <w:tcW w:w="1780" w:type="dxa"/>
            <w:noWrap/>
          </w:tcPr>
          <w:p w14:paraId="2573193E">
            <w:pPr>
              <w:spacing w:line="360" w:lineRule="auto"/>
              <w:rPr>
                <w:rFonts w:hint="eastAsia" w:ascii="宋体" w:hAnsi="宋体" w:eastAsia="宋体"/>
                <w:szCs w:val="21"/>
              </w:rPr>
            </w:pPr>
            <w:r>
              <w:rPr>
                <w:rFonts w:hint="eastAsia" w:ascii="宋体" w:hAnsi="宋体" w:eastAsia="宋体"/>
                <w:szCs w:val="21"/>
              </w:rPr>
              <w:t>详见产品手册 4.1.8.2</w:t>
            </w:r>
          </w:p>
        </w:tc>
      </w:tr>
      <w:tr w14:paraId="1432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1D327A8">
            <w:pPr>
              <w:spacing w:line="360" w:lineRule="auto"/>
              <w:rPr>
                <w:rFonts w:hint="eastAsia" w:ascii="宋体" w:hAnsi="宋体" w:eastAsia="宋体"/>
                <w:szCs w:val="21"/>
              </w:rPr>
            </w:pPr>
          </w:p>
        </w:tc>
        <w:tc>
          <w:tcPr>
            <w:tcW w:w="1275" w:type="dxa"/>
          </w:tcPr>
          <w:p w14:paraId="5CA53C6F">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4A0C5773">
            <w:pPr>
              <w:spacing w:line="360" w:lineRule="auto"/>
              <w:rPr>
                <w:rFonts w:hint="eastAsia" w:ascii="宋体" w:hAnsi="宋体" w:eastAsia="宋体"/>
                <w:szCs w:val="21"/>
              </w:rPr>
            </w:pPr>
            <w:r>
              <w:rPr>
                <w:rFonts w:hint="eastAsia" w:ascii="宋体" w:hAnsi="宋体" w:eastAsia="宋体"/>
                <w:szCs w:val="21"/>
              </w:rPr>
              <w:t>2）具备招标人在规定的时间内答复投标人异议的功能</w:t>
            </w:r>
          </w:p>
        </w:tc>
        <w:tc>
          <w:tcPr>
            <w:tcW w:w="1780" w:type="dxa"/>
            <w:noWrap/>
          </w:tcPr>
          <w:p w14:paraId="5683AA8C">
            <w:pPr>
              <w:spacing w:line="360" w:lineRule="auto"/>
              <w:rPr>
                <w:rFonts w:hint="eastAsia" w:ascii="宋体" w:hAnsi="宋体" w:eastAsia="宋体"/>
                <w:szCs w:val="21"/>
              </w:rPr>
            </w:pPr>
            <w:r>
              <w:rPr>
                <w:rFonts w:hint="eastAsia" w:ascii="宋体" w:hAnsi="宋体" w:eastAsia="宋体"/>
                <w:szCs w:val="21"/>
              </w:rPr>
              <w:t>详见产品手册 4.1.8.1</w:t>
            </w:r>
          </w:p>
        </w:tc>
      </w:tr>
      <w:tr w14:paraId="44FB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restart"/>
            <w:noWrap/>
          </w:tcPr>
          <w:p w14:paraId="74395DC8">
            <w:pPr>
              <w:spacing w:line="360" w:lineRule="auto"/>
              <w:rPr>
                <w:rFonts w:hint="eastAsia" w:ascii="宋体" w:hAnsi="宋体" w:eastAsia="宋体"/>
                <w:szCs w:val="21"/>
              </w:rPr>
            </w:pPr>
            <w:r>
              <w:rPr>
                <w:rFonts w:hint="eastAsia" w:ascii="宋体" w:hAnsi="宋体" w:eastAsia="宋体"/>
                <w:szCs w:val="21"/>
              </w:rPr>
              <w:t>3.2.1.11招标异常管理</w:t>
            </w:r>
          </w:p>
        </w:tc>
        <w:tc>
          <w:tcPr>
            <w:tcW w:w="1275" w:type="dxa"/>
          </w:tcPr>
          <w:p w14:paraId="57CFBE43">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57C2ECE0">
            <w:pPr>
              <w:spacing w:line="360" w:lineRule="auto"/>
              <w:rPr>
                <w:rFonts w:hint="eastAsia" w:ascii="宋体" w:hAnsi="宋体" w:eastAsia="宋体"/>
                <w:szCs w:val="21"/>
              </w:rPr>
            </w:pPr>
            <w:r>
              <w:rPr>
                <w:rFonts w:hint="eastAsia" w:ascii="宋体" w:hAnsi="宋体" w:eastAsia="宋体"/>
                <w:szCs w:val="21"/>
              </w:rPr>
              <w:t>1）具备招标终止功能及招标终止公告的编辑、提交和发布功能</w:t>
            </w:r>
          </w:p>
        </w:tc>
        <w:tc>
          <w:tcPr>
            <w:tcW w:w="1780" w:type="dxa"/>
            <w:noWrap/>
          </w:tcPr>
          <w:p w14:paraId="6C0633BA">
            <w:pPr>
              <w:spacing w:line="360" w:lineRule="auto"/>
              <w:rPr>
                <w:rFonts w:hint="eastAsia" w:ascii="宋体" w:hAnsi="宋体" w:eastAsia="宋体"/>
                <w:szCs w:val="21"/>
              </w:rPr>
            </w:pPr>
            <w:r>
              <w:rPr>
                <w:rFonts w:hint="eastAsia" w:ascii="宋体" w:hAnsi="宋体" w:eastAsia="宋体"/>
                <w:szCs w:val="21"/>
              </w:rPr>
              <w:t>详见产品手册 4.1.9.1</w:t>
            </w:r>
          </w:p>
        </w:tc>
      </w:tr>
      <w:tr w14:paraId="3D06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14:paraId="769505DF">
            <w:pPr>
              <w:spacing w:line="360" w:lineRule="auto"/>
              <w:rPr>
                <w:rFonts w:hint="eastAsia" w:ascii="宋体" w:hAnsi="宋体" w:eastAsia="宋体"/>
                <w:szCs w:val="21"/>
              </w:rPr>
            </w:pPr>
          </w:p>
        </w:tc>
        <w:tc>
          <w:tcPr>
            <w:tcW w:w="1275" w:type="dxa"/>
          </w:tcPr>
          <w:p w14:paraId="4E0F2968">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36B45C1D">
            <w:pPr>
              <w:spacing w:line="360" w:lineRule="auto"/>
              <w:rPr>
                <w:rFonts w:hint="eastAsia" w:ascii="宋体" w:hAnsi="宋体" w:eastAsia="宋体"/>
                <w:szCs w:val="21"/>
              </w:rPr>
            </w:pPr>
            <w:r>
              <w:rPr>
                <w:rFonts w:hint="eastAsia" w:ascii="宋体" w:hAnsi="宋体" w:eastAsia="宋体"/>
                <w:szCs w:val="21"/>
              </w:rPr>
              <w:t>2）具备重新发布招标公告或资格预审公告、资格预审文件或招标文件，并保留已完成招标程序的相关数据的功能</w:t>
            </w:r>
          </w:p>
        </w:tc>
        <w:tc>
          <w:tcPr>
            <w:tcW w:w="1780" w:type="dxa"/>
            <w:noWrap/>
          </w:tcPr>
          <w:p w14:paraId="403E9C80">
            <w:pPr>
              <w:spacing w:line="360" w:lineRule="auto"/>
              <w:rPr>
                <w:rFonts w:hint="eastAsia" w:ascii="宋体" w:hAnsi="宋体" w:eastAsia="宋体"/>
                <w:szCs w:val="21"/>
              </w:rPr>
            </w:pPr>
            <w:r>
              <w:rPr>
                <w:rFonts w:hint="eastAsia" w:ascii="宋体" w:hAnsi="宋体" w:eastAsia="宋体"/>
                <w:szCs w:val="21"/>
              </w:rPr>
              <w:t>详见产品手册 4.1.9.2</w:t>
            </w:r>
          </w:p>
        </w:tc>
      </w:tr>
      <w:tr w14:paraId="1577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restart"/>
            <w:noWrap/>
          </w:tcPr>
          <w:p w14:paraId="46AB6EFB">
            <w:pPr>
              <w:spacing w:line="360" w:lineRule="auto"/>
              <w:rPr>
                <w:rFonts w:hint="eastAsia" w:ascii="宋体" w:hAnsi="宋体" w:eastAsia="宋体"/>
                <w:szCs w:val="21"/>
              </w:rPr>
            </w:pPr>
            <w:r>
              <w:rPr>
                <w:rFonts w:hint="eastAsia" w:ascii="宋体" w:hAnsi="宋体" w:eastAsia="宋体"/>
                <w:szCs w:val="21"/>
              </w:rPr>
              <w:t>3.2.1.12存档归档管理</w:t>
            </w:r>
          </w:p>
        </w:tc>
        <w:tc>
          <w:tcPr>
            <w:tcW w:w="1275" w:type="dxa"/>
          </w:tcPr>
          <w:p w14:paraId="39CD7E68">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1B7732DA">
            <w:pPr>
              <w:spacing w:line="360" w:lineRule="auto"/>
              <w:rPr>
                <w:rFonts w:hint="eastAsia" w:ascii="宋体" w:hAnsi="宋体" w:eastAsia="宋体"/>
                <w:szCs w:val="21"/>
              </w:rPr>
            </w:pPr>
            <w:r>
              <w:rPr>
                <w:rFonts w:hint="eastAsia" w:ascii="宋体" w:hAnsi="宋体" w:eastAsia="宋体"/>
                <w:szCs w:val="21"/>
              </w:rPr>
              <w:t>1）具备对招标投标数据和文件、活动记录（招投标过程中操作人员和时间）等进行存档信息，可查阅的功能</w:t>
            </w:r>
          </w:p>
        </w:tc>
        <w:tc>
          <w:tcPr>
            <w:tcW w:w="1780" w:type="dxa"/>
            <w:noWrap/>
          </w:tcPr>
          <w:p w14:paraId="46E68B38">
            <w:pPr>
              <w:spacing w:line="360" w:lineRule="auto"/>
              <w:rPr>
                <w:rFonts w:hint="eastAsia" w:ascii="宋体" w:hAnsi="宋体" w:eastAsia="宋体"/>
                <w:szCs w:val="21"/>
              </w:rPr>
            </w:pPr>
            <w:r>
              <w:rPr>
                <w:rFonts w:hint="eastAsia" w:ascii="宋体" w:hAnsi="宋体" w:eastAsia="宋体"/>
                <w:szCs w:val="21"/>
              </w:rPr>
              <w:t>详见产品手册 4.1.10.1</w:t>
            </w:r>
          </w:p>
        </w:tc>
      </w:tr>
      <w:tr w14:paraId="5182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D6AE834">
            <w:pPr>
              <w:spacing w:line="360" w:lineRule="auto"/>
              <w:rPr>
                <w:rFonts w:hint="eastAsia" w:ascii="宋体" w:hAnsi="宋体" w:eastAsia="宋体"/>
                <w:szCs w:val="21"/>
              </w:rPr>
            </w:pPr>
          </w:p>
        </w:tc>
        <w:tc>
          <w:tcPr>
            <w:tcW w:w="1275" w:type="dxa"/>
          </w:tcPr>
          <w:p w14:paraId="795AEDDA">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3063B1AB">
            <w:pPr>
              <w:spacing w:line="360" w:lineRule="auto"/>
              <w:rPr>
                <w:rFonts w:hint="eastAsia" w:ascii="宋体" w:hAnsi="宋体" w:eastAsia="宋体"/>
                <w:szCs w:val="21"/>
              </w:rPr>
            </w:pPr>
            <w:r>
              <w:rPr>
                <w:rFonts w:hint="eastAsia" w:ascii="宋体" w:hAnsi="宋体" w:eastAsia="宋体"/>
                <w:szCs w:val="21"/>
              </w:rPr>
              <w:t>2）具备对存档信息进行分类、整理和归档的功能</w:t>
            </w:r>
          </w:p>
        </w:tc>
        <w:tc>
          <w:tcPr>
            <w:tcW w:w="1780" w:type="dxa"/>
            <w:noWrap/>
          </w:tcPr>
          <w:p w14:paraId="7BA3AF21">
            <w:pPr>
              <w:spacing w:line="360" w:lineRule="auto"/>
              <w:rPr>
                <w:rFonts w:hint="eastAsia" w:ascii="宋体" w:hAnsi="宋体" w:eastAsia="宋体"/>
                <w:szCs w:val="21"/>
              </w:rPr>
            </w:pPr>
            <w:r>
              <w:rPr>
                <w:rFonts w:hint="eastAsia" w:ascii="宋体" w:hAnsi="宋体" w:eastAsia="宋体"/>
                <w:szCs w:val="21"/>
              </w:rPr>
              <w:t>详见产品手册 4.1.10.1</w:t>
            </w:r>
          </w:p>
        </w:tc>
      </w:tr>
      <w:tr w14:paraId="5280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1761D8CB">
            <w:pPr>
              <w:spacing w:line="360" w:lineRule="auto"/>
              <w:rPr>
                <w:rFonts w:hint="eastAsia" w:ascii="宋体" w:hAnsi="宋体" w:eastAsia="宋体"/>
                <w:szCs w:val="21"/>
              </w:rPr>
            </w:pPr>
          </w:p>
        </w:tc>
        <w:tc>
          <w:tcPr>
            <w:tcW w:w="1275" w:type="dxa"/>
          </w:tcPr>
          <w:p w14:paraId="1FC6ADED">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240B3032">
            <w:pPr>
              <w:spacing w:line="360" w:lineRule="auto"/>
              <w:rPr>
                <w:rFonts w:hint="eastAsia" w:ascii="宋体" w:hAnsi="宋体" w:eastAsia="宋体"/>
                <w:szCs w:val="21"/>
              </w:rPr>
            </w:pPr>
            <w:r>
              <w:rPr>
                <w:rFonts w:hint="eastAsia" w:ascii="宋体" w:hAnsi="宋体" w:eastAsia="宋体"/>
                <w:szCs w:val="21"/>
              </w:rPr>
              <w:t>3）具备按权限查阅招标投标数据和文件的功能</w:t>
            </w:r>
          </w:p>
        </w:tc>
        <w:tc>
          <w:tcPr>
            <w:tcW w:w="1780" w:type="dxa"/>
            <w:noWrap/>
          </w:tcPr>
          <w:p w14:paraId="5C44B27F">
            <w:pPr>
              <w:spacing w:line="360" w:lineRule="auto"/>
              <w:rPr>
                <w:rFonts w:hint="eastAsia" w:ascii="宋体" w:hAnsi="宋体" w:eastAsia="宋体"/>
                <w:szCs w:val="21"/>
              </w:rPr>
            </w:pPr>
            <w:r>
              <w:rPr>
                <w:rFonts w:hint="eastAsia" w:ascii="宋体" w:hAnsi="宋体" w:eastAsia="宋体"/>
                <w:szCs w:val="21"/>
              </w:rPr>
              <w:t>详见产品手册 4.1.10.2</w:t>
            </w:r>
          </w:p>
        </w:tc>
      </w:tr>
      <w:tr w14:paraId="494C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C4C9C0A">
            <w:pPr>
              <w:spacing w:line="360" w:lineRule="auto"/>
              <w:rPr>
                <w:rFonts w:hint="eastAsia" w:ascii="宋体" w:hAnsi="宋体" w:eastAsia="宋体"/>
                <w:szCs w:val="21"/>
              </w:rPr>
            </w:pPr>
          </w:p>
        </w:tc>
        <w:tc>
          <w:tcPr>
            <w:tcW w:w="1275" w:type="dxa"/>
          </w:tcPr>
          <w:p w14:paraId="120B016E">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4B428B9D">
            <w:pPr>
              <w:spacing w:line="360" w:lineRule="auto"/>
              <w:rPr>
                <w:rFonts w:hint="eastAsia" w:ascii="宋体" w:hAnsi="宋体" w:eastAsia="宋体"/>
                <w:szCs w:val="21"/>
              </w:rPr>
            </w:pPr>
            <w:r>
              <w:rPr>
                <w:rFonts w:hint="eastAsia" w:ascii="宋体" w:hAnsi="宋体" w:eastAsia="宋体"/>
                <w:szCs w:val="21"/>
              </w:rPr>
              <w:t>4）具备评标全过程录像自投标有效期结束之日起存档6个月以上的功能</w:t>
            </w:r>
          </w:p>
        </w:tc>
        <w:tc>
          <w:tcPr>
            <w:tcW w:w="1780" w:type="dxa"/>
            <w:noWrap/>
          </w:tcPr>
          <w:p w14:paraId="52F2D7C8">
            <w:pPr>
              <w:spacing w:line="360" w:lineRule="auto"/>
              <w:rPr>
                <w:rFonts w:hint="eastAsia" w:ascii="宋体" w:hAnsi="宋体" w:eastAsia="宋体"/>
                <w:szCs w:val="21"/>
              </w:rPr>
            </w:pPr>
            <w:r>
              <w:rPr>
                <w:rFonts w:hint="eastAsia" w:ascii="宋体" w:hAnsi="宋体" w:eastAsia="宋体"/>
                <w:szCs w:val="21"/>
              </w:rPr>
              <w:t>详见产品手册 4.1.10.2</w:t>
            </w:r>
          </w:p>
        </w:tc>
      </w:tr>
      <w:tr w14:paraId="7E0F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restart"/>
            <w:noWrap/>
          </w:tcPr>
          <w:p w14:paraId="283A078F">
            <w:pPr>
              <w:spacing w:line="360" w:lineRule="auto"/>
              <w:rPr>
                <w:rFonts w:hint="eastAsia" w:ascii="宋体" w:hAnsi="宋体" w:eastAsia="宋体"/>
                <w:szCs w:val="21"/>
              </w:rPr>
            </w:pPr>
            <w:r>
              <w:rPr>
                <w:rFonts w:hint="eastAsia" w:ascii="宋体" w:hAnsi="宋体" w:eastAsia="宋体"/>
                <w:szCs w:val="21"/>
              </w:rPr>
              <w:t>3.2.1.13信息资源库管理</w:t>
            </w:r>
          </w:p>
        </w:tc>
        <w:tc>
          <w:tcPr>
            <w:tcW w:w="1275" w:type="dxa"/>
            <w:vMerge w:val="restart"/>
          </w:tcPr>
          <w:p w14:paraId="5540C513">
            <w:pPr>
              <w:spacing w:line="360" w:lineRule="auto"/>
              <w:rPr>
                <w:rFonts w:hint="eastAsia" w:ascii="宋体" w:hAnsi="宋体" w:eastAsia="宋体"/>
                <w:szCs w:val="21"/>
              </w:rPr>
            </w:pPr>
            <w:r>
              <w:rPr>
                <w:rFonts w:hint="eastAsia" w:ascii="宋体" w:hAnsi="宋体" w:eastAsia="宋体"/>
                <w:szCs w:val="21"/>
              </w:rPr>
              <w:t>3.2.1.13.1招标项目信息库管理</w:t>
            </w:r>
          </w:p>
        </w:tc>
        <w:tc>
          <w:tcPr>
            <w:tcW w:w="4253" w:type="dxa"/>
          </w:tcPr>
          <w:p w14:paraId="30D558B9">
            <w:pPr>
              <w:spacing w:line="360" w:lineRule="auto"/>
              <w:rPr>
                <w:rFonts w:hint="eastAsia" w:ascii="宋体" w:hAnsi="宋体" w:eastAsia="宋体"/>
                <w:szCs w:val="21"/>
              </w:rPr>
            </w:pPr>
            <w:r>
              <w:rPr>
                <w:rFonts w:hint="eastAsia" w:ascii="宋体" w:hAnsi="宋体" w:eastAsia="宋体"/>
                <w:szCs w:val="21"/>
              </w:rPr>
              <w:t>1）具备招标项目信息的建立和维护的功能</w:t>
            </w:r>
          </w:p>
        </w:tc>
        <w:tc>
          <w:tcPr>
            <w:tcW w:w="1780" w:type="dxa"/>
            <w:noWrap/>
          </w:tcPr>
          <w:p w14:paraId="03B97D7D">
            <w:pPr>
              <w:spacing w:line="360" w:lineRule="auto"/>
              <w:rPr>
                <w:rFonts w:hint="eastAsia" w:ascii="宋体" w:hAnsi="宋体" w:eastAsia="宋体"/>
                <w:szCs w:val="21"/>
              </w:rPr>
            </w:pPr>
            <w:r>
              <w:rPr>
                <w:rFonts w:hint="eastAsia" w:ascii="宋体" w:hAnsi="宋体" w:eastAsia="宋体"/>
                <w:szCs w:val="21"/>
              </w:rPr>
              <w:t>详见产品手册 3.1.1.1</w:t>
            </w:r>
          </w:p>
        </w:tc>
      </w:tr>
      <w:tr w14:paraId="117B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055B716">
            <w:pPr>
              <w:spacing w:line="360" w:lineRule="auto"/>
              <w:rPr>
                <w:rFonts w:hint="eastAsia" w:ascii="宋体" w:hAnsi="宋体" w:eastAsia="宋体"/>
                <w:szCs w:val="21"/>
              </w:rPr>
            </w:pPr>
          </w:p>
        </w:tc>
        <w:tc>
          <w:tcPr>
            <w:tcW w:w="1275" w:type="dxa"/>
            <w:vMerge w:val="continue"/>
          </w:tcPr>
          <w:p w14:paraId="335D9E23">
            <w:pPr>
              <w:spacing w:line="360" w:lineRule="auto"/>
              <w:rPr>
                <w:rFonts w:hint="eastAsia" w:ascii="宋体" w:hAnsi="宋体" w:eastAsia="宋体"/>
                <w:szCs w:val="21"/>
              </w:rPr>
            </w:pPr>
          </w:p>
        </w:tc>
        <w:tc>
          <w:tcPr>
            <w:tcW w:w="4253" w:type="dxa"/>
          </w:tcPr>
          <w:p w14:paraId="298861B5">
            <w:pPr>
              <w:spacing w:line="360" w:lineRule="auto"/>
              <w:rPr>
                <w:rFonts w:hint="eastAsia" w:ascii="宋体" w:hAnsi="宋体" w:eastAsia="宋体"/>
                <w:szCs w:val="21"/>
              </w:rPr>
            </w:pPr>
            <w:r>
              <w:rPr>
                <w:rFonts w:hint="eastAsia" w:ascii="宋体" w:hAnsi="宋体" w:eastAsia="宋体"/>
                <w:szCs w:val="21"/>
              </w:rPr>
              <w:t>2）具备标段（包）与中标信息建立和维护的功能</w:t>
            </w:r>
          </w:p>
        </w:tc>
        <w:tc>
          <w:tcPr>
            <w:tcW w:w="1780" w:type="dxa"/>
            <w:noWrap/>
          </w:tcPr>
          <w:p w14:paraId="7019310C">
            <w:pPr>
              <w:spacing w:line="360" w:lineRule="auto"/>
              <w:rPr>
                <w:rFonts w:hint="eastAsia" w:ascii="宋体" w:hAnsi="宋体" w:eastAsia="宋体"/>
                <w:szCs w:val="21"/>
              </w:rPr>
            </w:pPr>
            <w:r>
              <w:rPr>
                <w:rFonts w:hint="eastAsia" w:ascii="宋体" w:hAnsi="宋体" w:eastAsia="宋体"/>
                <w:szCs w:val="21"/>
              </w:rPr>
              <w:t>详见产品手册 3.1.1.3</w:t>
            </w:r>
          </w:p>
        </w:tc>
      </w:tr>
      <w:tr w14:paraId="039D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49FC064F">
            <w:pPr>
              <w:spacing w:line="360" w:lineRule="auto"/>
              <w:rPr>
                <w:rFonts w:hint="eastAsia" w:ascii="宋体" w:hAnsi="宋体" w:eastAsia="宋体"/>
                <w:szCs w:val="21"/>
              </w:rPr>
            </w:pPr>
          </w:p>
        </w:tc>
        <w:tc>
          <w:tcPr>
            <w:tcW w:w="1275" w:type="dxa"/>
            <w:vMerge w:val="continue"/>
          </w:tcPr>
          <w:p w14:paraId="648ADD90">
            <w:pPr>
              <w:spacing w:line="360" w:lineRule="auto"/>
              <w:rPr>
                <w:rFonts w:hint="eastAsia" w:ascii="宋体" w:hAnsi="宋体" w:eastAsia="宋体"/>
                <w:szCs w:val="21"/>
              </w:rPr>
            </w:pPr>
          </w:p>
        </w:tc>
        <w:tc>
          <w:tcPr>
            <w:tcW w:w="4253" w:type="dxa"/>
          </w:tcPr>
          <w:p w14:paraId="3E62C77C">
            <w:pPr>
              <w:spacing w:line="360" w:lineRule="auto"/>
              <w:rPr>
                <w:rFonts w:hint="eastAsia" w:ascii="宋体" w:hAnsi="宋体" w:eastAsia="宋体"/>
                <w:szCs w:val="21"/>
              </w:rPr>
            </w:pPr>
            <w:r>
              <w:rPr>
                <w:rFonts w:hint="eastAsia" w:ascii="宋体" w:hAnsi="宋体" w:eastAsia="宋体"/>
                <w:szCs w:val="21"/>
              </w:rPr>
              <w:t>3）具备招标项目相关时间信息的建立和维护功能</w:t>
            </w:r>
          </w:p>
        </w:tc>
        <w:tc>
          <w:tcPr>
            <w:tcW w:w="1780" w:type="dxa"/>
            <w:noWrap/>
          </w:tcPr>
          <w:p w14:paraId="6E8BC8A5">
            <w:pPr>
              <w:spacing w:line="360" w:lineRule="auto"/>
              <w:rPr>
                <w:rFonts w:hint="eastAsia" w:ascii="宋体" w:hAnsi="宋体" w:eastAsia="宋体"/>
                <w:szCs w:val="21"/>
              </w:rPr>
            </w:pPr>
            <w:r>
              <w:rPr>
                <w:rFonts w:hint="eastAsia" w:ascii="宋体" w:hAnsi="宋体" w:eastAsia="宋体"/>
                <w:szCs w:val="21"/>
              </w:rPr>
              <w:t>详见产品手册 3.1.1.</w:t>
            </w:r>
            <w:r>
              <w:rPr>
                <w:rFonts w:ascii="宋体" w:hAnsi="宋体" w:eastAsia="宋体"/>
                <w:szCs w:val="21"/>
              </w:rPr>
              <w:t>2</w:t>
            </w:r>
          </w:p>
        </w:tc>
      </w:tr>
      <w:tr w14:paraId="3308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55293A4">
            <w:pPr>
              <w:spacing w:line="360" w:lineRule="auto"/>
              <w:rPr>
                <w:rFonts w:hint="eastAsia" w:ascii="宋体" w:hAnsi="宋体" w:eastAsia="宋体"/>
                <w:szCs w:val="21"/>
              </w:rPr>
            </w:pPr>
          </w:p>
        </w:tc>
        <w:tc>
          <w:tcPr>
            <w:tcW w:w="1275" w:type="dxa"/>
            <w:vMerge w:val="restart"/>
          </w:tcPr>
          <w:p w14:paraId="0BF6CCDA">
            <w:pPr>
              <w:spacing w:line="360" w:lineRule="auto"/>
              <w:rPr>
                <w:rFonts w:hint="eastAsia" w:ascii="宋体" w:hAnsi="宋体" w:eastAsia="宋体"/>
                <w:szCs w:val="21"/>
              </w:rPr>
            </w:pPr>
            <w:r>
              <w:rPr>
                <w:rFonts w:hint="eastAsia" w:ascii="宋体" w:hAnsi="宋体" w:eastAsia="宋体"/>
                <w:szCs w:val="21"/>
              </w:rPr>
              <w:t>3.2.1.13.2招标人信息库管理</w:t>
            </w:r>
          </w:p>
        </w:tc>
        <w:tc>
          <w:tcPr>
            <w:tcW w:w="4253" w:type="dxa"/>
          </w:tcPr>
          <w:p w14:paraId="161D8B9C">
            <w:pPr>
              <w:spacing w:line="360" w:lineRule="auto"/>
              <w:rPr>
                <w:rFonts w:hint="eastAsia" w:ascii="宋体" w:hAnsi="宋体" w:eastAsia="宋体"/>
                <w:szCs w:val="21"/>
              </w:rPr>
            </w:pPr>
            <w:r>
              <w:rPr>
                <w:rFonts w:hint="eastAsia" w:ascii="宋体" w:hAnsi="宋体" w:eastAsia="宋体"/>
                <w:szCs w:val="21"/>
              </w:rPr>
              <w:t>1）具备招标人信息建立和维护的功能</w:t>
            </w:r>
          </w:p>
        </w:tc>
        <w:tc>
          <w:tcPr>
            <w:tcW w:w="1780" w:type="dxa"/>
            <w:noWrap/>
          </w:tcPr>
          <w:p w14:paraId="06818CEF">
            <w:pPr>
              <w:spacing w:line="360" w:lineRule="auto"/>
              <w:rPr>
                <w:rFonts w:hint="eastAsia" w:ascii="宋体" w:hAnsi="宋体" w:eastAsia="宋体"/>
                <w:szCs w:val="21"/>
              </w:rPr>
            </w:pPr>
            <w:r>
              <w:rPr>
                <w:rFonts w:hint="eastAsia" w:ascii="宋体" w:hAnsi="宋体" w:eastAsia="宋体"/>
                <w:szCs w:val="21"/>
              </w:rPr>
              <w:t>详见产品手册 3.2.1</w:t>
            </w:r>
          </w:p>
        </w:tc>
      </w:tr>
      <w:tr w14:paraId="690C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61B9CEC8">
            <w:pPr>
              <w:spacing w:line="360" w:lineRule="auto"/>
              <w:rPr>
                <w:rFonts w:hint="eastAsia" w:ascii="宋体" w:hAnsi="宋体" w:eastAsia="宋体"/>
                <w:szCs w:val="21"/>
              </w:rPr>
            </w:pPr>
          </w:p>
        </w:tc>
        <w:tc>
          <w:tcPr>
            <w:tcW w:w="1275" w:type="dxa"/>
            <w:vMerge w:val="continue"/>
          </w:tcPr>
          <w:p w14:paraId="303ECA84">
            <w:pPr>
              <w:spacing w:line="360" w:lineRule="auto"/>
              <w:rPr>
                <w:rFonts w:hint="eastAsia" w:ascii="宋体" w:hAnsi="宋体" w:eastAsia="宋体"/>
                <w:szCs w:val="21"/>
              </w:rPr>
            </w:pPr>
          </w:p>
        </w:tc>
        <w:tc>
          <w:tcPr>
            <w:tcW w:w="4253" w:type="dxa"/>
          </w:tcPr>
          <w:p w14:paraId="73EBE717">
            <w:pPr>
              <w:spacing w:line="360" w:lineRule="auto"/>
              <w:rPr>
                <w:rFonts w:hint="eastAsia" w:ascii="宋体" w:hAnsi="宋体" w:eastAsia="宋体"/>
                <w:szCs w:val="21"/>
              </w:rPr>
            </w:pPr>
            <w:r>
              <w:rPr>
                <w:rFonts w:hint="eastAsia" w:ascii="宋体" w:hAnsi="宋体" w:eastAsia="宋体"/>
                <w:szCs w:val="21"/>
              </w:rPr>
              <w:t>2）具备招标人信息管理的功能</w:t>
            </w:r>
          </w:p>
        </w:tc>
        <w:tc>
          <w:tcPr>
            <w:tcW w:w="1780" w:type="dxa"/>
            <w:noWrap/>
          </w:tcPr>
          <w:p w14:paraId="3C0D65F3">
            <w:pPr>
              <w:spacing w:line="360" w:lineRule="auto"/>
              <w:rPr>
                <w:rFonts w:hint="eastAsia" w:ascii="宋体" w:hAnsi="宋体" w:eastAsia="宋体"/>
                <w:szCs w:val="21"/>
              </w:rPr>
            </w:pPr>
            <w:r>
              <w:rPr>
                <w:rFonts w:hint="eastAsia" w:ascii="宋体" w:hAnsi="宋体" w:eastAsia="宋体"/>
                <w:szCs w:val="21"/>
              </w:rPr>
              <w:t>详见产品手册 3.2.2</w:t>
            </w:r>
          </w:p>
        </w:tc>
      </w:tr>
      <w:tr w14:paraId="15EA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31E7C8C7">
            <w:pPr>
              <w:spacing w:line="360" w:lineRule="auto"/>
              <w:rPr>
                <w:rFonts w:hint="eastAsia" w:ascii="宋体" w:hAnsi="宋体" w:eastAsia="宋体"/>
                <w:szCs w:val="21"/>
              </w:rPr>
            </w:pPr>
          </w:p>
        </w:tc>
        <w:tc>
          <w:tcPr>
            <w:tcW w:w="1275" w:type="dxa"/>
            <w:vMerge w:val="continue"/>
          </w:tcPr>
          <w:p w14:paraId="240E47FF">
            <w:pPr>
              <w:spacing w:line="360" w:lineRule="auto"/>
              <w:rPr>
                <w:rFonts w:hint="eastAsia" w:ascii="宋体" w:hAnsi="宋体" w:eastAsia="宋体"/>
                <w:szCs w:val="21"/>
              </w:rPr>
            </w:pPr>
          </w:p>
        </w:tc>
        <w:tc>
          <w:tcPr>
            <w:tcW w:w="4253" w:type="dxa"/>
          </w:tcPr>
          <w:p w14:paraId="52ECC2F9">
            <w:pPr>
              <w:spacing w:line="360" w:lineRule="auto"/>
              <w:rPr>
                <w:rFonts w:hint="eastAsia" w:ascii="宋体" w:hAnsi="宋体" w:eastAsia="宋体"/>
                <w:szCs w:val="21"/>
              </w:rPr>
            </w:pPr>
            <w:r>
              <w:rPr>
                <w:rFonts w:hint="eastAsia" w:ascii="宋体" w:hAnsi="宋体" w:eastAsia="宋体"/>
                <w:szCs w:val="21"/>
              </w:rPr>
              <w:t>3）具备招标人信息的检索和统计分析的功能</w:t>
            </w:r>
          </w:p>
        </w:tc>
        <w:tc>
          <w:tcPr>
            <w:tcW w:w="1780" w:type="dxa"/>
            <w:noWrap/>
          </w:tcPr>
          <w:p w14:paraId="6000B348">
            <w:pPr>
              <w:spacing w:line="360" w:lineRule="auto"/>
              <w:rPr>
                <w:rFonts w:hint="eastAsia" w:ascii="宋体" w:hAnsi="宋体" w:eastAsia="宋体"/>
                <w:szCs w:val="21"/>
              </w:rPr>
            </w:pPr>
            <w:r>
              <w:rPr>
                <w:rFonts w:hint="eastAsia" w:ascii="宋体" w:hAnsi="宋体" w:eastAsia="宋体"/>
                <w:szCs w:val="21"/>
              </w:rPr>
              <w:t>详见产品手册 3.2.3</w:t>
            </w:r>
          </w:p>
        </w:tc>
      </w:tr>
      <w:tr w14:paraId="2512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675862AD">
            <w:pPr>
              <w:spacing w:line="360" w:lineRule="auto"/>
              <w:rPr>
                <w:rFonts w:hint="eastAsia" w:ascii="宋体" w:hAnsi="宋体" w:eastAsia="宋体"/>
                <w:szCs w:val="21"/>
              </w:rPr>
            </w:pPr>
          </w:p>
        </w:tc>
        <w:tc>
          <w:tcPr>
            <w:tcW w:w="1275" w:type="dxa"/>
            <w:vMerge w:val="restart"/>
          </w:tcPr>
          <w:p w14:paraId="44CE79A3">
            <w:pPr>
              <w:spacing w:line="360" w:lineRule="auto"/>
              <w:rPr>
                <w:rFonts w:hint="eastAsia" w:ascii="宋体" w:hAnsi="宋体" w:eastAsia="宋体"/>
                <w:szCs w:val="21"/>
              </w:rPr>
            </w:pPr>
            <w:r>
              <w:rPr>
                <w:rFonts w:hint="eastAsia" w:ascii="宋体" w:hAnsi="宋体" w:eastAsia="宋体"/>
                <w:szCs w:val="21"/>
              </w:rPr>
              <w:t>3.2.1.13.3招标代理机构信息库管理</w:t>
            </w:r>
          </w:p>
        </w:tc>
        <w:tc>
          <w:tcPr>
            <w:tcW w:w="4253" w:type="dxa"/>
          </w:tcPr>
          <w:p w14:paraId="401D468B">
            <w:pPr>
              <w:spacing w:line="360" w:lineRule="auto"/>
              <w:rPr>
                <w:rFonts w:hint="eastAsia" w:ascii="宋体" w:hAnsi="宋体" w:eastAsia="宋体"/>
                <w:szCs w:val="21"/>
              </w:rPr>
            </w:pPr>
            <w:r>
              <w:rPr>
                <w:rFonts w:hint="eastAsia" w:ascii="宋体" w:hAnsi="宋体" w:eastAsia="宋体"/>
                <w:szCs w:val="21"/>
              </w:rPr>
              <w:t>1）具备招标代理机构信息建立和维护的功能</w:t>
            </w:r>
          </w:p>
        </w:tc>
        <w:tc>
          <w:tcPr>
            <w:tcW w:w="1780" w:type="dxa"/>
            <w:noWrap/>
          </w:tcPr>
          <w:p w14:paraId="3E2824A7">
            <w:pPr>
              <w:spacing w:line="360" w:lineRule="auto"/>
              <w:rPr>
                <w:rFonts w:hint="eastAsia" w:ascii="宋体" w:hAnsi="宋体" w:eastAsia="宋体"/>
                <w:szCs w:val="21"/>
              </w:rPr>
            </w:pPr>
            <w:r>
              <w:rPr>
                <w:rFonts w:hint="eastAsia" w:ascii="宋体" w:hAnsi="宋体" w:eastAsia="宋体"/>
                <w:szCs w:val="21"/>
              </w:rPr>
              <w:t>详见产品手册 3.3.1</w:t>
            </w:r>
          </w:p>
        </w:tc>
      </w:tr>
      <w:tr w14:paraId="7370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2F03442">
            <w:pPr>
              <w:spacing w:line="360" w:lineRule="auto"/>
              <w:rPr>
                <w:rFonts w:hint="eastAsia" w:ascii="宋体" w:hAnsi="宋体" w:eastAsia="宋体"/>
                <w:szCs w:val="21"/>
              </w:rPr>
            </w:pPr>
          </w:p>
        </w:tc>
        <w:tc>
          <w:tcPr>
            <w:tcW w:w="1275" w:type="dxa"/>
            <w:vMerge w:val="continue"/>
          </w:tcPr>
          <w:p w14:paraId="3411BFCA">
            <w:pPr>
              <w:spacing w:line="360" w:lineRule="auto"/>
              <w:rPr>
                <w:rFonts w:hint="eastAsia" w:ascii="宋体" w:hAnsi="宋体" w:eastAsia="宋体"/>
                <w:szCs w:val="21"/>
              </w:rPr>
            </w:pPr>
          </w:p>
        </w:tc>
        <w:tc>
          <w:tcPr>
            <w:tcW w:w="4253" w:type="dxa"/>
          </w:tcPr>
          <w:p w14:paraId="27F76CDE">
            <w:pPr>
              <w:spacing w:line="360" w:lineRule="auto"/>
              <w:rPr>
                <w:rFonts w:hint="eastAsia" w:ascii="宋体" w:hAnsi="宋体" w:eastAsia="宋体"/>
                <w:szCs w:val="21"/>
              </w:rPr>
            </w:pPr>
            <w:r>
              <w:rPr>
                <w:rFonts w:hint="eastAsia" w:ascii="宋体" w:hAnsi="宋体" w:eastAsia="宋体"/>
                <w:szCs w:val="21"/>
              </w:rPr>
              <w:t>2）具备招标代理机构信息管理和服务评价的功能</w:t>
            </w:r>
          </w:p>
        </w:tc>
        <w:tc>
          <w:tcPr>
            <w:tcW w:w="1780" w:type="dxa"/>
            <w:noWrap/>
          </w:tcPr>
          <w:p w14:paraId="5A185B3C">
            <w:pPr>
              <w:spacing w:line="360" w:lineRule="auto"/>
              <w:rPr>
                <w:rFonts w:hint="eastAsia" w:ascii="宋体" w:hAnsi="宋体" w:eastAsia="宋体"/>
                <w:szCs w:val="21"/>
              </w:rPr>
            </w:pPr>
            <w:r>
              <w:rPr>
                <w:rFonts w:hint="eastAsia" w:ascii="宋体" w:hAnsi="宋体" w:eastAsia="宋体"/>
                <w:szCs w:val="21"/>
              </w:rPr>
              <w:t>详见产品手册 3.3.2至3.3.3</w:t>
            </w:r>
          </w:p>
        </w:tc>
      </w:tr>
      <w:tr w14:paraId="32C6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50C504ED">
            <w:pPr>
              <w:spacing w:line="360" w:lineRule="auto"/>
              <w:rPr>
                <w:rFonts w:hint="eastAsia" w:ascii="宋体" w:hAnsi="宋体" w:eastAsia="宋体"/>
                <w:szCs w:val="21"/>
              </w:rPr>
            </w:pPr>
          </w:p>
        </w:tc>
        <w:tc>
          <w:tcPr>
            <w:tcW w:w="1275" w:type="dxa"/>
            <w:vMerge w:val="continue"/>
          </w:tcPr>
          <w:p w14:paraId="315ACA25">
            <w:pPr>
              <w:spacing w:line="360" w:lineRule="auto"/>
              <w:rPr>
                <w:rFonts w:hint="eastAsia" w:ascii="宋体" w:hAnsi="宋体" w:eastAsia="宋体"/>
                <w:szCs w:val="21"/>
              </w:rPr>
            </w:pPr>
          </w:p>
        </w:tc>
        <w:tc>
          <w:tcPr>
            <w:tcW w:w="4253" w:type="dxa"/>
          </w:tcPr>
          <w:p w14:paraId="0309C350">
            <w:pPr>
              <w:spacing w:line="360" w:lineRule="auto"/>
              <w:rPr>
                <w:rFonts w:hint="eastAsia" w:ascii="宋体" w:hAnsi="宋体" w:eastAsia="宋体"/>
                <w:szCs w:val="21"/>
              </w:rPr>
            </w:pPr>
            <w:r>
              <w:rPr>
                <w:rFonts w:hint="eastAsia" w:ascii="宋体" w:hAnsi="宋体" w:eastAsia="宋体"/>
                <w:szCs w:val="21"/>
              </w:rPr>
              <w:t>3）具备招标人员相关信息管理的功能</w:t>
            </w:r>
          </w:p>
        </w:tc>
        <w:tc>
          <w:tcPr>
            <w:tcW w:w="1780" w:type="dxa"/>
            <w:noWrap/>
          </w:tcPr>
          <w:p w14:paraId="28968DAF">
            <w:pPr>
              <w:spacing w:line="360" w:lineRule="auto"/>
              <w:rPr>
                <w:rFonts w:hint="eastAsia" w:ascii="宋体" w:hAnsi="宋体" w:eastAsia="宋体"/>
                <w:szCs w:val="21"/>
              </w:rPr>
            </w:pPr>
            <w:r>
              <w:rPr>
                <w:rFonts w:hint="eastAsia" w:ascii="宋体" w:hAnsi="宋体" w:eastAsia="宋体"/>
                <w:szCs w:val="21"/>
              </w:rPr>
              <w:t>详见产品手册 3.3.2</w:t>
            </w:r>
          </w:p>
        </w:tc>
      </w:tr>
      <w:tr w14:paraId="2129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A99DC42">
            <w:pPr>
              <w:spacing w:line="360" w:lineRule="auto"/>
              <w:rPr>
                <w:rFonts w:hint="eastAsia" w:ascii="宋体" w:hAnsi="宋体" w:eastAsia="宋体"/>
                <w:szCs w:val="21"/>
              </w:rPr>
            </w:pPr>
          </w:p>
        </w:tc>
        <w:tc>
          <w:tcPr>
            <w:tcW w:w="1275" w:type="dxa"/>
            <w:vMerge w:val="continue"/>
          </w:tcPr>
          <w:p w14:paraId="7BA3DA37">
            <w:pPr>
              <w:spacing w:line="360" w:lineRule="auto"/>
              <w:rPr>
                <w:rFonts w:hint="eastAsia" w:ascii="宋体" w:hAnsi="宋体" w:eastAsia="宋体"/>
                <w:szCs w:val="21"/>
              </w:rPr>
            </w:pPr>
          </w:p>
        </w:tc>
        <w:tc>
          <w:tcPr>
            <w:tcW w:w="4253" w:type="dxa"/>
          </w:tcPr>
          <w:p w14:paraId="57F77520">
            <w:pPr>
              <w:spacing w:line="360" w:lineRule="auto"/>
              <w:rPr>
                <w:rFonts w:hint="eastAsia" w:ascii="宋体" w:hAnsi="宋体" w:eastAsia="宋体"/>
                <w:szCs w:val="21"/>
              </w:rPr>
            </w:pPr>
            <w:r>
              <w:rPr>
                <w:rFonts w:hint="eastAsia" w:ascii="宋体" w:hAnsi="宋体" w:eastAsia="宋体"/>
                <w:szCs w:val="21"/>
              </w:rPr>
              <w:t>4）具备招标代理机构信息的检索和统计分析的功能</w:t>
            </w:r>
          </w:p>
        </w:tc>
        <w:tc>
          <w:tcPr>
            <w:tcW w:w="1780" w:type="dxa"/>
            <w:noWrap/>
          </w:tcPr>
          <w:p w14:paraId="4B554449">
            <w:pPr>
              <w:spacing w:line="360" w:lineRule="auto"/>
              <w:rPr>
                <w:rFonts w:hint="eastAsia" w:ascii="宋体" w:hAnsi="宋体" w:eastAsia="宋体"/>
                <w:szCs w:val="21"/>
              </w:rPr>
            </w:pPr>
            <w:r>
              <w:rPr>
                <w:rFonts w:hint="eastAsia" w:ascii="宋体" w:hAnsi="宋体" w:eastAsia="宋体"/>
                <w:szCs w:val="21"/>
              </w:rPr>
              <w:t>详见产品手册 3.3.2</w:t>
            </w:r>
          </w:p>
        </w:tc>
      </w:tr>
      <w:tr w14:paraId="607A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50573BCA">
            <w:pPr>
              <w:spacing w:line="360" w:lineRule="auto"/>
              <w:rPr>
                <w:rFonts w:hint="eastAsia" w:ascii="宋体" w:hAnsi="宋体" w:eastAsia="宋体"/>
                <w:szCs w:val="21"/>
              </w:rPr>
            </w:pPr>
          </w:p>
        </w:tc>
        <w:tc>
          <w:tcPr>
            <w:tcW w:w="1275" w:type="dxa"/>
            <w:vMerge w:val="restart"/>
          </w:tcPr>
          <w:p w14:paraId="3D9DA4A0">
            <w:pPr>
              <w:spacing w:line="360" w:lineRule="auto"/>
              <w:rPr>
                <w:rFonts w:hint="eastAsia" w:ascii="宋体" w:hAnsi="宋体" w:eastAsia="宋体"/>
                <w:szCs w:val="21"/>
              </w:rPr>
            </w:pPr>
            <w:r>
              <w:rPr>
                <w:rFonts w:hint="eastAsia" w:ascii="宋体" w:hAnsi="宋体" w:eastAsia="宋体"/>
                <w:szCs w:val="21"/>
              </w:rPr>
              <w:t>3.2.1.13.4投标人信息库管理</w:t>
            </w:r>
          </w:p>
        </w:tc>
        <w:tc>
          <w:tcPr>
            <w:tcW w:w="4253" w:type="dxa"/>
          </w:tcPr>
          <w:p w14:paraId="63C16BB5">
            <w:pPr>
              <w:spacing w:line="360" w:lineRule="auto"/>
              <w:rPr>
                <w:rFonts w:hint="eastAsia" w:ascii="宋体" w:hAnsi="宋体" w:eastAsia="宋体"/>
                <w:szCs w:val="21"/>
              </w:rPr>
            </w:pPr>
            <w:r>
              <w:rPr>
                <w:rFonts w:hint="eastAsia" w:ascii="宋体" w:hAnsi="宋体" w:eastAsia="宋体"/>
                <w:szCs w:val="21"/>
              </w:rPr>
              <w:t>1）具备投标人信息建立和维护的功能</w:t>
            </w:r>
          </w:p>
        </w:tc>
        <w:tc>
          <w:tcPr>
            <w:tcW w:w="1780" w:type="dxa"/>
            <w:noWrap/>
          </w:tcPr>
          <w:p w14:paraId="0E4DF9F0">
            <w:pPr>
              <w:spacing w:line="360" w:lineRule="auto"/>
              <w:rPr>
                <w:rFonts w:hint="eastAsia" w:ascii="宋体" w:hAnsi="宋体" w:eastAsia="宋体"/>
                <w:szCs w:val="21"/>
              </w:rPr>
            </w:pPr>
            <w:r>
              <w:rPr>
                <w:rFonts w:hint="eastAsia" w:ascii="宋体" w:hAnsi="宋体" w:eastAsia="宋体"/>
                <w:szCs w:val="21"/>
              </w:rPr>
              <w:t>详见产品手册 3.4.1</w:t>
            </w:r>
          </w:p>
        </w:tc>
      </w:tr>
      <w:tr w14:paraId="6B72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BA9E590">
            <w:pPr>
              <w:spacing w:line="360" w:lineRule="auto"/>
              <w:rPr>
                <w:rFonts w:hint="eastAsia" w:ascii="宋体" w:hAnsi="宋体" w:eastAsia="宋体"/>
                <w:szCs w:val="21"/>
              </w:rPr>
            </w:pPr>
          </w:p>
        </w:tc>
        <w:tc>
          <w:tcPr>
            <w:tcW w:w="1275" w:type="dxa"/>
            <w:vMerge w:val="continue"/>
          </w:tcPr>
          <w:p w14:paraId="4FD8A0CD">
            <w:pPr>
              <w:spacing w:line="360" w:lineRule="auto"/>
              <w:rPr>
                <w:rFonts w:hint="eastAsia" w:ascii="宋体" w:hAnsi="宋体" w:eastAsia="宋体"/>
                <w:szCs w:val="21"/>
              </w:rPr>
            </w:pPr>
          </w:p>
        </w:tc>
        <w:tc>
          <w:tcPr>
            <w:tcW w:w="4253" w:type="dxa"/>
          </w:tcPr>
          <w:p w14:paraId="449DA9FF">
            <w:pPr>
              <w:spacing w:line="360" w:lineRule="auto"/>
              <w:rPr>
                <w:rFonts w:hint="eastAsia" w:ascii="宋体" w:hAnsi="宋体" w:eastAsia="宋体"/>
                <w:szCs w:val="21"/>
              </w:rPr>
            </w:pPr>
            <w:r>
              <w:rPr>
                <w:rFonts w:hint="eastAsia" w:ascii="宋体" w:hAnsi="宋体" w:eastAsia="宋体"/>
                <w:szCs w:val="21"/>
              </w:rPr>
              <w:t>2）具备投标人信息归集的功能</w:t>
            </w:r>
          </w:p>
        </w:tc>
        <w:tc>
          <w:tcPr>
            <w:tcW w:w="1780" w:type="dxa"/>
            <w:noWrap/>
          </w:tcPr>
          <w:p w14:paraId="6F8F6716">
            <w:pPr>
              <w:spacing w:line="360" w:lineRule="auto"/>
              <w:rPr>
                <w:rFonts w:hint="eastAsia" w:ascii="宋体" w:hAnsi="宋体" w:eastAsia="宋体"/>
                <w:szCs w:val="21"/>
              </w:rPr>
            </w:pPr>
            <w:r>
              <w:rPr>
                <w:rFonts w:hint="eastAsia" w:ascii="宋体" w:hAnsi="宋体" w:eastAsia="宋体"/>
                <w:szCs w:val="21"/>
              </w:rPr>
              <w:t>详见产品手册 3.4.2</w:t>
            </w:r>
          </w:p>
        </w:tc>
      </w:tr>
      <w:tr w14:paraId="21A8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2A6970CF">
            <w:pPr>
              <w:spacing w:line="360" w:lineRule="auto"/>
              <w:rPr>
                <w:rFonts w:hint="eastAsia" w:ascii="宋体" w:hAnsi="宋体" w:eastAsia="宋体"/>
                <w:szCs w:val="21"/>
              </w:rPr>
            </w:pPr>
          </w:p>
        </w:tc>
        <w:tc>
          <w:tcPr>
            <w:tcW w:w="1275" w:type="dxa"/>
            <w:vMerge w:val="continue"/>
          </w:tcPr>
          <w:p w14:paraId="2A196FDF">
            <w:pPr>
              <w:spacing w:line="360" w:lineRule="auto"/>
              <w:rPr>
                <w:rFonts w:hint="eastAsia" w:ascii="宋体" w:hAnsi="宋体" w:eastAsia="宋体"/>
                <w:szCs w:val="21"/>
              </w:rPr>
            </w:pPr>
          </w:p>
        </w:tc>
        <w:tc>
          <w:tcPr>
            <w:tcW w:w="4253" w:type="dxa"/>
          </w:tcPr>
          <w:p w14:paraId="2CE57A1B">
            <w:pPr>
              <w:spacing w:line="360" w:lineRule="auto"/>
              <w:rPr>
                <w:rFonts w:hint="eastAsia" w:ascii="宋体" w:hAnsi="宋体" w:eastAsia="宋体"/>
                <w:szCs w:val="21"/>
              </w:rPr>
            </w:pPr>
            <w:r>
              <w:rPr>
                <w:rFonts w:hint="eastAsia" w:ascii="宋体" w:hAnsi="宋体" w:eastAsia="宋体"/>
                <w:szCs w:val="21"/>
              </w:rPr>
              <w:t>3）具备投标人信息的检索和统计分析的功能</w:t>
            </w:r>
          </w:p>
        </w:tc>
        <w:tc>
          <w:tcPr>
            <w:tcW w:w="1780" w:type="dxa"/>
            <w:noWrap/>
          </w:tcPr>
          <w:p w14:paraId="7A8A2B35">
            <w:pPr>
              <w:spacing w:line="360" w:lineRule="auto"/>
              <w:rPr>
                <w:rFonts w:hint="eastAsia" w:ascii="宋体" w:hAnsi="宋体" w:eastAsia="宋体"/>
                <w:szCs w:val="21"/>
              </w:rPr>
            </w:pPr>
            <w:r>
              <w:rPr>
                <w:rFonts w:hint="eastAsia" w:ascii="宋体" w:hAnsi="宋体" w:eastAsia="宋体"/>
                <w:szCs w:val="21"/>
              </w:rPr>
              <w:t>详见产品手册 3.4.2</w:t>
            </w:r>
          </w:p>
        </w:tc>
      </w:tr>
      <w:tr w14:paraId="5252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58A1225C">
            <w:pPr>
              <w:spacing w:line="360" w:lineRule="auto"/>
              <w:rPr>
                <w:rFonts w:hint="eastAsia" w:ascii="宋体" w:hAnsi="宋体" w:eastAsia="宋体"/>
                <w:szCs w:val="21"/>
              </w:rPr>
            </w:pPr>
          </w:p>
        </w:tc>
        <w:tc>
          <w:tcPr>
            <w:tcW w:w="1275" w:type="dxa"/>
            <w:vMerge w:val="continue"/>
          </w:tcPr>
          <w:p w14:paraId="38B0002F">
            <w:pPr>
              <w:spacing w:line="360" w:lineRule="auto"/>
              <w:rPr>
                <w:rFonts w:hint="eastAsia" w:ascii="宋体" w:hAnsi="宋体" w:eastAsia="宋体"/>
                <w:szCs w:val="21"/>
              </w:rPr>
            </w:pPr>
          </w:p>
        </w:tc>
        <w:tc>
          <w:tcPr>
            <w:tcW w:w="4253" w:type="dxa"/>
          </w:tcPr>
          <w:p w14:paraId="5303DFF8">
            <w:pPr>
              <w:spacing w:line="360" w:lineRule="auto"/>
              <w:rPr>
                <w:rFonts w:hint="eastAsia" w:ascii="宋体" w:hAnsi="宋体" w:eastAsia="宋体"/>
                <w:szCs w:val="21"/>
              </w:rPr>
            </w:pPr>
            <w:r>
              <w:rPr>
                <w:rFonts w:hint="eastAsia" w:ascii="宋体" w:hAnsi="宋体" w:eastAsia="宋体"/>
                <w:szCs w:val="21"/>
              </w:rPr>
              <w:t>4）具备投标人黑名单的建立和管理的功能</w:t>
            </w:r>
          </w:p>
        </w:tc>
        <w:tc>
          <w:tcPr>
            <w:tcW w:w="1780" w:type="dxa"/>
            <w:noWrap/>
          </w:tcPr>
          <w:p w14:paraId="56B3FF37">
            <w:pPr>
              <w:spacing w:line="360" w:lineRule="auto"/>
              <w:rPr>
                <w:rFonts w:hint="eastAsia" w:ascii="宋体" w:hAnsi="宋体" w:eastAsia="宋体"/>
                <w:szCs w:val="21"/>
              </w:rPr>
            </w:pPr>
            <w:r>
              <w:rPr>
                <w:rFonts w:hint="eastAsia" w:ascii="宋体" w:hAnsi="宋体" w:eastAsia="宋体"/>
                <w:szCs w:val="21"/>
              </w:rPr>
              <w:t>详见产品手册 3.4.3</w:t>
            </w:r>
          </w:p>
        </w:tc>
      </w:tr>
      <w:tr w14:paraId="71DB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4B48D6CA">
            <w:pPr>
              <w:spacing w:line="360" w:lineRule="auto"/>
              <w:rPr>
                <w:rFonts w:hint="eastAsia" w:ascii="宋体" w:hAnsi="宋体" w:eastAsia="宋体"/>
                <w:szCs w:val="21"/>
              </w:rPr>
            </w:pPr>
          </w:p>
        </w:tc>
        <w:tc>
          <w:tcPr>
            <w:tcW w:w="1275" w:type="dxa"/>
            <w:vMerge w:val="restart"/>
          </w:tcPr>
          <w:p w14:paraId="4464D162">
            <w:pPr>
              <w:spacing w:line="360" w:lineRule="auto"/>
              <w:rPr>
                <w:rFonts w:hint="eastAsia" w:ascii="宋体" w:hAnsi="宋体" w:eastAsia="宋体"/>
                <w:szCs w:val="21"/>
              </w:rPr>
            </w:pPr>
            <w:r>
              <w:rPr>
                <w:rFonts w:hint="eastAsia" w:ascii="宋体" w:hAnsi="宋体" w:eastAsia="宋体"/>
                <w:szCs w:val="21"/>
              </w:rPr>
              <w:t>3.2.1.13.5专家信息库管理</w:t>
            </w:r>
          </w:p>
        </w:tc>
        <w:tc>
          <w:tcPr>
            <w:tcW w:w="4253" w:type="dxa"/>
          </w:tcPr>
          <w:p w14:paraId="6AC179CF">
            <w:pPr>
              <w:spacing w:line="360" w:lineRule="auto"/>
              <w:rPr>
                <w:rFonts w:hint="eastAsia" w:ascii="宋体" w:hAnsi="宋体" w:eastAsia="宋体"/>
                <w:szCs w:val="21"/>
              </w:rPr>
            </w:pPr>
            <w:r>
              <w:rPr>
                <w:rFonts w:hint="eastAsia" w:ascii="宋体" w:hAnsi="宋体" w:eastAsia="宋体"/>
                <w:szCs w:val="21"/>
              </w:rPr>
              <w:t>1）具备专家信息建立和维护的功能</w:t>
            </w:r>
          </w:p>
        </w:tc>
        <w:tc>
          <w:tcPr>
            <w:tcW w:w="1780" w:type="dxa"/>
            <w:noWrap/>
          </w:tcPr>
          <w:p w14:paraId="1B6AF8E8">
            <w:pPr>
              <w:spacing w:line="360" w:lineRule="auto"/>
              <w:rPr>
                <w:rFonts w:hint="eastAsia" w:ascii="宋体" w:hAnsi="宋体" w:eastAsia="宋体"/>
                <w:szCs w:val="21"/>
              </w:rPr>
            </w:pPr>
            <w:r>
              <w:rPr>
                <w:rFonts w:hint="eastAsia" w:ascii="宋体" w:hAnsi="宋体" w:eastAsia="宋体"/>
                <w:szCs w:val="21"/>
              </w:rPr>
              <w:t>详见产品手册 3.5.1</w:t>
            </w:r>
          </w:p>
        </w:tc>
      </w:tr>
      <w:tr w14:paraId="55E9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1009ECEF">
            <w:pPr>
              <w:spacing w:line="360" w:lineRule="auto"/>
              <w:rPr>
                <w:rFonts w:hint="eastAsia" w:ascii="宋体" w:hAnsi="宋体" w:eastAsia="宋体"/>
                <w:szCs w:val="21"/>
              </w:rPr>
            </w:pPr>
          </w:p>
        </w:tc>
        <w:tc>
          <w:tcPr>
            <w:tcW w:w="1275" w:type="dxa"/>
            <w:vMerge w:val="continue"/>
          </w:tcPr>
          <w:p w14:paraId="67D353A1">
            <w:pPr>
              <w:spacing w:line="360" w:lineRule="auto"/>
              <w:rPr>
                <w:rFonts w:hint="eastAsia" w:ascii="宋体" w:hAnsi="宋体" w:eastAsia="宋体"/>
                <w:szCs w:val="21"/>
              </w:rPr>
            </w:pPr>
          </w:p>
        </w:tc>
        <w:tc>
          <w:tcPr>
            <w:tcW w:w="4253" w:type="dxa"/>
          </w:tcPr>
          <w:p w14:paraId="313C3A48">
            <w:pPr>
              <w:spacing w:line="360" w:lineRule="auto"/>
              <w:rPr>
                <w:rFonts w:hint="eastAsia" w:ascii="宋体" w:hAnsi="宋体" w:eastAsia="宋体"/>
                <w:szCs w:val="21"/>
              </w:rPr>
            </w:pPr>
            <w:r>
              <w:rPr>
                <w:rFonts w:hint="eastAsia" w:ascii="宋体" w:hAnsi="宋体" w:eastAsia="宋体"/>
                <w:szCs w:val="21"/>
              </w:rPr>
              <w:t>2）具备记录专家信息入库、变更和审核验证的时间以及责任人的功能</w:t>
            </w:r>
          </w:p>
        </w:tc>
        <w:tc>
          <w:tcPr>
            <w:tcW w:w="1780" w:type="dxa"/>
            <w:noWrap/>
          </w:tcPr>
          <w:p w14:paraId="6E949A1F">
            <w:pPr>
              <w:spacing w:line="360" w:lineRule="auto"/>
              <w:rPr>
                <w:rFonts w:hint="eastAsia" w:ascii="宋体" w:hAnsi="宋体" w:eastAsia="宋体"/>
                <w:szCs w:val="21"/>
              </w:rPr>
            </w:pPr>
            <w:r>
              <w:rPr>
                <w:rFonts w:hint="eastAsia" w:ascii="宋体" w:hAnsi="宋体" w:eastAsia="宋体"/>
                <w:szCs w:val="21"/>
              </w:rPr>
              <w:t>详见产品手册 3.5.4</w:t>
            </w:r>
          </w:p>
        </w:tc>
      </w:tr>
      <w:tr w14:paraId="1D5A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78E3D5E9">
            <w:pPr>
              <w:spacing w:line="360" w:lineRule="auto"/>
              <w:rPr>
                <w:rFonts w:hint="eastAsia" w:ascii="宋体" w:hAnsi="宋体" w:eastAsia="宋体"/>
                <w:szCs w:val="21"/>
              </w:rPr>
            </w:pPr>
          </w:p>
        </w:tc>
        <w:tc>
          <w:tcPr>
            <w:tcW w:w="1275" w:type="dxa"/>
            <w:vMerge w:val="continue"/>
          </w:tcPr>
          <w:p w14:paraId="579235E4">
            <w:pPr>
              <w:spacing w:line="360" w:lineRule="auto"/>
              <w:rPr>
                <w:rFonts w:hint="eastAsia" w:ascii="宋体" w:hAnsi="宋体" w:eastAsia="宋体"/>
                <w:szCs w:val="21"/>
              </w:rPr>
            </w:pPr>
          </w:p>
        </w:tc>
        <w:tc>
          <w:tcPr>
            <w:tcW w:w="4253" w:type="dxa"/>
          </w:tcPr>
          <w:p w14:paraId="1F2A5B8C">
            <w:pPr>
              <w:spacing w:line="360" w:lineRule="auto"/>
              <w:rPr>
                <w:rFonts w:hint="eastAsia" w:ascii="宋体" w:hAnsi="宋体" w:eastAsia="宋体"/>
                <w:szCs w:val="21"/>
              </w:rPr>
            </w:pPr>
            <w:r>
              <w:rPr>
                <w:rFonts w:hint="eastAsia" w:ascii="宋体" w:hAnsi="宋体" w:eastAsia="宋体"/>
                <w:szCs w:val="21"/>
              </w:rPr>
              <w:t>3）具备专家回避情形和单位列表建立和维护的功能</w:t>
            </w:r>
          </w:p>
        </w:tc>
        <w:tc>
          <w:tcPr>
            <w:tcW w:w="1780" w:type="dxa"/>
            <w:noWrap/>
          </w:tcPr>
          <w:p w14:paraId="3706DD08">
            <w:pPr>
              <w:spacing w:line="360" w:lineRule="auto"/>
              <w:rPr>
                <w:rFonts w:hint="eastAsia" w:ascii="宋体" w:hAnsi="宋体" w:eastAsia="宋体"/>
                <w:szCs w:val="21"/>
              </w:rPr>
            </w:pPr>
            <w:r>
              <w:rPr>
                <w:rFonts w:hint="eastAsia" w:ascii="宋体" w:hAnsi="宋体" w:eastAsia="宋体"/>
                <w:szCs w:val="21"/>
              </w:rPr>
              <w:t>详见产品手册 3.5.2</w:t>
            </w:r>
          </w:p>
        </w:tc>
      </w:tr>
      <w:tr w14:paraId="4A48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2B6AAB26">
            <w:pPr>
              <w:spacing w:line="360" w:lineRule="auto"/>
              <w:rPr>
                <w:rFonts w:hint="eastAsia" w:ascii="宋体" w:hAnsi="宋体" w:eastAsia="宋体"/>
                <w:szCs w:val="21"/>
              </w:rPr>
            </w:pPr>
          </w:p>
        </w:tc>
        <w:tc>
          <w:tcPr>
            <w:tcW w:w="1275" w:type="dxa"/>
            <w:vMerge w:val="continue"/>
          </w:tcPr>
          <w:p w14:paraId="3634A40D">
            <w:pPr>
              <w:spacing w:line="360" w:lineRule="auto"/>
              <w:rPr>
                <w:rFonts w:hint="eastAsia" w:ascii="宋体" w:hAnsi="宋体" w:eastAsia="宋体"/>
                <w:szCs w:val="21"/>
              </w:rPr>
            </w:pPr>
          </w:p>
        </w:tc>
        <w:tc>
          <w:tcPr>
            <w:tcW w:w="4253" w:type="dxa"/>
          </w:tcPr>
          <w:p w14:paraId="1C8658FF">
            <w:pPr>
              <w:spacing w:line="360" w:lineRule="auto"/>
              <w:rPr>
                <w:rFonts w:hint="eastAsia" w:ascii="宋体" w:hAnsi="宋体" w:eastAsia="宋体"/>
                <w:szCs w:val="21"/>
              </w:rPr>
            </w:pPr>
            <w:r>
              <w:rPr>
                <w:rFonts w:hint="eastAsia" w:ascii="宋体" w:hAnsi="宋体" w:eastAsia="宋体"/>
                <w:szCs w:val="21"/>
              </w:rPr>
              <w:t>4）具备按地区、专业等随机抽取和记录专家的功能</w:t>
            </w:r>
          </w:p>
        </w:tc>
        <w:tc>
          <w:tcPr>
            <w:tcW w:w="1780" w:type="dxa"/>
            <w:noWrap/>
          </w:tcPr>
          <w:p w14:paraId="6910F30B">
            <w:pPr>
              <w:spacing w:line="360" w:lineRule="auto"/>
              <w:rPr>
                <w:rFonts w:hint="eastAsia" w:ascii="宋体" w:hAnsi="宋体" w:eastAsia="宋体"/>
                <w:szCs w:val="21"/>
              </w:rPr>
            </w:pPr>
            <w:r>
              <w:rPr>
                <w:rFonts w:hint="eastAsia" w:ascii="宋体" w:hAnsi="宋体" w:eastAsia="宋体"/>
                <w:szCs w:val="21"/>
              </w:rPr>
              <w:t>详见产品手册 3.5.2</w:t>
            </w:r>
          </w:p>
        </w:tc>
      </w:tr>
      <w:tr w14:paraId="6393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69D1F9EE">
            <w:pPr>
              <w:spacing w:line="360" w:lineRule="auto"/>
              <w:rPr>
                <w:rFonts w:hint="eastAsia" w:ascii="宋体" w:hAnsi="宋体" w:eastAsia="宋体"/>
                <w:szCs w:val="21"/>
              </w:rPr>
            </w:pPr>
          </w:p>
        </w:tc>
        <w:tc>
          <w:tcPr>
            <w:tcW w:w="1275" w:type="dxa"/>
            <w:vMerge w:val="continue"/>
          </w:tcPr>
          <w:p w14:paraId="376E1BFE">
            <w:pPr>
              <w:spacing w:line="360" w:lineRule="auto"/>
              <w:rPr>
                <w:rFonts w:hint="eastAsia" w:ascii="宋体" w:hAnsi="宋体" w:eastAsia="宋体"/>
                <w:szCs w:val="21"/>
              </w:rPr>
            </w:pPr>
          </w:p>
        </w:tc>
        <w:tc>
          <w:tcPr>
            <w:tcW w:w="4253" w:type="dxa"/>
          </w:tcPr>
          <w:p w14:paraId="1634B4C5">
            <w:pPr>
              <w:spacing w:line="360" w:lineRule="auto"/>
              <w:rPr>
                <w:rFonts w:hint="eastAsia" w:ascii="宋体" w:hAnsi="宋体" w:eastAsia="宋体"/>
                <w:szCs w:val="21"/>
              </w:rPr>
            </w:pPr>
            <w:r>
              <w:rPr>
                <w:rFonts w:hint="eastAsia" w:ascii="宋体" w:hAnsi="宋体" w:eastAsia="宋体"/>
                <w:szCs w:val="21"/>
              </w:rPr>
              <w:t>5）具备专家审核、入库、培训、考核、暂停、退出等功能</w:t>
            </w:r>
          </w:p>
        </w:tc>
        <w:tc>
          <w:tcPr>
            <w:tcW w:w="1780" w:type="dxa"/>
            <w:noWrap/>
          </w:tcPr>
          <w:p w14:paraId="7F07A6B4">
            <w:pPr>
              <w:spacing w:line="360" w:lineRule="auto"/>
              <w:rPr>
                <w:rFonts w:hint="eastAsia" w:ascii="宋体" w:hAnsi="宋体" w:eastAsia="宋体"/>
                <w:szCs w:val="21"/>
              </w:rPr>
            </w:pPr>
            <w:r>
              <w:rPr>
                <w:rFonts w:hint="eastAsia" w:ascii="宋体" w:hAnsi="宋体" w:eastAsia="宋体"/>
                <w:szCs w:val="21"/>
              </w:rPr>
              <w:t>详见产品手册 3.5.3</w:t>
            </w:r>
          </w:p>
        </w:tc>
      </w:tr>
      <w:tr w14:paraId="29F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2570557C">
            <w:pPr>
              <w:spacing w:line="360" w:lineRule="auto"/>
              <w:rPr>
                <w:rFonts w:hint="eastAsia" w:ascii="宋体" w:hAnsi="宋体" w:eastAsia="宋体"/>
                <w:szCs w:val="21"/>
              </w:rPr>
            </w:pPr>
          </w:p>
        </w:tc>
        <w:tc>
          <w:tcPr>
            <w:tcW w:w="1275" w:type="dxa"/>
            <w:vMerge w:val="continue"/>
          </w:tcPr>
          <w:p w14:paraId="618C2ED7">
            <w:pPr>
              <w:spacing w:line="360" w:lineRule="auto"/>
              <w:rPr>
                <w:rFonts w:hint="eastAsia" w:ascii="宋体" w:hAnsi="宋体" w:eastAsia="宋体"/>
                <w:szCs w:val="21"/>
              </w:rPr>
            </w:pPr>
          </w:p>
        </w:tc>
        <w:tc>
          <w:tcPr>
            <w:tcW w:w="4253" w:type="dxa"/>
          </w:tcPr>
          <w:p w14:paraId="59EDE22B">
            <w:pPr>
              <w:spacing w:line="360" w:lineRule="auto"/>
              <w:rPr>
                <w:rFonts w:hint="eastAsia" w:ascii="宋体" w:hAnsi="宋体" w:eastAsia="宋体"/>
                <w:szCs w:val="21"/>
              </w:rPr>
            </w:pPr>
            <w:r>
              <w:rPr>
                <w:rFonts w:hint="eastAsia" w:ascii="宋体" w:hAnsi="宋体" w:eastAsia="宋体"/>
                <w:szCs w:val="21"/>
              </w:rPr>
              <w:t>6）具备专家自荐及邀请入库的功能</w:t>
            </w:r>
          </w:p>
        </w:tc>
        <w:tc>
          <w:tcPr>
            <w:tcW w:w="1780" w:type="dxa"/>
            <w:noWrap/>
          </w:tcPr>
          <w:p w14:paraId="160A7353">
            <w:pPr>
              <w:spacing w:line="360" w:lineRule="auto"/>
              <w:rPr>
                <w:rFonts w:hint="eastAsia" w:ascii="宋体" w:hAnsi="宋体" w:eastAsia="宋体"/>
                <w:szCs w:val="21"/>
              </w:rPr>
            </w:pPr>
            <w:r>
              <w:rPr>
                <w:rFonts w:hint="eastAsia" w:ascii="宋体" w:hAnsi="宋体" w:eastAsia="宋体"/>
                <w:szCs w:val="21"/>
              </w:rPr>
              <w:t>详见产品手册 3.5.3</w:t>
            </w:r>
          </w:p>
        </w:tc>
      </w:tr>
      <w:tr w14:paraId="7909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tcPr>
          <w:p w14:paraId="02D2DA4D">
            <w:pPr>
              <w:spacing w:line="360" w:lineRule="auto"/>
              <w:rPr>
                <w:rFonts w:hint="eastAsia" w:ascii="宋体" w:hAnsi="宋体" w:eastAsia="宋体"/>
                <w:szCs w:val="21"/>
              </w:rPr>
            </w:pPr>
          </w:p>
        </w:tc>
        <w:tc>
          <w:tcPr>
            <w:tcW w:w="1275" w:type="dxa"/>
            <w:vMerge w:val="restart"/>
          </w:tcPr>
          <w:p w14:paraId="6E0D5C6A">
            <w:pPr>
              <w:spacing w:line="360" w:lineRule="auto"/>
              <w:rPr>
                <w:rFonts w:hint="eastAsia" w:ascii="宋体" w:hAnsi="宋体" w:eastAsia="宋体"/>
                <w:szCs w:val="21"/>
              </w:rPr>
            </w:pPr>
            <w:r>
              <w:rPr>
                <w:rFonts w:hint="eastAsia" w:ascii="宋体" w:hAnsi="宋体" w:eastAsia="宋体"/>
                <w:szCs w:val="21"/>
              </w:rPr>
              <w:t>3.2.1.13.6价格信息库管理</w:t>
            </w:r>
          </w:p>
        </w:tc>
        <w:tc>
          <w:tcPr>
            <w:tcW w:w="4253" w:type="dxa"/>
          </w:tcPr>
          <w:p w14:paraId="119F414E">
            <w:pPr>
              <w:spacing w:line="360" w:lineRule="auto"/>
              <w:rPr>
                <w:rFonts w:hint="eastAsia" w:ascii="宋体" w:hAnsi="宋体" w:eastAsia="宋体"/>
                <w:szCs w:val="21"/>
              </w:rPr>
            </w:pPr>
            <w:r>
              <w:rPr>
                <w:rFonts w:hint="eastAsia" w:ascii="宋体" w:hAnsi="宋体" w:eastAsia="宋体"/>
                <w:szCs w:val="21"/>
              </w:rPr>
              <w:t>1）具备对工程、货物、服务分类分项单价信息进行收集、整理、维护和查询的功能</w:t>
            </w:r>
          </w:p>
        </w:tc>
        <w:tc>
          <w:tcPr>
            <w:tcW w:w="1780" w:type="dxa"/>
            <w:noWrap/>
          </w:tcPr>
          <w:p w14:paraId="2598FC05">
            <w:pPr>
              <w:spacing w:line="360" w:lineRule="auto"/>
              <w:rPr>
                <w:rFonts w:hint="eastAsia" w:ascii="宋体" w:hAnsi="宋体" w:eastAsia="宋体"/>
                <w:szCs w:val="21"/>
              </w:rPr>
            </w:pPr>
            <w:r>
              <w:rPr>
                <w:rFonts w:hint="eastAsia" w:ascii="宋体" w:hAnsi="宋体" w:eastAsia="宋体"/>
                <w:szCs w:val="21"/>
              </w:rPr>
              <w:t>详见产品手册 3.6</w:t>
            </w:r>
          </w:p>
        </w:tc>
      </w:tr>
      <w:tr w14:paraId="1299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88" w:type="dxa"/>
            <w:vMerge w:val="continue"/>
          </w:tcPr>
          <w:p w14:paraId="6A25472F">
            <w:pPr>
              <w:spacing w:line="360" w:lineRule="auto"/>
              <w:rPr>
                <w:rFonts w:hint="eastAsia" w:ascii="宋体" w:hAnsi="宋体" w:eastAsia="宋体"/>
                <w:szCs w:val="21"/>
              </w:rPr>
            </w:pPr>
          </w:p>
        </w:tc>
        <w:tc>
          <w:tcPr>
            <w:tcW w:w="1275" w:type="dxa"/>
            <w:vMerge w:val="continue"/>
          </w:tcPr>
          <w:p w14:paraId="3328B2C3">
            <w:pPr>
              <w:spacing w:line="360" w:lineRule="auto"/>
              <w:rPr>
                <w:rFonts w:hint="eastAsia" w:ascii="宋体" w:hAnsi="宋体" w:eastAsia="宋体"/>
                <w:szCs w:val="21"/>
              </w:rPr>
            </w:pPr>
          </w:p>
        </w:tc>
        <w:tc>
          <w:tcPr>
            <w:tcW w:w="4253" w:type="dxa"/>
          </w:tcPr>
          <w:p w14:paraId="3B5EB0C4">
            <w:pPr>
              <w:spacing w:line="360" w:lineRule="auto"/>
              <w:rPr>
                <w:rFonts w:hint="eastAsia" w:ascii="宋体" w:hAnsi="宋体" w:eastAsia="宋体"/>
                <w:szCs w:val="21"/>
              </w:rPr>
            </w:pPr>
            <w:r>
              <w:rPr>
                <w:rFonts w:hint="eastAsia" w:ascii="宋体" w:hAnsi="宋体" w:eastAsia="宋体"/>
                <w:szCs w:val="21"/>
              </w:rPr>
              <w:t>2）具备价格统计分析的功能</w:t>
            </w:r>
          </w:p>
        </w:tc>
        <w:tc>
          <w:tcPr>
            <w:tcW w:w="1780" w:type="dxa"/>
            <w:noWrap/>
          </w:tcPr>
          <w:p w14:paraId="3AB02572">
            <w:pPr>
              <w:spacing w:line="360" w:lineRule="auto"/>
              <w:rPr>
                <w:rFonts w:hint="eastAsia" w:ascii="宋体" w:hAnsi="宋体" w:eastAsia="宋体"/>
                <w:szCs w:val="21"/>
              </w:rPr>
            </w:pPr>
            <w:r>
              <w:rPr>
                <w:rFonts w:hint="eastAsia" w:ascii="宋体" w:hAnsi="宋体" w:eastAsia="宋体"/>
                <w:szCs w:val="21"/>
              </w:rPr>
              <w:t>详见产品手册 3.6</w:t>
            </w:r>
          </w:p>
        </w:tc>
      </w:tr>
      <w:tr w14:paraId="0B32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988" w:type="dxa"/>
            <w:noWrap/>
          </w:tcPr>
          <w:p w14:paraId="21730AC3">
            <w:pPr>
              <w:spacing w:line="360" w:lineRule="auto"/>
              <w:rPr>
                <w:rFonts w:hint="eastAsia" w:ascii="宋体" w:hAnsi="宋体" w:eastAsia="宋体"/>
                <w:szCs w:val="21"/>
              </w:rPr>
            </w:pPr>
            <w:r>
              <w:rPr>
                <w:rFonts w:hint="eastAsia" w:ascii="宋体" w:hAnsi="宋体" w:eastAsia="宋体"/>
                <w:szCs w:val="21"/>
              </w:rPr>
              <w:t>3.2.1.14非公开招标管理</w:t>
            </w:r>
          </w:p>
        </w:tc>
        <w:tc>
          <w:tcPr>
            <w:tcW w:w="1275" w:type="dxa"/>
          </w:tcPr>
          <w:p w14:paraId="55709715">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5B60DBF7">
            <w:pPr>
              <w:spacing w:line="360" w:lineRule="auto"/>
              <w:rPr>
                <w:rFonts w:hint="eastAsia" w:ascii="宋体" w:hAnsi="宋体" w:eastAsia="宋体"/>
                <w:szCs w:val="21"/>
              </w:rPr>
            </w:pPr>
            <w:r>
              <w:rPr>
                <w:rFonts w:hint="eastAsia" w:ascii="宋体" w:hAnsi="宋体" w:eastAsia="宋体"/>
                <w:szCs w:val="21"/>
              </w:rPr>
              <w:t>参考《电子采购交易规范非招标方式》（GB-T43711-2024），支持竞争谈判、询比、询价、单一来源、直接采购等几种非公开招标采购方式，对应的流程设置参考上述规范及行业管理要求，可满足结构化和非结构化两种模式编制采购文件和响应性文件，以及交易过程全程电子化和非全程电子化两种模式。</w:t>
            </w:r>
          </w:p>
        </w:tc>
        <w:tc>
          <w:tcPr>
            <w:tcW w:w="1780" w:type="dxa"/>
            <w:noWrap/>
          </w:tcPr>
          <w:p w14:paraId="2DE37CAE">
            <w:pPr>
              <w:spacing w:line="360" w:lineRule="auto"/>
              <w:rPr>
                <w:rFonts w:hint="eastAsia" w:ascii="宋体" w:hAnsi="宋体" w:eastAsia="宋体"/>
                <w:szCs w:val="21"/>
              </w:rPr>
            </w:pPr>
            <w:r>
              <w:rPr>
                <w:rFonts w:hint="eastAsia" w:ascii="宋体" w:hAnsi="宋体" w:eastAsia="宋体"/>
                <w:szCs w:val="21"/>
              </w:rPr>
              <w:t>详见产品手册 4.2</w:t>
            </w:r>
          </w:p>
        </w:tc>
      </w:tr>
      <w:tr w14:paraId="0D86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noWrap/>
          </w:tcPr>
          <w:p w14:paraId="3C9D8400">
            <w:pPr>
              <w:spacing w:line="360" w:lineRule="auto"/>
              <w:rPr>
                <w:rFonts w:hint="eastAsia" w:ascii="宋体" w:hAnsi="宋体" w:eastAsia="宋体"/>
                <w:szCs w:val="21"/>
              </w:rPr>
            </w:pPr>
            <w:r>
              <w:rPr>
                <w:rFonts w:hint="eastAsia" w:ascii="宋体" w:hAnsi="宋体" w:eastAsia="宋体"/>
                <w:szCs w:val="21"/>
              </w:rPr>
              <w:t>3.2.1.15监督管理</w:t>
            </w:r>
          </w:p>
        </w:tc>
        <w:tc>
          <w:tcPr>
            <w:tcW w:w="1275" w:type="dxa"/>
          </w:tcPr>
          <w:p w14:paraId="01DDC60D">
            <w:pPr>
              <w:spacing w:line="360" w:lineRule="auto"/>
              <w:rPr>
                <w:rFonts w:hint="eastAsia" w:ascii="宋体" w:hAnsi="宋体" w:eastAsia="宋体"/>
                <w:szCs w:val="21"/>
              </w:rPr>
            </w:pPr>
            <w:r>
              <w:rPr>
                <w:rFonts w:hint="eastAsia" w:ascii="宋体" w:hAnsi="宋体" w:eastAsia="宋体"/>
                <w:szCs w:val="21"/>
              </w:rPr>
              <w:t>/</w:t>
            </w:r>
          </w:p>
        </w:tc>
        <w:tc>
          <w:tcPr>
            <w:tcW w:w="4253" w:type="dxa"/>
          </w:tcPr>
          <w:p w14:paraId="3403903A">
            <w:pPr>
              <w:spacing w:line="360" w:lineRule="auto"/>
              <w:rPr>
                <w:rFonts w:hint="eastAsia" w:ascii="宋体" w:hAnsi="宋体" w:eastAsia="宋体"/>
                <w:szCs w:val="21"/>
              </w:rPr>
            </w:pPr>
            <w:r>
              <w:rPr>
                <w:rFonts w:hint="eastAsia" w:ascii="宋体" w:hAnsi="宋体" w:eastAsia="宋体"/>
                <w:szCs w:val="21"/>
              </w:rPr>
              <w:t>具有流程环节预警指标预埋及触发功能；具备提供数据调阅与分析报表等功能</w:t>
            </w:r>
          </w:p>
        </w:tc>
        <w:tc>
          <w:tcPr>
            <w:tcW w:w="1780" w:type="dxa"/>
            <w:noWrap/>
          </w:tcPr>
          <w:p w14:paraId="07C0E10F">
            <w:pPr>
              <w:spacing w:line="360" w:lineRule="auto"/>
              <w:rPr>
                <w:rFonts w:hint="eastAsia" w:ascii="宋体" w:hAnsi="宋体" w:eastAsia="宋体"/>
                <w:szCs w:val="21"/>
              </w:rPr>
            </w:pPr>
            <w:r>
              <w:rPr>
                <w:rFonts w:hint="eastAsia" w:ascii="宋体" w:hAnsi="宋体" w:eastAsia="宋体"/>
                <w:szCs w:val="21"/>
              </w:rPr>
              <w:t>详见产品手册 4.6</w:t>
            </w:r>
          </w:p>
        </w:tc>
      </w:tr>
    </w:tbl>
    <w:p w14:paraId="04B5D627">
      <w:pPr>
        <w:spacing w:line="360" w:lineRule="auto"/>
        <w:rPr>
          <w:rFonts w:hint="eastAsia" w:ascii="宋体" w:hAnsi="宋体" w:eastAsia="宋体"/>
          <w:szCs w:val="21"/>
        </w:rPr>
      </w:pPr>
    </w:p>
    <w:p w14:paraId="4EE53736">
      <w:pPr>
        <w:pStyle w:val="2"/>
        <w:rPr>
          <w:rFonts w:hint="eastAsia" w:ascii="宋体" w:hAnsi="宋体"/>
        </w:rPr>
      </w:pPr>
      <w:r>
        <w:rPr>
          <w:rFonts w:ascii="宋体" w:hAnsi="宋体"/>
        </w:rPr>
        <w:br w:type="page"/>
      </w:r>
    </w:p>
    <w:p w14:paraId="4A83F06D">
      <w:pPr>
        <w:pStyle w:val="4"/>
        <w:numPr>
          <w:ilvl w:val="0"/>
          <w:numId w:val="7"/>
        </w:numPr>
        <w:spacing w:before="340" w:after="330"/>
        <w:jc w:val="both"/>
        <w:rPr>
          <w:rFonts w:hint="eastAsia" w:ascii="宋体" w:hAnsi="宋体"/>
          <w:szCs w:val="32"/>
        </w:rPr>
      </w:pPr>
      <w:bookmarkStart w:id="61" w:name="_Toc180265540"/>
      <w:bookmarkStart w:id="62" w:name="_Toc180165694"/>
      <w:r>
        <w:rPr>
          <w:rFonts w:hint="eastAsia" w:ascii="宋体" w:hAnsi="宋体"/>
          <w:szCs w:val="32"/>
        </w:rPr>
        <w:t>功能特色</w:t>
      </w:r>
      <w:bookmarkEnd w:id="61"/>
      <w:bookmarkEnd w:id="62"/>
    </w:p>
    <w:p w14:paraId="42AB6F52">
      <w:pPr>
        <w:pStyle w:val="5"/>
        <w:numPr>
          <w:ilvl w:val="1"/>
          <w:numId w:val="7"/>
        </w:numPr>
        <w:spacing w:before="260" w:after="260"/>
        <w:jc w:val="both"/>
        <w:rPr>
          <w:rFonts w:hint="eastAsia" w:ascii="宋体" w:hAnsi="宋体"/>
          <w:szCs w:val="28"/>
        </w:rPr>
      </w:pPr>
      <w:bookmarkStart w:id="63" w:name="_Toc180165695"/>
      <w:r>
        <w:rPr>
          <w:rFonts w:hint="eastAsia" w:ascii="宋体" w:hAnsi="宋体"/>
          <w:szCs w:val="28"/>
        </w:rPr>
        <w:t xml:space="preserve"> </w:t>
      </w:r>
      <w:bookmarkStart w:id="64" w:name="_Toc180265541"/>
      <w:r>
        <w:rPr>
          <w:rFonts w:hint="eastAsia" w:ascii="宋体" w:hAnsi="宋体"/>
          <w:szCs w:val="28"/>
        </w:rPr>
        <w:t>企业关联关系自动排查</w:t>
      </w:r>
      <w:bookmarkEnd w:id="63"/>
      <w:bookmarkEnd w:id="64"/>
    </w:p>
    <w:p w14:paraId="45DA81F1">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4.8.1</w:t>
      </w:r>
      <w:r>
        <w:rPr>
          <w:rFonts w:hint="eastAsia" w:ascii="宋体" w:hAnsi="宋体"/>
          <w:b/>
          <w:szCs w:val="21"/>
        </w:rPr>
        <w:t>章节 P</w:t>
      </w:r>
      <w:r>
        <w:rPr>
          <w:rFonts w:ascii="宋体" w:hAnsi="宋体"/>
          <w:b/>
          <w:szCs w:val="21"/>
        </w:rPr>
        <w:t>18</w:t>
      </w:r>
      <w:r>
        <w:rPr>
          <w:rFonts w:hint="eastAsia" w:ascii="宋体" w:hAnsi="宋体"/>
          <w:b/>
          <w:szCs w:val="21"/>
        </w:rPr>
        <w:t>0页。</w:t>
      </w:r>
    </w:p>
    <w:p w14:paraId="6AB7DCA1">
      <w:pPr>
        <w:pStyle w:val="6"/>
        <w:numPr>
          <w:ilvl w:val="2"/>
          <w:numId w:val="7"/>
        </w:numPr>
        <w:spacing w:before="260" w:after="260"/>
        <w:jc w:val="both"/>
        <w:rPr>
          <w:rFonts w:hint="eastAsia" w:ascii="宋体" w:hAnsi="宋体" w:cs="宋体"/>
          <w:szCs w:val="24"/>
        </w:rPr>
      </w:pPr>
      <w:r>
        <w:rPr>
          <w:rFonts w:hint="eastAsia" w:ascii="宋体" w:hAnsi="宋体" w:cs="宋体"/>
          <w:szCs w:val="24"/>
        </w:rPr>
        <w:t xml:space="preserve"> </w:t>
      </w:r>
      <w:bookmarkStart w:id="65" w:name="_Toc180265542"/>
      <w:r>
        <w:rPr>
          <w:rFonts w:hint="eastAsia" w:ascii="宋体" w:hAnsi="宋体"/>
          <w:szCs w:val="24"/>
        </w:rPr>
        <w:t>关联关系排查</w:t>
      </w:r>
      <w:bookmarkEnd w:id="65"/>
    </w:p>
    <w:p w14:paraId="2A9803C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企业关联关系排查功能，支持排查企业、企业人员之间的关联关系，可选择项目内全部投标人或部分投标人进行关联关系排查，并设置穿透的层数，平台按照设置的要求进行关联关系查询，并出具分析报告。</w:t>
      </w:r>
    </w:p>
    <w:p w14:paraId="24D5A35D">
      <w:pPr>
        <w:spacing w:line="360" w:lineRule="auto"/>
        <w:rPr>
          <w:rFonts w:hint="eastAsia" w:ascii="宋体" w:hAnsi="宋体" w:eastAsia="宋体"/>
          <w:szCs w:val="21"/>
        </w:rPr>
      </w:pPr>
      <w:r>
        <w:rPr>
          <w:rFonts w:ascii="宋体" w:hAnsi="宋体" w:eastAsia="宋体"/>
          <w:szCs w:val="21"/>
        </w:rPr>
        <w:drawing>
          <wp:inline distT="0" distB="0" distL="0" distR="0">
            <wp:extent cx="5274310" cy="2277110"/>
            <wp:effectExtent l="0" t="0" r="2540" b="889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9"/>
                    <a:stretch>
                      <a:fillRect/>
                    </a:stretch>
                  </pic:blipFill>
                  <pic:spPr>
                    <a:xfrm>
                      <a:off x="0" y="0"/>
                      <a:ext cx="5274310" cy="2277110"/>
                    </a:xfrm>
                    <a:prstGeom prst="rect">
                      <a:avLst/>
                    </a:prstGeom>
                  </pic:spPr>
                </pic:pic>
              </a:graphicData>
            </a:graphic>
          </wp:inline>
        </w:drawing>
      </w:r>
    </w:p>
    <w:p w14:paraId="32E8F7DC">
      <w:pPr>
        <w:spacing w:line="360" w:lineRule="auto"/>
        <w:rPr>
          <w:rFonts w:hint="eastAsia" w:ascii="宋体" w:hAnsi="宋体" w:eastAsia="宋体"/>
          <w:szCs w:val="21"/>
        </w:rPr>
      </w:pPr>
      <w:r>
        <w:rPr>
          <w:rFonts w:ascii="宋体" w:hAnsi="宋体" w:eastAsia="宋体"/>
          <w:szCs w:val="21"/>
        </w:rPr>
        <w:drawing>
          <wp:inline distT="0" distB="0" distL="0" distR="0">
            <wp:extent cx="5274310" cy="2150110"/>
            <wp:effectExtent l="0" t="0" r="2540" b="254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70"/>
                    <a:stretch>
                      <a:fillRect/>
                    </a:stretch>
                  </pic:blipFill>
                  <pic:spPr>
                    <a:xfrm>
                      <a:off x="0" y="0"/>
                      <a:ext cx="5274310" cy="2150110"/>
                    </a:xfrm>
                    <a:prstGeom prst="rect">
                      <a:avLst/>
                    </a:prstGeom>
                  </pic:spPr>
                </pic:pic>
              </a:graphicData>
            </a:graphic>
          </wp:inline>
        </w:drawing>
      </w:r>
    </w:p>
    <w:p w14:paraId="2E797AEE">
      <w:pPr>
        <w:spacing w:line="360" w:lineRule="auto"/>
        <w:jc w:val="center"/>
        <w:rPr>
          <w:rFonts w:hint="eastAsia" w:ascii="宋体" w:hAnsi="宋体" w:eastAsia="宋体"/>
          <w:szCs w:val="21"/>
        </w:rPr>
      </w:pPr>
      <w:r>
        <w:rPr>
          <w:rFonts w:ascii="宋体" w:hAnsi="宋体" w:eastAsia="宋体"/>
          <w:szCs w:val="21"/>
        </w:rPr>
        <w:drawing>
          <wp:inline distT="0" distB="0" distL="0" distR="0">
            <wp:extent cx="3867150" cy="5286375"/>
            <wp:effectExtent l="0" t="0" r="0" b="952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1"/>
                    <a:stretch>
                      <a:fillRect/>
                    </a:stretch>
                  </pic:blipFill>
                  <pic:spPr>
                    <a:xfrm>
                      <a:off x="0" y="0"/>
                      <a:ext cx="3867150" cy="5286375"/>
                    </a:xfrm>
                    <a:prstGeom prst="rect">
                      <a:avLst/>
                    </a:prstGeom>
                  </pic:spPr>
                </pic:pic>
              </a:graphicData>
            </a:graphic>
          </wp:inline>
        </w:drawing>
      </w:r>
    </w:p>
    <w:p w14:paraId="056DC54C">
      <w:pPr>
        <w:pStyle w:val="6"/>
        <w:numPr>
          <w:ilvl w:val="2"/>
          <w:numId w:val="7"/>
        </w:numPr>
        <w:spacing w:before="260" w:after="260"/>
        <w:jc w:val="both"/>
        <w:rPr>
          <w:rFonts w:hint="eastAsia" w:ascii="宋体" w:hAnsi="宋体"/>
          <w:szCs w:val="24"/>
        </w:rPr>
      </w:pPr>
      <w:bookmarkStart w:id="66" w:name="_Toc180265543"/>
      <w:r>
        <w:rPr>
          <w:rFonts w:hint="eastAsia" w:ascii="宋体" w:hAnsi="宋体"/>
          <w:szCs w:val="24"/>
        </w:rPr>
        <w:t>本功能应用案例证明</w:t>
      </w:r>
      <w:bookmarkEnd w:id="66"/>
    </w:p>
    <w:p w14:paraId="5F36970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中科信工程咨询（北京）有限责任公司【详见1</w:t>
      </w:r>
      <w:r>
        <w:rPr>
          <w:rFonts w:ascii="宋体" w:hAnsi="宋体" w:eastAsia="宋体"/>
          <w:color w:val="000000" w:themeColor="text1"/>
          <w:szCs w:val="21"/>
          <w14:textFill>
            <w14:solidFill>
              <w14:schemeClr w14:val="tx1"/>
            </w14:solidFill>
          </w14:textFill>
        </w:rPr>
        <w:t>4.10.5</w:t>
      </w:r>
      <w:r>
        <w:rPr>
          <w:rFonts w:hint="eastAsia" w:ascii="宋体" w:hAnsi="宋体" w:eastAsia="宋体"/>
          <w:color w:val="000000" w:themeColor="text1"/>
          <w:szCs w:val="21"/>
          <w14:textFill>
            <w14:solidFill>
              <w14:schemeClr w14:val="tx1"/>
            </w14:solidFill>
          </w14:textFill>
        </w:rPr>
        <w:t>】</w:t>
      </w:r>
    </w:p>
    <w:p w14:paraId="4C4BC32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湖北香青肥料科技有限公司【详见1</w:t>
      </w:r>
      <w:r>
        <w:rPr>
          <w:rFonts w:ascii="宋体" w:hAnsi="宋体" w:eastAsia="宋体"/>
          <w:color w:val="000000" w:themeColor="text1"/>
          <w:szCs w:val="21"/>
          <w14:textFill>
            <w14:solidFill>
              <w14:schemeClr w14:val="tx1"/>
            </w14:solidFill>
          </w14:textFill>
        </w:rPr>
        <w:t>4.10.8</w:t>
      </w:r>
      <w:r>
        <w:rPr>
          <w:rFonts w:hint="eastAsia" w:ascii="宋体" w:hAnsi="宋体" w:eastAsia="宋体"/>
          <w:color w:val="000000" w:themeColor="text1"/>
          <w:szCs w:val="21"/>
          <w14:textFill>
            <w14:solidFill>
              <w14:schemeClr w14:val="tx1"/>
            </w14:solidFill>
          </w14:textFill>
        </w:rPr>
        <w:t>】</w:t>
      </w:r>
    </w:p>
    <w:p w14:paraId="118A7514">
      <w:pPr>
        <w:pStyle w:val="5"/>
        <w:numPr>
          <w:ilvl w:val="1"/>
          <w:numId w:val="7"/>
        </w:numPr>
        <w:spacing w:before="260" w:after="260"/>
        <w:jc w:val="both"/>
        <w:rPr>
          <w:rFonts w:hint="eastAsia" w:ascii="宋体" w:hAnsi="宋体"/>
          <w:szCs w:val="28"/>
        </w:rPr>
      </w:pPr>
      <w:bookmarkStart w:id="67" w:name="_Toc180165696"/>
      <w:r>
        <w:rPr>
          <w:rFonts w:hint="eastAsia" w:ascii="宋体" w:hAnsi="宋体"/>
          <w:szCs w:val="28"/>
        </w:rPr>
        <w:t xml:space="preserve"> </w:t>
      </w:r>
      <w:bookmarkStart w:id="68" w:name="_Toc180265544"/>
      <w:r>
        <w:rPr>
          <w:rFonts w:hint="eastAsia" w:ascii="宋体" w:hAnsi="宋体"/>
          <w:szCs w:val="28"/>
        </w:rPr>
        <w:t>投标文件内容查重</w:t>
      </w:r>
      <w:bookmarkEnd w:id="67"/>
      <w:bookmarkEnd w:id="68"/>
    </w:p>
    <w:p w14:paraId="07BA45CE">
      <w:pPr>
        <w:pStyle w:val="2"/>
        <w:spacing w:line="360" w:lineRule="auto"/>
        <w:ind w:left="0" w:leftChars="0" w:firstLine="0" w:firstLineChars="0"/>
        <w:rPr>
          <w:rFonts w:hint="eastAsia" w:ascii="宋体" w:hAnsi="宋体"/>
          <w:b/>
          <w:szCs w:val="21"/>
        </w:rPr>
      </w:pPr>
      <w:r>
        <w:rPr>
          <w:rFonts w:ascii="宋体" w:hAnsi="宋体"/>
          <w:b/>
          <w:szCs w:val="21"/>
        </w:rPr>
        <w:t xml:space="preserve"> </w:t>
      </w:r>
      <w:r>
        <w:rPr>
          <w:rFonts w:hint="eastAsia" w:ascii="宋体" w:hAnsi="宋体"/>
          <w:b/>
          <w:szCs w:val="21"/>
        </w:rPr>
        <w:t>以下为产品功能概述，具体功能详见产品手册第</w:t>
      </w:r>
      <w:r>
        <w:rPr>
          <w:rFonts w:ascii="宋体" w:hAnsi="宋体"/>
          <w:b/>
          <w:szCs w:val="21"/>
        </w:rPr>
        <w:t>4.8.2</w:t>
      </w:r>
      <w:r>
        <w:rPr>
          <w:rFonts w:hint="eastAsia" w:ascii="宋体" w:hAnsi="宋体"/>
          <w:b/>
          <w:szCs w:val="21"/>
        </w:rPr>
        <w:t>章节</w:t>
      </w:r>
      <w:r>
        <w:rPr>
          <w:rFonts w:ascii="宋体" w:hAnsi="宋体"/>
          <w:b/>
          <w:szCs w:val="21"/>
        </w:rPr>
        <w:t xml:space="preserve"> </w:t>
      </w:r>
      <w:r>
        <w:rPr>
          <w:rFonts w:hint="eastAsia" w:ascii="宋体" w:hAnsi="宋体"/>
          <w:b/>
          <w:szCs w:val="21"/>
        </w:rPr>
        <w:t>P</w:t>
      </w:r>
      <w:r>
        <w:rPr>
          <w:rFonts w:ascii="宋体" w:hAnsi="宋体"/>
          <w:b/>
          <w:szCs w:val="21"/>
        </w:rPr>
        <w:t>18</w:t>
      </w:r>
      <w:r>
        <w:rPr>
          <w:rFonts w:hint="eastAsia" w:ascii="宋体" w:hAnsi="宋体"/>
          <w:b/>
          <w:szCs w:val="21"/>
        </w:rPr>
        <w:t>3页。</w:t>
      </w:r>
    </w:p>
    <w:p w14:paraId="1014928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平台具有投标文件雷同性分析功能，支持比对投标人的投标文件，分析投标文件的综合相似点及共同错误，识别投标人的围串标风险。</w:t>
      </w:r>
    </w:p>
    <w:p w14:paraId="004622B5">
      <w:pPr>
        <w:pStyle w:val="6"/>
        <w:numPr>
          <w:ilvl w:val="2"/>
          <w:numId w:val="7"/>
        </w:numPr>
        <w:spacing w:before="260" w:after="260"/>
        <w:jc w:val="both"/>
        <w:rPr>
          <w:rFonts w:hint="eastAsia" w:ascii="宋体" w:hAnsi="宋体"/>
          <w:szCs w:val="24"/>
        </w:rPr>
      </w:pPr>
      <w:bookmarkStart w:id="69" w:name="_Toc180265545"/>
      <w:bookmarkStart w:id="70" w:name="_Toc180165697"/>
      <w:r>
        <w:rPr>
          <w:rFonts w:hint="eastAsia" w:ascii="宋体" w:hAnsi="宋体"/>
          <w:szCs w:val="24"/>
        </w:rPr>
        <w:t>添加投标信息并进行围串标分析设置</w:t>
      </w:r>
      <w:bookmarkEnd w:id="69"/>
      <w:bookmarkEnd w:id="70"/>
    </w:p>
    <w:p w14:paraId="1DAE2F2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可从平台项目中一键导入项目信息、招标文件；也可以直接在围串标系统内创建项目，完善项目名称、项目编号；设置检查标准包括：相似度阈值、查重段落数、是否对比图片等；</w:t>
      </w:r>
    </w:p>
    <w:p w14:paraId="3E54BEBF">
      <w:pPr>
        <w:spacing w:line="360" w:lineRule="auto"/>
        <w:rPr>
          <w:rFonts w:hint="eastAsia" w:ascii="宋体" w:hAnsi="宋体" w:eastAsia="宋体"/>
          <w:szCs w:val="21"/>
        </w:rPr>
      </w:pPr>
      <w:r>
        <w:rPr>
          <w:rFonts w:ascii="宋体" w:hAnsi="宋体" w:eastAsia="宋体"/>
          <w:szCs w:val="21"/>
        </w:rPr>
        <w:drawing>
          <wp:inline distT="0" distB="0" distL="114300" distR="114300">
            <wp:extent cx="5273675" cy="2665095"/>
            <wp:effectExtent l="0" t="0" r="14605" b="1905"/>
            <wp:docPr id="10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3"/>
                    <pic:cNvPicPr>
                      <a:picLocks noChangeAspect="1"/>
                    </pic:cNvPicPr>
                  </pic:nvPicPr>
                  <pic:blipFill>
                    <a:blip r:embed="rId72"/>
                    <a:stretch>
                      <a:fillRect/>
                    </a:stretch>
                  </pic:blipFill>
                  <pic:spPr>
                    <a:xfrm>
                      <a:off x="0" y="0"/>
                      <a:ext cx="5273675" cy="2665095"/>
                    </a:xfrm>
                    <a:prstGeom prst="rect">
                      <a:avLst/>
                    </a:prstGeom>
                    <a:noFill/>
                    <a:ln>
                      <a:noFill/>
                    </a:ln>
                  </pic:spPr>
                </pic:pic>
              </a:graphicData>
            </a:graphic>
          </wp:inline>
        </w:drawing>
      </w:r>
    </w:p>
    <w:p w14:paraId="54266EBE">
      <w:pPr>
        <w:pStyle w:val="6"/>
        <w:numPr>
          <w:ilvl w:val="2"/>
          <w:numId w:val="7"/>
        </w:numPr>
        <w:spacing w:before="260" w:after="260"/>
        <w:jc w:val="both"/>
        <w:rPr>
          <w:rFonts w:hint="eastAsia" w:ascii="宋体" w:hAnsi="宋体"/>
          <w:szCs w:val="24"/>
        </w:rPr>
      </w:pPr>
      <w:bookmarkStart w:id="71" w:name="_Toc180265546"/>
      <w:bookmarkStart w:id="72" w:name="_Toc180165698"/>
      <w:r>
        <w:rPr>
          <w:rFonts w:hint="eastAsia" w:ascii="宋体" w:hAnsi="宋体"/>
          <w:szCs w:val="24"/>
        </w:rPr>
        <w:t>分析投标文件雷同性并生成分析结果</w:t>
      </w:r>
      <w:bookmarkEnd w:id="71"/>
      <w:bookmarkEnd w:id="72"/>
    </w:p>
    <w:p w14:paraId="6173423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系统启动投标文件雷同性分析，校验各投标文件的综合相似点。待分析完成后，可查看整体分析结果、下载分析报告、查看单条数据对应的分析内容明细、下载明细条目，也可对项目进行重新分析。</w:t>
      </w:r>
    </w:p>
    <w:p w14:paraId="1DBF4378">
      <w:pPr>
        <w:spacing w:line="360" w:lineRule="auto"/>
        <w:rPr>
          <w:rFonts w:hint="eastAsia" w:ascii="宋体" w:hAnsi="宋体" w:eastAsia="宋体"/>
          <w:szCs w:val="21"/>
        </w:rPr>
      </w:pPr>
      <w:r>
        <w:rPr>
          <w:rFonts w:ascii="宋体" w:hAnsi="宋体" w:eastAsia="宋体"/>
          <w:szCs w:val="21"/>
        </w:rPr>
        <w:drawing>
          <wp:inline distT="0" distB="0" distL="114300" distR="114300">
            <wp:extent cx="5269230" cy="2325370"/>
            <wp:effectExtent l="0" t="0" r="3810" b="6350"/>
            <wp:docPr id="10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7"/>
                    <pic:cNvPicPr>
                      <a:picLocks noChangeAspect="1"/>
                    </pic:cNvPicPr>
                  </pic:nvPicPr>
                  <pic:blipFill>
                    <a:blip r:embed="rId73"/>
                    <a:stretch>
                      <a:fillRect/>
                    </a:stretch>
                  </pic:blipFill>
                  <pic:spPr>
                    <a:xfrm>
                      <a:off x="0" y="0"/>
                      <a:ext cx="5269230" cy="2325370"/>
                    </a:xfrm>
                    <a:prstGeom prst="rect">
                      <a:avLst/>
                    </a:prstGeom>
                    <a:noFill/>
                    <a:ln>
                      <a:noFill/>
                    </a:ln>
                  </pic:spPr>
                </pic:pic>
              </a:graphicData>
            </a:graphic>
          </wp:inline>
        </w:drawing>
      </w:r>
    </w:p>
    <w:p w14:paraId="4D8C1B20">
      <w:pPr>
        <w:spacing w:line="360" w:lineRule="auto"/>
        <w:rPr>
          <w:rFonts w:hint="eastAsia" w:ascii="宋体" w:hAnsi="宋体" w:eastAsia="宋体"/>
          <w:szCs w:val="21"/>
        </w:rPr>
      </w:pPr>
      <w:r>
        <w:rPr>
          <w:rFonts w:ascii="宋体" w:hAnsi="宋体" w:eastAsia="宋体"/>
          <w:szCs w:val="21"/>
        </w:rPr>
        <w:drawing>
          <wp:inline distT="0" distB="0" distL="0" distR="0">
            <wp:extent cx="5939790" cy="2804160"/>
            <wp:effectExtent l="0" t="0" r="3810" b="0"/>
            <wp:docPr id="34859398" name="图片 348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9398" name="图片 34859398"/>
                    <pic:cNvPicPr>
                      <a:picLocks noChangeAspect="1"/>
                    </pic:cNvPicPr>
                  </pic:nvPicPr>
                  <pic:blipFill>
                    <a:blip r:embed="rId74"/>
                    <a:stretch>
                      <a:fillRect/>
                    </a:stretch>
                  </pic:blipFill>
                  <pic:spPr>
                    <a:xfrm>
                      <a:off x="0" y="0"/>
                      <a:ext cx="5939790" cy="2804160"/>
                    </a:xfrm>
                    <a:prstGeom prst="rect">
                      <a:avLst/>
                    </a:prstGeom>
                  </pic:spPr>
                </pic:pic>
              </a:graphicData>
            </a:graphic>
          </wp:inline>
        </w:drawing>
      </w:r>
    </w:p>
    <w:p w14:paraId="12F96DE0">
      <w:pPr>
        <w:pStyle w:val="2"/>
        <w:spacing w:line="360" w:lineRule="auto"/>
        <w:rPr>
          <w:rFonts w:hint="eastAsia" w:ascii="宋体" w:hAnsi="宋体"/>
          <w:szCs w:val="21"/>
        </w:rPr>
      </w:pPr>
    </w:p>
    <w:p w14:paraId="05F8D649">
      <w:pPr>
        <w:pStyle w:val="6"/>
        <w:numPr>
          <w:ilvl w:val="2"/>
          <w:numId w:val="7"/>
        </w:numPr>
        <w:spacing w:before="260" w:after="260"/>
        <w:jc w:val="both"/>
        <w:rPr>
          <w:rFonts w:hint="eastAsia" w:ascii="宋体" w:hAnsi="宋体"/>
          <w:szCs w:val="24"/>
        </w:rPr>
      </w:pPr>
      <w:bookmarkStart w:id="73" w:name="_Toc180265547"/>
      <w:r>
        <w:rPr>
          <w:rFonts w:hint="eastAsia" w:ascii="宋体" w:hAnsi="宋体"/>
          <w:szCs w:val="24"/>
        </w:rPr>
        <w:t>本功能应用案例证明</w:t>
      </w:r>
      <w:bookmarkEnd w:id="73"/>
    </w:p>
    <w:p w14:paraId="364172E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中信国际招标有限公司【详见1</w:t>
      </w:r>
      <w:r>
        <w:rPr>
          <w:rFonts w:ascii="宋体" w:hAnsi="宋体" w:eastAsia="宋体"/>
          <w:color w:val="000000" w:themeColor="text1"/>
          <w:szCs w:val="21"/>
          <w14:textFill>
            <w14:solidFill>
              <w14:schemeClr w14:val="tx1"/>
            </w14:solidFill>
          </w14:textFill>
        </w:rPr>
        <w:t>4.10.1</w:t>
      </w:r>
      <w:r>
        <w:rPr>
          <w:rFonts w:hint="eastAsia" w:ascii="宋体" w:hAnsi="宋体" w:eastAsia="宋体"/>
          <w:color w:val="000000" w:themeColor="text1"/>
          <w:szCs w:val="21"/>
          <w14:textFill>
            <w14:solidFill>
              <w14:schemeClr w14:val="tx1"/>
            </w14:solidFill>
          </w14:textFill>
        </w:rPr>
        <w:t>】</w:t>
      </w:r>
    </w:p>
    <w:p w14:paraId="07E2E81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陕西省采购招标有限责任公司【详见1</w:t>
      </w:r>
      <w:r>
        <w:rPr>
          <w:rFonts w:ascii="宋体" w:hAnsi="宋体" w:eastAsia="宋体"/>
          <w:color w:val="000000" w:themeColor="text1"/>
          <w:szCs w:val="21"/>
          <w14:textFill>
            <w14:solidFill>
              <w14:schemeClr w14:val="tx1"/>
            </w14:solidFill>
          </w14:textFill>
        </w:rPr>
        <w:t>4.10.3</w:t>
      </w:r>
      <w:r>
        <w:rPr>
          <w:rFonts w:hint="eastAsia" w:ascii="宋体" w:hAnsi="宋体" w:eastAsia="宋体"/>
          <w:color w:val="000000" w:themeColor="text1"/>
          <w:szCs w:val="21"/>
          <w14:textFill>
            <w14:solidFill>
              <w14:schemeClr w14:val="tx1"/>
            </w14:solidFill>
          </w14:textFill>
        </w:rPr>
        <w:t>】</w:t>
      </w:r>
    </w:p>
    <w:p w14:paraId="26EE3C6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中科信工程咨询（北京）有限责任公司【详见1</w:t>
      </w:r>
      <w:r>
        <w:rPr>
          <w:rFonts w:ascii="宋体" w:hAnsi="宋体" w:eastAsia="宋体"/>
          <w:color w:val="000000" w:themeColor="text1"/>
          <w:szCs w:val="21"/>
          <w14:textFill>
            <w14:solidFill>
              <w14:schemeClr w14:val="tx1"/>
            </w14:solidFill>
          </w14:textFill>
        </w:rPr>
        <w:t>4.10.5</w:t>
      </w:r>
      <w:r>
        <w:rPr>
          <w:rFonts w:hint="eastAsia" w:ascii="宋体" w:hAnsi="宋体" w:eastAsia="宋体"/>
          <w:color w:val="000000" w:themeColor="text1"/>
          <w:szCs w:val="21"/>
          <w14:textFill>
            <w14:solidFill>
              <w14:schemeClr w14:val="tx1"/>
            </w14:solidFill>
          </w14:textFill>
        </w:rPr>
        <w:t>】</w:t>
      </w:r>
    </w:p>
    <w:p w14:paraId="1C8F2B6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北京兴电国际工程管理有限公司【详见1</w:t>
      </w:r>
      <w:r>
        <w:rPr>
          <w:rFonts w:ascii="宋体" w:hAnsi="宋体" w:eastAsia="宋体"/>
          <w:color w:val="000000" w:themeColor="text1"/>
          <w:szCs w:val="21"/>
          <w14:textFill>
            <w14:solidFill>
              <w14:schemeClr w14:val="tx1"/>
            </w14:solidFill>
          </w14:textFill>
        </w:rPr>
        <w:t>4.10.7</w:t>
      </w:r>
      <w:r>
        <w:rPr>
          <w:rFonts w:hint="eastAsia" w:ascii="宋体" w:hAnsi="宋体" w:eastAsia="宋体"/>
          <w:color w:val="000000" w:themeColor="text1"/>
          <w:szCs w:val="21"/>
          <w14:textFill>
            <w14:solidFill>
              <w14:schemeClr w14:val="tx1"/>
            </w14:solidFill>
          </w14:textFill>
        </w:rPr>
        <w:t>】</w:t>
      </w:r>
    </w:p>
    <w:p w14:paraId="3B810A4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湖北香青肥料科技有限公司【详见1</w:t>
      </w:r>
      <w:r>
        <w:rPr>
          <w:rFonts w:ascii="宋体" w:hAnsi="宋体" w:eastAsia="宋体"/>
          <w:color w:val="000000" w:themeColor="text1"/>
          <w:szCs w:val="21"/>
          <w14:textFill>
            <w14:solidFill>
              <w14:schemeClr w14:val="tx1"/>
            </w14:solidFill>
          </w14:textFill>
        </w:rPr>
        <w:t>4.10.8</w:t>
      </w:r>
      <w:r>
        <w:rPr>
          <w:rFonts w:hint="eastAsia" w:ascii="宋体" w:hAnsi="宋体" w:eastAsia="宋体"/>
          <w:color w:val="000000" w:themeColor="text1"/>
          <w:szCs w:val="21"/>
          <w14:textFill>
            <w14:solidFill>
              <w14:schemeClr w14:val="tx1"/>
            </w14:solidFill>
          </w14:textFill>
        </w:rPr>
        <w:t>】</w:t>
      </w:r>
    </w:p>
    <w:p w14:paraId="607402E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河南省烟草公司郑州市公司【详见1</w:t>
      </w:r>
      <w:r>
        <w:rPr>
          <w:rFonts w:ascii="宋体" w:hAnsi="宋体" w:eastAsia="宋体"/>
          <w:color w:val="000000" w:themeColor="text1"/>
          <w:szCs w:val="21"/>
          <w14:textFill>
            <w14:solidFill>
              <w14:schemeClr w14:val="tx1"/>
            </w14:solidFill>
          </w14:textFill>
        </w:rPr>
        <w:t>4.10.9</w:t>
      </w:r>
      <w:r>
        <w:rPr>
          <w:rFonts w:hint="eastAsia" w:ascii="宋体" w:hAnsi="宋体" w:eastAsia="宋体"/>
          <w:color w:val="000000" w:themeColor="text1"/>
          <w:szCs w:val="21"/>
          <w14:textFill>
            <w14:solidFill>
              <w14:schemeClr w14:val="tx1"/>
            </w14:solidFill>
          </w14:textFill>
        </w:rPr>
        <w:t>】</w:t>
      </w:r>
    </w:p>
    <w:p w14:paraId="5DA16D0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河南省烟草公司洛阳市公司【详见1</w:t>
      </w:r>
      <w:r>
        <w:rPr>
          <w:rFonts w:ascii="宋体" w:hAnsi="宋体" w:eastAsia="宋体"/>
          <w:color w:val="000000" w:themeColor="text1"/>
          <w:szCs w:val="21"/>
          <w14:textFill>
            <w14:solidFill>
              <w14:schemeClr w14:val="tx1"/>
            </w14:solidFill>
          </w14:textFill>
        </w:rPr>
        <w:t>4.10.10</w:t>
      </w:r>
      <w:r>
        <w:rPr>
          <w:rFonts w:hint="eastAsia" w:ascii="宋体" w:hAnsi="宋体" w:eastAsia="宋体"/>
          <w:color w:val="000000" w:themeColor="text1"/>
          <w:szCs w:val="21"/>
          <w14:textFill>
            <w14:solidFill>
              <w14:schemeClr w14:val="tx1"/>
            </w14:solidFill>
          </w14:textFill>
        </w:rPr>
        <w:t>】</w:t>
      </w:r>
    </w:p>
    <w:p w14:paraId="14E190F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河南省烟草公司许昌市公司【详见1</w:t>
      </w:r>
      <w:r>
        <w:rPr>
          <w:rFonts w:ascii="宋体" w:hAnsi="宋体" w:eastAsia="宋体"/>
          <w:color w:val="000000" w:themeColor="text1"/>
          <w:szCs w:val="21"/>
          <w14:textFill>
            <w14:solidFill>
              <w14:schemeClr w14:val="tx1"/>
            </w14:solidFill>
          </w14:textFill>
        </w:rPr>
        <w:t>4.10.11</w:t>
      </w:r>
      <w:r>
        <w:rPr>
          <w:rFonts w:hint="eastAsia" w:ascii="宋体" w:hAnsi="宋体" w:eastAsia="宋体"/>
          <w:color w:val="000000" w:themeColor="text1"/>
          <w:szCs w:val="21"/>
          <w14:textFill>
            <w14:solidFill>
              <w14:schemeClr w14:val="tx1"/>
            </w14:solidFill>
          </w14:textFill>
        </w:rPr>
        <w:t>】</w:t>
      </w:r>
    </w:p>
    <w:p w14:paraId="2C826C1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河南省烟草公司南阳市公司【详见1</w:t>
      </w:r>
      <w:r>
        <w:rPr>
          <w:rFonts w:ascii="宋体" w:hAnsi="宋体" w:eastAsia="宋体"/>
          <w:color w:val="000000" w:themeColor="text1"/>
          <w:szCs w:val="21"/>
          <w14:textFill>
            <w14:solidFill>
              <w14:schemeClr w14:val="tx1"/>
            </w14:solidFill>
          </w14:textFill>
        </w:rPr>
        <w:t>4.10.12</w:t>
      </w:r>
      <w:r>
        <w:rPr>
          <w:rFonts w:hint="eastAsia" w:ascii="宋体" w:hAnsi="宋体" w:eastAsia="宋体"/>
          <w:color w:val="000000" w:themeColor="text1"/>
          <w:szCs w:val="21"/>
          <w14:textFill>
            <w14:solidFill>
              <w14:schemeClr w14:val="tx1"/>
            </w14:solidFill>
          </w14:textFill>
        </w:rPr>
        <w:t>】</w:t>
      </w:r>
    </w:p>
    <w:p w14:paraId="227A19A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河南省烟草公司三门峡市公司【详见1</w:t>
      </w:r>
      <w:r>
        <w:rPr>
          <w:rFonts w:ascii="宋体" w:hAnsi="宋体" w:eastAsia="宋体"/>
          <w:color w:val="000000" w:themeColor="text1"/>
          <w:szCs w:val="21"/>
          <w14:textFill>
            <w14:solidFill>
              <w14:schemeClr w14:val="tx1"/>
            </w14:solidFill>
          </w14:textFill>
        </w:rPr>
        <w:t>4.10.13</w:t>
      </w:r>
      <w:r>
        <w:rPr>
          <w:rFonts w:hint="eastAsia" w:ascii="宋体" w:hAnsi="宋体" w:eastAsia="宋体"/>
          <w:color w:val="000000" w:themeColor="text1"/>
          <w:szCs w:val="21"/>
          <w14:textFill>
            <w14:solidFill>
              <w14:schemeClr w14:val="tx1"/>
            </w14:solidFill>
          </w14:textFill>
        </w:rPr>
        <w:t>】</w:t>
      </w:r>
    </w:p>
    <w:p w14:paraId="41361CD1">
      <w:pPr>
        <w:pStyle w:val="5"/>
        <w:numPr>
          <w:ilvl w:val="1"/>
          <w:numId w:val="7"/>
        </w:numPr>
        <w:spacing w:before="260" w:after="260"/>
        <w:jc w:val="both"/>
        <w:rPr>
          <w:rFonts w:hint="eastAsia" w:ascii="宋体" w:hAnsi="宋体"/>
          <w:szCs w:val="28"/>
        </w:rPr>
      </w:pPr>
      <w:bookmarkStart w:id="74" w:name="_Toc180165699"/>
      <w:r>
        <w:rPr>
          <w:rFonts w:hint="eastAsia" w:ascii="宋体" w:hAnsi="宋体"/>
          <w:szCs w:val="28"/>
        </w:rPr>
        <w:t xml:space="preserve"> </w:t>
      </w:r>
      <w:bookmarkStart w:id="75" w:name="_Toc180265548"/>
      <w:r>
        <w:rPr>
          <w:rFonts w:hint="eastAsia" w:ascii="宋体" w:hAnsi="宋体"/>
          <w:szCs w:val="28"/>
        </w:rPr>
        <w:t>投标文件比对评审</w:t>
      </w:r>
      <w:bookmarkEnd w:id="74"/>
      <w:bookmarkEnd w:id="75"/>
    </w:p>
    <w:p w14:paraId="53FC43E8">
      <w:pPr>
        <w:pStyle w:val="2"/>
        <w:spacing w:line="360" w:lineRule="auto"/>
        <w:ind w:left="0" w:leftChars="0" w:firstLine="0" w:firstLineChars="0"/>
        <w:rPr>
          <w:rFonts w:hint="eastAsia" w:ascii="宋体" w:hAnsi="宋体"/>
          <w:b/>
          <w:szCs w:val="21"/>
        </w:rPr>
      </w:pPr>
      <w:r>
        <w:rPr>
          <w:rFonts w:ascii="宋体" w:hAnsi="宋体"/>
          <w:b/>
          <w:szCs w:val="21"/>
        </w:rPr>
        <w:t xml:space="preserve"> </w:t>
      </w:r>
      <w:r>
        <w:rPr>
          <w:rFonts w:hint="eastAsia" w:ascii="宋体" w:hAnsi="宋体"/>
          <w:b/>
          <w:szCs w:val="21"/>
        </w:rPr>
        <w:t>以下为产品功能概述，具体功能详见产品手册第</w:t>
      </w:r>
      <w:r>
        <w:rPr>
          <w:rFonts w:ascii="宋体" w:hAnsi="宋体"/>
          <w:b/>
          <w:szCs w:val="21"/>
        </w:rPr>
        <w:t>4.8.3</w:t>
      </w:r>
      <w:r>
        <w:rPr>
          <w:rFonts w:hint="eastAsia" w:ascii="宋体" w:hAnsi="宋体"/>
          <w:b/>
          <w:szCs w:val="21"/>
        </w:rPr>
        <w:t>章节 P</w:t>
      </w:r>
      <w:r>
        <w:rPr>
          <w:rFonts w:ascii="宋体" w:hAnsi="宋体"/>
          <w:b/>
          <w:szCs w:val="21"/>
        </w:rPr>
        <w:t>18</w:t>
      </w:r>
      <w:r>
        <w:rPr>
          <w:rFonts w:hint="eastAsia" w:ascii="宋体" w:hAnsi="宋体"/>
          <w:b/>
          <w:szCs w:val="21"/>
        </w:rPr>
        <w:t>5 页。</w:t>
      </w:r>
    </w:p>
    <w:p w14:paraId="0FC60E26">
      <w:pPr>
        <w:pStyle w:val="6"/>
        <w:numPr>
          <w:ilvl w:val="2"/>
          <w:numId w:val="7"/>
        </w:numPr>
        <w:spacing w:before="260" w:after="260"/>
        <w:jc w:val="both"/>
        <w:rPr>
          <w:rFonts w:hint="eastAsia" w:ascii="宋体" w:hAnsi="宋体" w:cs="宋体"/>
          <w:szCs w:val="24"/>
        </w:rPr>
      </w:pPr>
      <w:bookmarkStart w:id="76" w:name="_Toc180265549"/>
      <w:r>
        <w:rPr>
          <w:rFonts w:hint="eastAsia" w:ascii="宋体" w:hAnsi="宋体"/>
          <w:szCs w:val="24"/>
        </w:rPr>
        <w:t>评标时投标文件对比</w:t>
      </w:r>
      <w:bookmarkEnd w:id="76"/>
    </w:p>
    <w:p w14:paraId="3C198CB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支持投标文件对比评审、评审项定位功能；专家评标时，针对同一评审项可通过页面左上角的切换功能选择切换投标人来查看不同投标人的应答内容，通过这种操作可以简便、快捷的对比各投标人的优劣势，提升评审效率。</w:t>
      </w:r>
    </w:p>
    <w:p w14:paraId="3B390CB2">
      <w:pPr>
        <w:snapToGrid w:val="0"/>
        <w:spacing w:line="360" w:lineRule="auto"/>
        <w:contextualSpacing/>
        <w:rPr>
          <w:rFonts w:hint="eastAsia" w:ascii="宋体" w:hAnsi="宋体" w:eastAsia="宋体"/>
          <w:szCs w:val="21"/>
        </w:rPr>
      </w:pPr>
      <w:r>
        <w:rPr>
          <w:rFonts w:ascii="宋体" w:hAnsi="宋体" w:eastAsia="宋体"/>
          <w:szCs w:val="21"/>
        </w:rPr>
        <w:drawing>
          <wp:inline distT="0" distB="0" distL="0" distR="0">
            <wp:extent cx="5939790" cy="2821940"/>
            <wp:effectExtent l="0" t="0" r="381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75"/>
                    <a:stretch>
                      <a:fillRect/>
                    </a:stretch>
                  </pic:blipFill>
                  <pic:spPr>
                    <a:xfrm>
                      <a:off x="0" y="0"/>
                      <a:ext cx="5939790" cy="2821940"/>
                    </a:xfrm>
                    <a:prstGeom prst="rect">
                      <a:avLst/>
                    </a:prstGeom>
                  </pic:spPr>
                </pic:pic>
              </a:graphicData>
            </a:graphic>
          </wp:inline>
        </w:drawing>
      </w:r>
      <w:r>
        <w:rPr>
          <w:rFonts w:ascii="宋体" w:hAnsi="宋体" w:eastAsia="宋体"/>
          <w:szCs w:val="21"/>
        </w:rPr>
        <w:t xml:space="preserve"> </w:t>
      </w:r>
    </w:p>
    <w:p w14:paraId="16A8E0EF">
      <w:pPr>
        <w:pStyle w:val="6"/>
        <w:numPr>
          <w:ilvl w:val="2"/>
          <w:numId w:val="7"/>
        </w:numPr>
        <w:spacing w:before="260" w:after="260"/>
        <w:jc w:val="both"/>
        <w:rPr>
          <w:rFonts w:hint="eastAsia" w:ascii="宋体" w:hAnsi="宋体"/>
          <w:szCs w:val="24"/>
        </w:rPr>
      </w:pPr>
      <w:bookmarkStart w:id="77" w:name="_Toc180265550"/>
      <w:r>
        <w:rPr>
          <w:rFonts w:hint="eastAsia" w:ascii="宋体" w:hAnsi="宋体"/>
          <w:szCs w:val="24"/>
        </w:rPr>
        <w:t>本功能应用案例证明</w:t>
      </w:r>
      <w:bookmarkEnd w:id="77"/>
    </w:p>
    <w:p w14:paraId="67C9E34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中信国际招标有限公司【详见1</w:t>
      </w:r>
      <w:r>
        <w:rPr>
          <w:rFonts w:ascii="宋体" w:hAnsi="宋体" w:eastAsia="宋体"/>
          <w:color w:val="000000" w:themeColor="text1"/>
          <w:szCs w:val="21"/>
          <w14:textFill>
            <w14:solidFill>
              <w14:schemeClr w14:val="tx1"/>
            </w14:solidFill>
          </w14:textFill>
        </w:rPr>
        <w:t>4.10.1</w:t>
      </w:r>
      <w:r>
        <w:rPr>
          <w:rFonts w:hint="eastAsia" w:ascii="宋体" w:hAnsi="宋体" w:eastAsia="宋体"/>
          <w:color w:val="000000" w:themeColor="text1"/>
          <w:szCs w:val="21"/>
          <w14:textFill>
            <w14:solidFill>
              <w14:schemeClr w14:val="tx1"/>
            </w14:solidFill>
          </w14:textFill>
        </w:rPr>
        <w:t>】</w:t>
      </w:r>
    </w:p>
    <w:p w14:paraId="471FF17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黑龙江省招标有限公司【详见1</w:t>
      </w:r>
      <w:r>
        <w:rPr>
          <w:rFonts w:ascii="宋体" w:hAnsi="宋体" w:eastAsia="宋体"/>
          <w:color w:val="000000" w:themeColor="text1"/>
          <w:szCs w:val="21"/>
          <w14:textFill>
            <w14:solidFill>
              <w14:schemeClr w14:val="tx1"/>
            </w14:solidFill>
          </w14:textFill>
        </w:rPr>
        <w:t>4.10.2</w:t>
      </w:r>
      <w:r>
        <w:rPr>
          <w:rFonts w:hint="eastAsia" w:ascii="宋体" w:hAnsi="宋体" w:eastAsia="宋体"/>
          <w:color w:val="000000" w:themeColor="text1"/>
          <w:szCs w:val="21"/>
          <w14:textFill>
            <w14:solidFill>
              <w14:schemeClr w14:val="tx1"/>
            </w14:solidFill>
          </w14:textFill>
        </w:rPr>
        <w:t>】</w:t>
      </w:r>
    </w:p>
    <w:p w14:paraId="2F7EDBD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陕西省采购招标有限责任公司【详见1</w:t>
      </w:r>
      <w:r>
        <w:rPr>
          <w:rFonts w:ascii="宋体" w:hAnsi="宋体" w:eastAsia="宋体"/>
          <w:color w:val="000000" w:themeColor="text1"/>
          <w:szCs w:val="21"/>
          <w14:textFill>
            <w14:solidFill>
              <w14:schemeClr w14:val="tx1"/>
            </w14:solidFill>
          </w14:textFill>
        </w:rPr>
        <w:t>4.10.3</w:t>
      </w:r>
      <w:r>
        <w:rPr>
          <w:rFonts w:hint="eastAsia" w:ascii="宋体" w:hAnsi="宋体" w:eastAsia="宋体"/>
          <w:color w:val="000000" w:themeColor="text1"/>
          <w:szCs w:val="21"/>
          <w14:textFill>
            <w14:solidFill>
              <w14:schemeClr w14:val="tx1"/>
            </w14:solidFill>
          </w14:textFill>
        </w:rPr>
        <w:t>】</w:t>
      </w:r>
    </w:p>
    <w:p w14:paraId="30C5764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湖北香青肥料科技有限公司【详见1</w:t>
      </w:r>
      <w:r>
        <w:rPr>
          <w:rFonts w:ascii="宋体" w:hAnsi="宋体" w:eastAsia="宋体"/>
          <w:color w:val="000000" w:themeColor="text1"/>
          <w:szCs w:val="21"/>
          <w14:textFill>
            <w14:solidFill>
              <w14:schemeClr w14:val="tx1"/>
            </w14:solidFill>
          </w14:textFill>
        </w:rPr>
        <w:t>4.10.8</w:t>
      </w:r>
      <w:r>
        <w:rPr>
          <w:rFonts w:hint="eastAsia" w:ascii="宋体" w:hAnsi="宋体" w:eastAsia="宋体"/>
          <w:color w:val="000000" w:themeColor="text1"/>
          <w:szCs w:val="21"/>
          <w14:textFill>
            <w14:solidFill>
              <w14:schemeClr w14:val="tx1"/>
            </w14:solidFill>
          </w14:textFill>
        </w:rPr>
        <w:t>】</w:t>
      </w:r>
    </w:p>
    <w:p w14:paraId="2256E56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河南省烟草公司郑州市公司【详见1</w:t>
      </w:r>
      <w:r>
        <w:rPr>
          <w:rFonts w:ascii="宋体" w:hAnsi="宋体" w:eastAsia="宋体"/>
          <w:color w:val="000000" w:themeColor="text1"/>
          <w:szCs w:val="21"/>
          <w14:textFill>
            <w14:solidFill>
              <w14:schemeClr w14:val="tx1"/>
            </w14:solidFill>
          </w14:textFill>
        </w:rPr>
        <w:t>4.10.9</w:t>
      </w:r>
      <w:r>
        <w:rPr>
          <w:rFonts w:hint="eastAsia" w:ascii="宋体" w:hAnsi="宋体" w:eastAsia="宋体"/>
          <w:color w:val="000000" w:themeColor="text1"/>
          <w:szCs w:val="21"/>
          <w14:textFill>
            <w14:solidFill>
              <w14:schemeClr w14:val="tx1"/>
            </w14:solidFill>
          </w14:textFill>
        </w:rPr>
        <w:t>】</w:t>
      </w:r>
    </w:p>
    <w:p w14:paraId="7AAB339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河南省烟草公司洛阳市公司【详见1</w:t>
      </w:r>
      <w:r>
        <w:rPr>
          <w:rFonts w:ascii="宋体" w:hAnsi="宋体" w:eastAsia="宋体"/>
          <w:color w:val="000000" w:themeColor="text1"/>
          <w:szCs w:val="21"/>
          <w14:textFill>
            <w14:solidFill>
              <w14:schemeClr w14:val="tx1"/>
            </w14:solidFill>
          </w14:textFill>
        </w:rPr>
        <w:t>4.10.12</w:t>
      </w:r>
      <w:r>
        <w:rPr>
          <w:rFonts w:hint="eastAsia" w:ascii="宋体" w:hAnsi="宋体" w:eastAsia="宋体"/>
          <w:color w:val="000000" w:themeColor="text1"/>
          <w:szCs w:val="21"/>
          <w14:textFill>
            <w14:solidFill>
              <w14:schemeClr w14:val="tx1"/>
            </w14:solidFill>
          </w14:textFill>
        </w:rPr>
        <w:t>】</w:t>
      </w:r>
    </w:p>
    <w:p w14:paraId="14E7619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河南省烟草公司许昌市公司【详见1</w:t>
      </w:r>
      <w:r>
        <w:rPr>
          <w:rFonts w:ascii="宋体" w:hAnsi="宋体" w:eastAsia="宋体"/>
          <w:color w:val="000000" w:themeColor="text1"/>
          <w:szCs w:val="21"/>
          <w14:textFill>
            <w14:solidFill>
              <w14:schemeClr w14:val="tx1"/>
            </w14:solidFill>
          </w14:textFill>
        </w:rPr>
        <w:t>4.10.11</w:t>
      </w:r>
      <w:r>
        <w:rPr>
          <w:rFonts w:hint="eastAsia" w:ascii="宋体" w:hAnsi="宋体" w:eastAsia="宋体"/>
          <w:color w:val="000000" w:themeColor="text1"/>
          <w:szCs w:val="21"/>
          <w14:textFill>
            <w14:solidFill>
              <w14:schemeClr w14:val="tx1"/>
            </w14:solidFill>
          </w14:textFill>
        </w:rPr>
        <w:t>】</w:t>
      </w:r>
    </w:p>
    <w:p w14:paraId="0B9835E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河南省烟草公司南阳市公司【详见1</w:t>
      </w:r>
      <w:r>
        <w:rPr>
          <w:rFonts w:ascii="宋体" w:hAnsi="宋体" w:eastAsia="宋体"/>
          <w:color w:val="000000" w:themeColor="text1"/>
          <w:szCs w:val="21"/>
          <w14:textFill>
            <w14:solidFill>
              <w14:schemeClr w14:val="tx1"/>
            </w14:solidFill>
          </w14:textFill>
        </w:rPr>
        <w:t>4.10.12</w:t>
      </w:r>
      <w:r>
        <w:rPr>
          <w:rFonts w:hint="eastAsia" w:ascii="宋体" w:hAnsi="宋体" w:eastAsia="宋体"/>
          <w:color w:val="000000" w:themeColor="text1"/>
          <w:szCs w:val="21"/>
          <w14:textFill>
            <w14:solidFill>
              <w14:schemeClr w14:val="tx1"/>
            </w14:solidFill>
          </w14:textFill>
        </w:rPr>
        <w:t>】</w:t>
      </w:r>
    </w:p>
    <w:p w14:paraId="69579F8D">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河南省烟草公司三门峡市公司【详见1</w:t>
      </w:r>
      <w:r>
        <w:rPr>
          <w:rFonts w:ascii="宋体" w:hAnsi="宋体" w:eastAsia="宋体"/>
          <w:color w:val="000000" w:themeColor="text1"/>
          <w:szCs w:val="21"/>
          <w14:textFill>
            <w14:solidFill>
              <w14:schemeClr w14:val="tx1"/>
            </w14:solidFill>
          </w14:textFill>
        </w:rPr>
        <w:t>4.10.13</w:t>
      </w:r>
      <w:r>
        <w:rPr>
          <w:rFonts w:hint="eastAsia" w:ascii="宋体" w:hAnsi="宋体" w:eastAsia="宋体"/>
          <w:color w:val="000000" w:themeColor="text1"/>
          <w:szCs w:val="21"/>
          <w14:textFill>
            <w14:solidFill>
              <w14:schemeClr w14:val="tx1"/>
            </w14:solidFill>
          </w14:textFill>
        </w:rPr>
        <w:t>】</w:t>
      </w:r>
    </w:p>
    <w:p w14:paraId="6190C182">
      <w:pPr>
        <w:pStyle w:val="2"/>
        <w:spacing w:line="360" w:lineRule="auto"/>
        <w:rPr>
          <w:rFonts w:hint="eastAsia" w:ascii="宋体" w:hAnsi="宋体"/>
          <w:szCs w:val="21"/>
        </w:rPr>
      </w:pPr>
    </w:p>
    <w:p w14:paraId="095C778A">
      <w:pPr>
        <w:pStyle w:val="5"/>
        <w:numPr>
          <w:ilvl w:val="1"/>
          <w:numId w:val="7"/>
        </w:numPr>
        <w:spacing w:before="260" w:after="260"/>
        <w:jc w:val="both"/>
        <w:rPr>
          <w:rFonts w:hint="eastAsia" w:ascii="宋体" w:hAnsi="宋体"/>
          <w:szCs w:val="28"/>
        </w:rPr>
      </w:pPr>
      <w:bookmarkStart w:id="78" w:name="_Toc180165700"/>
      <w:r>
        <w:rPr>
          <w:rFonts w:hint="eastAsia" w:ascii="宋体" w:hAnsi="宋体"/>
          <w:szCs w:val="28"/>
        </w:rPr>
        <w:t xml:space="preserve"> </w:t>
      </w:r>
      <w:bookmarkStart w:id="79" w:name="_Toc180265551"/>
      <w:r>
        <w:rPr>
          <w:rFonts w:hint="eastAsia" w:ascii="宋体" w:hAnsi="宋体"/>
          <w:szCs w:val="28"/>
        </w:rPr>
        <w:t>盲评</w:t>
      </w:r>
      <w:bookmarkEnd w:id="78"/>
      <w:bookmarkEnd w:id="79"/>
    </w:p>
    <w:p w14:paraId="3B629E68">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4.8.4</w:t>
      </w:r>
      <w:r>
        <w:rPr>
          <w:rFonts w:hint="eastAsia" w:ascii="宋体" w:hAnsi="宋体"/>
          <w:b/>
          <w:szCs w:val="21"/>
        </w:rPr>
        <w:t>章节 P</w:t>
      </w:r>
      <w:r>
        <w:rPr>
          <w:rFonts w:ascii="宋体" w:hAnsi="宋体"/>
          <w:b/>
          <w:szCs w:val="21"/>
        </w:rPr>
        <w:t>18</w:t>
      </w:r>
      <w:r>
        <w:rPr>
          <w:rFonts w:hint="eastAsia" w:ascii="宋体" w:hAnsi="宋体"/>
          <w:b/>
          <w:szCs w:val="21"/>
        </w:rPr>
        <w:t>5页。</w:t>
      </w:r>
    </w:p>
    <w:p w14:paraId="5163DB3D">
      <w:pPr>
        <w:pStyle w:val="6"/>
        <w:numPr>
          <w:ilvl w:val="2"/>
          <w:numId w:val="7"/>
        </w:numPr>
        <w:spacing w:before="260" w:after="260"/>
        <w:jc w:val="both"/>
        <w:rPr>
          <w:rFonts w:hint="eastAsia" w:ascii="宋体" w:hAnsi="宋体"/>
          <w:szCs w:val="24"/>
        </w:rPr>
      </w:pPr>
      <w:bookmarkStart w:id="80" w:name="_Toc180165701"/>
      <w:bookmarkStart w:id="81" w:name="_Toc180265552"/>
      <w:r>
        <w:rPr>
          <w:rFonts w:hint="eastAsia" w:ascii="宋体" w:hAnsi="宋体"/>
          <w:szCs w:val="24"/>
        </w:rPr>
        <w:t>专家盲评</w:t>
      </w:r>
      <w:bookmarkEnd w:id="80"/>
      <w:bookmarkEnd w:id="81"/>
    </w:p>
    <w:p w14:paraId="7EDE9CB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专家盲评模式，项目评审时如果选择了双盲评审，远程开评标视频会议室中各评标专家姓名、影像、声音会做特殊处理，通过遮脸、变声的方式隐藏评审专家的实际信息，各评标专家之间的身份不可见，减少人为干扰因素，使评审过程更加公正。</w:t>
      </w:r>
    </w:p>
    <w:p w14:paraId="3D2FAF84">
      <w:pPr>
        <w:pStyle w:val="2"/>
        <w:spacing w:line="360" w:lineRule="auto"/>
        <w:ind w:left="0" w:leftChars="0"/>
        <w:rPr>
          <w:rFonts w:hint="eastAsia" w:ascii="宋体" w:hAnsi="宋体"/>
          <w:szCs w:val="21"/>
        </w:rPr>
      </w:pPr>
      <w:r>
        <w:rPr>
          <w:rFonts w:hint="eastAsia" w:ascii="宋体" w:hAnsi="宋体" w:cstheme="minorEastAsia"/>
          <w:szCs w:val="21"/>
        </w:rPr>
        <w:drawing>
          <wp:inline distT="0" distB="0" distL="114300" distR="114300">
            <wp:extent cx="5379085" cy="2336165"/>
            <wp:effectExtent l="0" t="0" r="0" b="6985"/>
            <wp:docPr id="14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5"/>
                    <pic:cNvPicPr>
                      <a:picLocks noChangeAspect="1"/>
                    </pic:cNvPicPr>
                  </pic:nvPicPr>
                  <pic:blipFill>
                    <a:blip r:embed="rId76"/>
                    <a:stretch>
                      <a:fillRect/>
                    </a:stretch>
                  </pic:blipFill>
                  <pic:spPr>
                    <a:xfrm>
                      <a:off x="0" y="0"/>
                      <a:ext cx="5385653" cy="2339485"/>
                    </a:xfrm>
                    <a:prstGeom prst="rect">
                      <a:avLst/>
                    </a:prstGeom>
                    <a:noFill/>
                    <a:ln>
                      <a:noFill/>
                    </a:ln>
                  </pic:spPr>
                </pic:pic>
              </a:graphicData>
            </a:graphic>
          </wp:inline>
        </w:drawing>
      </w:r>
    </w:p>
    <w:p w14:paraId="696D1EE9">
      <w:pPr>
        <w:pStyle w:val="2"/>
        <w:spacing w:line="360" w:lineRule="auto"/>
        <w:ind w:left="0" w:leftChars="0"/>
        <w:rPr>
          <w:rFonts w:hint="eastAsia" w:ascii="宋体" w:hAnsi="宋体"/>
          <w:szCs w:val="21"/>
        </w:rPr>
      </w:pPr>
    </w:p>
    <w:p w14:paraId="1A47C72F">
      <w:pPr>
        <w:pStyle w:val="6"/>
        <w:numPr>
          <w:ilvl w:val="2"/>
          <w:numId w:val="7"/>
        </w:numPr>
        <w:spacing w:before="260" w:after="260"/>
        <w:jc w:val="both"/>
        <w:rPr>
          <w:rFonts w:hint="eastAsia" w:ascii="宋体" w:hAnsi="宋体"/>
          <w:szCs w:val="24"/>
        </w:rPr>
      </w:pPr>
      <w:bookmarkStart w:id="82" w:name="_Toc180265553"/>
      <w:bookmarkStart w:id="83" w:name="_Toc180165702"/>
      <w:r>
        <w:rPr>
          <w:rFonts w:hint="eastAsia" w:ascii="宋体" w:hAnsi="宋体"/>
          <w:szCs w:val="24"/>
        </w:rPr>
        <w:t>技术暗标</w:t>
      </w:r>
      <w:bookmarkEnd w:id="82"/>
      <w:bookmarkEnd w:id="83"/>
    </w:p>
    <w:p w14:paraId="4EB1173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支持暗标项目，投标人制作投标文件时，非暗标部分投标文件与暗标部分投标文件拆分上传，并统一打包成一份投标文件在线递交，评标前，项目经理可在评审配置中设置技术暗标的评审顺序，可以优先评审技术暗标部分，也可以优先评审非暗标部分。</w:t>
      </w:r>
    </w:p>
    <w:p w14:paraId="7AD3605B">
      <w:pPr>
        <w:pStyle w:val="2"/>
        <w:spacing w:after="0" w:line="360" w:lineRule="auto"/>
        <w:ind w:left="0" w:leftChars="0" w:firstLine="0" w:firstLineChars="0"/>
        <w:rPr>
          <w:rFonts w:hint="eastAsia" w:ascii="宋体" w:hAnsi="宋体" w:cs="宋体"/>
          <w:szCs w:val="21"/>
        </w:rPr>
      </w:pPr>
      <w:r>
        <w:rPr>
          <w:rFonts w:ascii="宋体" w:hAnsi="宋体"/>
          <w:szCs w:val="21"/>
        </w:rPr>
        <w:drawing>
          <wp:inline distT="0" distB="0" distL="114300" distR="114300">
            <wp:extent cx="5931535" cy="1478280"/>
            <wp:effectExtent l="0" t="0" r="12065" b="0"/>
            <wp:docPr id="10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4"/>
                    <pic:cNvPicPr>
                      <a:picLocks noChangeAspect="1"/>
                    </pic:cNvPicPr>
                  </pic:nvPicPr>
                  <pic:blipFill>
                    <a:blip r:embed="rId77"/>
                    <a:stretch>
                      <a:fillRect/>
                    </a:stretch>
                  </pic:blipFill>
                  <pic:spPr>
                    <a:xfrm>
                      <a:off x="0" y="0"/>
                      <a:ext cx="5931535" cy="1478280"/>
                    </a:xfrm>
                    <a:prstGeom prst="rect">
                      <a:avLst/>
                    </a:prstGeom>
                    <a:noFill/>
                    <a:ln>
                      <a:noFill/>
                    </a:ln>
                  </pic:spPr>
                </pic:pic>
              </a:graphicData>
            </a:graphic>
          </wp:inline>
        </w:drawing>
      </w:r>
    </w:p>
    <w:p w14:paraId="1A246DAF">
      <w:pPr>
        <w:pStyle w:val="2"/>
        <w:spacing w:after="0" w:line="360" w:lineRule="auto"/>
        <w:ind w:left="0" w:leftChars="0" w:firstLine="0" w:firstLineChars="0"/>
        <w:rPr>
          <w:rFonts w:hint="eastAsia" w:ascii="宋体" w:hAnsi="宋体" w:cs="宋体"/>
          <w:szCs w:val="21"/>
        </w:rPr>
      </w:pPr>
      <w:r>
        <w:rPr>
          <w:rFonts w:hint="eastAsia" w:ascii="宋体" w:hAnsi="宋体" w:cstheme="minorEastAsia"/>
          <w:szCs w:val="21"/>
        </w:rPr>
        <w:drawing>
          <wp:inline distT="0" distB="0" distL="114300" distR="114300">
            <wp:extent cx="5826760" cy="2279650"/>
            <wp:effectExtent l="0" t="0" r="2540" b="6350"/>
            <wp:docPr id="1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6"/>
                    <pic:cNvPicPr>
                      <a:picLocks noChangeAspect="1"/>
                    </pic:cNvPicPr>
                  </pic:nvPicPr>
                  <pic:blipFill>
                    <a:blip r:embed="rId78"/>
                    <a:stretch>
                      <a:fillRect/>
                    </a:stretch>
                  </pic:blipFill>
                  <pic:spPr>
                    <a:xfrm>
                      <a:off x="0" y="0"/>
                      <a:ext cx="5871174" cy="2297307"/>
                    </a:xfrm>
                    <a:prstGeom prst="rect">
                      <a:avLst/>
                    </a:prstGeom>
                    <a:noFill/>
                    <a:ln>
                      <a:noFill/>
                    </a:ln>
                  </pic:spPr>
                </pic:pic>
              </a:graphicData>
            </a:graphic>
          </wp:inline>
        </w:drawing>
      </w:r>
    </w:p>
    <w:p w14:paraId="02909856">
      <w:pPr>
        <w:pStyle w:val="2"/>
        <w:numPr>
          <w:ilvl w:val="0"/>
          <w:numId w:val="14"/>
        </w:numPr>
        <w:spacing w:after="0" w:line="360" w:lineRule="auto"/>
        <w:ind w:leftChars="0" w:firstLineChars="0"/>
        <w:rPr>
          <w:rFonts w:hint="eastAsia" w:ascii="宋体" w:hAnsi="宋体" w:cs="宋体"/>
          <w:b/>
          <w:szCs w:val="21"/>
        </w:rPr>
      </w:pPr>
      <w:r>
        <w:rPr>
          <w:rFonts w:hint="eastAsia" w:ascii="宋体" w:hAnsi="宋体" w:cs="宋体"/>
          <w:b/>
          <w:szCs w:val="21"/>
        </w:rPr>
        <w:t>优先评审暗标部分</w:t>
      </w:r>
    </w:p>
    <w:p w14:paraId="0030D2D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按照技术评审、初步评审、其他详细评审的顺序进行，技术评审中投标人顺序打乱、名称以代号展示，专家全部提交技术评审打分后恢复展示投标人名称，依次进行初步评审、详细评审。</w:t>
      </w:r>
    </w:p>
    <w:p w14:paraId="6C155367">
      <w:pPr>
        <w:pStyle w:val="2"/>
        <w:numPr>
          <w:ilvl w:val="0"/>
          <w:numId w:val="14"/>
        </w:numPr>
        <w:spacing w:after="0" w:line="360" w:lineRule="auto"/>
        <w:ind w:leftChars="0" w:firstLineChars="0"/>
        <w:rPr>
          <w:rFonts w:hint="eastAsia" w:ascii="宋体" w:hAnsi="宋体" w:cs="宋体"/>
          <w:b/>
          <w:szCs w:val="21"/>
        </w:rPr>
      </w:pPr>
      <w:r>
        <w:rPr>
          <w:rFonts w:hint="eastAsia" w:ascii="宋体" w:hAnsi="宋体" w:cs="宋体"/>
          <w:b/>
          <w:szCs w:val="21"/>
        </w:rPr>
        <w:t>优先评审非暗标部分</w:t>
      </w:r>
    </w:p>
    <w:p w14:paraId="092D8A55">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照初步评审、技术评审、其他详细评审的顺序进行，专家全部提交初步评审评审结果后方可进行技术评审，专家全部提交技术评审打分后方可进行其他详细评审。仅“技术评审”中的投标人顺序打乱、名称以代号展示，其余评审环节均展示投标人真实名称。</w:t>
      </w:r>
      <w:r>
        <w:rPr>
          <w:rFonts w:ascii="宋体" w:hAnsi="宋体" w:eastAsia="宋体"/>
          <w:color w:val="000000" w:themeColor="text1"/>
          <w:szCs w:val="21"/>
          <w14:textFill>
            <w14:solidFill>
              <w14:schemeClr w14:val="tx1"/>
            </w14:solidFill>
          </w14:textFill>
        </w:rPr>
        <w:t xml:space="preserve"> </w:t>
      </w:r>
    </w:p>
    <w:p w14:paraId="3320822C">
      <w:pPr>
        <w:pStyle w:val="6"/>
        <w:numPr>
          <w:ilvl w:val="2"/>
          <w:numId w:val="7"/>
        </w:numPr>
        <w:spacing w:before="260" w:after="260"/>
        <w:jc w:val="both"/>
        <w:rPr>
          <w:rFonts w:hint="eastAsia" w:ascii="宋体" w:hAnsi="宋体"/>
          <w:szCs w:val="24"/>
        </w:rPr>
      </w:pPr>
      <w:bookmarkStart w:id="84" w:name="_Toc180265554"/>
      <w:r>
        <w:rPr>
          <w:rFonts w:hint="eastAsia" w:ascii="宋体" w:hAnsi="宋体"/>
          <w:szCs w:val="24"/>
        </w:rPr>
        <w:t>本功能应用案例证明</w:t>
      </w:r>
      <w:bookmarkEnd w:id="84"/>
    </w:p>
    <w:p w14:paraId="012E9AA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中信国际招标有限公司【详见1</w:t>
      </w:r>
      <w:r>
        <w:rPr>
          <w:rFonts w:ascii="宋体" w:hAnsi="宋体" w:eastAsia="宋体"/>
          <w:color w:val="000000" w:themeColor="text1"/>
          <w:szCs w:val="21"/>
          <w14:textFill>
            <w14:solidFill>
              <w14:schemeClr w14:val="tx1"/>
            </w14:solidFill>
          </w14:textFill>
        </w:rPr>
        <w:t>4.10.1</w:t>
      </w:r>
      <w:r>
        <w:rPr>
          <w:rFonts w:hint="eastAsia" w:ascii="宋体" w:hAnsi="宋体" w:eastAsia="宋体"/>
          <w:color w:val="000000" w:themeColor="text1"/>
          <w:szCs w:val="21"/>
          <w14:textFill>
            <w14:solidFill>
              <w14:schemeClr w14:val="tx1"/>
            </w14:solidFill>
          </w14:textFill>
        </w:rPr>
        <w:t>】</w:t>
      </w:r>
    </w:p>
    <w:p w14:paraId="73F04CF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黑龙江省招标有限公司【详见1</w:t>
      </w:r>
      <w:r>
        <w:rPr>
          <w:rFonts w:ascii="宋体" w:hAnsi="宋体" w:eastAsia="宋体"/>
          <w:color w:val="000000" w:themeColor="text1"/>
          <w:szCs w:val="21"/>
          <w14:textFill>
            <w14:solidFill>
              <w14:schemeClr w14:val="tx1"/>
            </w14:solidFill>
          </w14:textFill>
        </w:rPr>
        <w:t>4.10.2</w:t>
      </w:r>
      <w:r>
        <w:rPr>
          <w:rFonts w:hint="eastAsia" w:ascii="宋体" w:hAnsi="宋体" w:eastAsia="宋体"/>
          <w:color w:val="000000" w:themeColor="text1"/>
          <w:szCs w:val="21"/>
          <w14:textFill>
            <w14:solidFill>
              <w14:schemeClr w14:val="tx1"/>
            </w14:solidFill>
          </w14:textFill>
        </w:rPr>
        <w:t>】</w:t>
      </w:r>
    </w:p>
    <w:p w14:paraId="64C4839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河南省烟草公司郑州市公司【详见1</w:t>
      </w:r>
      <w:r>
        <w:rPr>
          <w:rFonts w:ascii="宋体" w:hAnsi="宋体" w:eastAsia="宋体"/>
          <w:color w:val="000000" w:themeColor="text1"/>
          <w:szCs w:val="21"/>
          <w14:textFill>
            <w14:solidFill>
              <w14:schemeClr w14:val="tx1"/>
            </w14:solidFill>
          </w14:textFill>
        </w:rPr>
        <w:t>4.10.9</w:t>
      </w:r>
      <w:r>
        <w:rPr>
          <w:rFonts w:hint="eastAsia" w:ascii="宋体" w:hAnsi="宋体" w:eastAsia="宋体"/>
          <w:color w:val="000000" w:themeColor="text1"/>
          <w:szCs w:val="21"/>
          <w14:textFill>
            <w14:solidFill>
              <w14:schemeClr w14:val="tx1"/>
            </w14:solidFill>
          </w14:textFill>
        </w:rPr>
        <w:t>】</w:t>
      </w:r>
    </w:p>
    <w:p w14:paraId="61F8BBD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河南省烟草公司洛阳市公司【详见1</w:t>
      </w:r>
      <w:r>
        <w:rPr>
          <w:rFonts w:ascii="宋体" w:hAnsi="宋体" w:eastAsia="宋体"/>
          <w:color w:val="000000" w:themeColor="text1"/>
          <w:szCs w:val="21"/>
          <w14:textFill>
            <w14:solidFill>
              <w14:schemeClr w14:val="tx1"/>
            </w14:solidFill>
          </w14:textFill>
        </w:rPr>
        <w:t>4.10.10</w:t>
      </w:r>
      <w:r>
        <w:rPr>
          <w:rFonts w:hint="eastAsia" w:ascii="宋体" w:hAnsi="宋体" w:eastAsia="宋体"/>
          <w:color w:val="000000" w:themeColor="text1"/>
          <w:szCs w:val="21"/>
          <w14:textFill>
            <w14:solidFill>
              <w14:schemeClr w14:val="tx1"/>
            </w14:solidFill>
          </w14:textFill>
        </w:rPr>
        <w:t>】</w:t>
      </w:r>
    </w:p>
    <w:p w14:paraId="1E4A7F8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河南省烟草公司许昌市公司【详见1</w:t>
      </w:r>
      <w:r>
        <w:rPr>
          <w:rFonts w:ascii="宋体" w:hAnsi="宋体" w:eastAsia="宋体"/>
          <w:color w:val="000000" w:themeColor="text1"/>
          <w:szCs w:val="21"/>
          <w14:textFill>
            <w14:solidFill>
              <w14:schemeClr w14:val="tx1"/>
            </w14:solidFill>
          </w14:textFill>
        </w:rPr>
        <w:t>4.10.11</w:t>
      </w:r>
      <w:r>
        <w:rPr>
          <w:rFonts w:hint="eastAsia" w:ascii="宋体" w:hAnsi="宋体" w:eastAsia="宋体"/>
          <w:color w:val="000000" w:themeColor="text1"/>
          <w:szCs w:val="21"/>
          <w14:textFill>
            <w14:solidFill>
              <w14:schemeClr w14:val="tx1"/>
            </w14:solidFill>
          </w14:textFill>
        </w:rPr>
        <w:t>】</w:t>
      </w:r>
    </w:p>
    <w:p w14:paraId="2B0BD4E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河南省烟草公司南阳市公司【详见1</w:t>
      </w:r>
      <w:r>
        <w:rPr>
          <w:rFonts w:ascii="宋体" w:hAnsi="宋体" w:eastAsia="宋体"/>
          <w:color w:val="000000" w:themeColor="text1"/>
          <w:szCs w:val="21"/>
          <w14:textFill>
            <w14:solidFill>
              <w14:schemeClr w14:val="tx1"/>
            </w14:solidFill>
          </w14:textFill>
        </w:rPr>
        <w:t>4.10.12</w:t>
      </w:r>
      <w:r>
        <w:rPr>
          <w:rFonts w:hint="eastAsia" w:ascii="宋体" w:hAnsi="宋体" w:eastAsia="宋体"/>
          <w:color w:val="000000" w:themeColor="text1"/>
          <w:szCs w:val="21"/>
          <w14:textFill>
            <w14:solidFill>
              <w14:schemeClr w14:val="tx1"/>
            </w14:solidFill>
          </w14:textFill>
        </w:rPr>
        <w:t>】</w:t>
      </w:r>
    </w:p>
    <w:p w14:paraId="7FF49BB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河南省烟草公司三门峡市公司【详见1</w:t>
      </w:r>
      <w:r>
        <w:rPr>
          <w:rFonts w:ascii="宋体" w:hAnsi="宋体" w:eastAsia="宋体"/>
          <w:color w:val="000000" w:themeColor="text1"/>
          <w:szCs w:val="21"/>
          <w14:textFill>
            <w14:solidFill>
              <w14:schemeClr w14:val="tx1"/>
            </w14:solidFill>
          </w14:textFill>
        </w:rPr>
        <w:t>4.10.13</w:t>
      </w:r>
      <w:r>
        <w:rPr>
          <w:rFonts w:hint="eastAsia" w:ascii="宋体" w:hAnsi="宋体" w:eastAsia="宋体"/>
          <w:color w:val="000000" w:themeColor="text1"/>
          <w:szCs w:val="21"/>
          <w14:textFill>
            <w14:solidFill>
              <w14:schemeClr w14:val="tx1"/>
            </w14:solidFill>
          </w14:textFill>
        </w:rPr>
        <w:t>】</w:t>
      </w:r>
    </w:p>
    <w:p w14:paraId="66064226">
      <w:pPr>
        <w:pStyle w:val="5"/>
        <w:numPr>
          <w:ilvl w:val="1"/>
          <w:numId w:val="7"/>
        </w:numPr>
        <w:spacing w:before="260" w:after="260"/>
        <w:jc w:val="both"/>
        <w:rPr>
          <w:rFonts w:hint="eastAsia" w:ascii="宋体" w:hAnsi="宋体"/>
          <w:szCs w:val="28"/>
        </w:rPr>
      </w:pPr>
      <w:bookmarkStart w:id="85" w:name="_Toc180165703"/>
      <w:r>
        <w:rPr>
          <w:rFonts w:hint="eastAsia" w:ascii="宋体" w:hAnsi="宋体"/>
          <w:szCs w:val="28"/>
        </w:rPr>
        <w:t xml:space="preserve"> </w:t>
      </w:r>
      <w:bookmarkStart w:id="86" w:name="_Toc180265555"/>
      <w:r>
        <w:rPr>
          <w:rFonts w:hint="eastAsia" w:ascii="宋体" w:hAnsi="宋体"/>
          <w:szCs w:val="28"/>
        </w:rPr>
        <w:t>移动应用</w:t>
      </w:r>
      <w:bookmarkEnd w:id="85"/>
      <w:bookmarkEnd w:id="86"/>
    </w:p>
    <w:p w14:paraId="19248C17">
      <w:pPr>
        <w:pStyle w:val="6"/>
        <w:numPr>
          <w:ilvl w:val="2"/>
          <w:numId w:val="7"/>
        </w:numPr>
        <w:spacing w:before="260" w:after="260"/>
        <w:jc w:val="both"/>
        <w:rPr>
          <w:rFonts w:hint="eastAsia" w:ascii="宋体" w:hAnsi="宋体"/>
          <w:szCs w:val="24"/>
        </w:rPr>
      </w:pPr>
      <w:bookmarkStart w:id="87" w:name="_Toc180265556"/>
      <w:r>
        <w:rPr>
          <w:rFonts w:hint="eastAsia" w:ascii="宋体" w:hAnsi="宋体"/>
          <w:szCs w:val="24"/>
        </w:rPr>
        <w:t>基于微信与钉钉的移动应用</w:t>
      </w:r>
      <w:bookmarkEnd w:id="87"/>
    </w:p>
    <w:p w14:paraId="2A1F117E">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4.9</w:t>
      </w:r>
      <w:r>
        <w:rPr>
          <w:rFonts w:hint="eastAsia" w:ascii="宋体" w:hAnsi="宋体"/>
          <w:b/>
          <w:szCs w:val="21"/>
        </w:rPr>
        <w:t>章节 P</w:t>
      </w:r>
      <w:r>
        <w:rPr>
          <w:rFonts w:ascii="宋体" w:hAnsi="宋体"/>
          <w:b/>
          <w:szCs w:val="21"/>
        </w:rPr>
        <w:t>1</w:t>
      </w:r>
      <w:r>
        <w:rPr>
          <w:rFonts w:hint="eastAsia" w:ascii="宋体" w:hAnsi="宋体"/>
          <w:b/>
          <w:szCs w:val="21"/>
        </w:rPr>
        <w:t>88页。</w:t>
      </w:r>
    </w:p>
    <w:p w14:paraId="04EEDF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平台移动端应用包括微信和钉钉两类，主要功能包括绑定账号、查看项目公告、变更公告、查看项目信息、在线报名、在线支付、移动审批、统计等；通过集成钉钉、微信等常用软件，平台</w:t>
      </w:r>
      <w:r>
        <w:rPr>
          <w:rFonts w:ascii="宋体" w:hAnsi="宋体" w:eastAsia="宋体"/>
          <w:color w:val="000000" w:themeColor="text1"/>
          <w:szCs w:val="21"/>
          <w14:textFill>
            <w14:solidFill>
              <w14:schemeClr w14:val="tx1"/>
            </w14:solidFill>
          </w14:textFill>
        </w:rPr>
        <w:t>会自动实时地推送最新的采购消息及待办的事项到个人工作台</w:t>
      </w:r>
      <w:r>
        <w:rPr>
          <w:rFonts w:hint="eastAsia" w:ascii="宋体" w:hAnsi="宋体" w:eastAsia="宋体"/>
          <w:color w:val="000000" w:themeColor="text1"/>
          <w:szCs w:val="21"/>
          <w14:textFill>
            <w14:solidFill>
              <w14:schemeClr w14:val="tx1"/>
            </w14:solidFill>
          </w14:textFill>
        </w:rPr>
        <w:t>，可快速清晰地了解最新的项目动态，</w:t>
      </w:r>
      <w:r>
        <w:rPr>
          <w:rFonts w:ascii="宋体" w:hAnsi="宋体" w:eastAsia="宋体"/>
          <w:color w:val="000000" w:themeColor="text1"/>
          <w:szCs w:val="21"/>
          <w14:textFill>
            <w14:solidFill>
              <w14:schemeClr w14:val="tx1"/>
            </w14:solidFill>
          </w14:textFill>
        </w:rPr>
        <w:t>使得采购流程可以随时随地进行，不再受地点限制，</w:t>
      </w:r>
      <w:r>
        <w:rPr>
          <w:rFonts w:hint="eastAsia" w:ascii="宋体" w:hAnsi="宋体" w:eastAsia="宋体"/>
          <w:color w:val="000000" w:themeColor="text1"/>
          <w:szCs w:val="21"/>
          <w14:textFill>
            <w14:solidFill>
              <w14:schemeClr w14:val="tx1"/>
            </w14:solidFill>
          </w14:textFill>
        </w:rPr>
        <w:t>从而</w:t>
      </w:r>
      <w:r>
        <w:rPr>
          <w:rFonts w:ascii="宋体" w:hAnsi="宋体" w:eastAsia="宋体"/>
          <w:color w:val="000000" w:themeColor="text1"/>
          <w:szCs w:val="21"/>
          <w14:textFill>
            <w14:solidFill>
              <w14:schemeClr w14:val="tx1"/>
            </w14:solidFill>
          </w14:textFill>
        </w:rPr>
        <w:t>提高采购效率。</w:t>
      </w:r>
      <w:r>
        <w:rPr>
          <w:rFonts w:hint="eastAsia" w:ascii="宋体" w:hAnsi="宋体" w:eastAsia="宋体"/>
          <w:color w:val="000000" w:themeColor="text1"/>
          <w:szCs w:val="21"/>
          <w14:textFill>
            <w14:solidFill>
              <w14:schemeClr w14:val="tx1"/>
            </w14:solidFill>
          </w14:textFill>
        </w:rPr>
        <w:t xml:space="preserve"> </w:t>
      </w:r>
    </w:p>
    <w:p w14:paraId="5AEEB142">
      <w:pPr>
        <w:spacing w:line="360" w:lineRule="auto"/>
        <w:ind w:firstLine="420"/>
        <w:jc w:val="center"/>
        <w:rPr>
          <w:rFonts w:hint="eastAsia" w:ascii="宋体" w:hAnsi="宋体" w:eastAsia="宋体" w:cs="宋体"/>
          <w:szCs w:val="21"/>
        </w:rPr>
      </w:pPr>
      <w:r>
        <w:rPr>
          <w:rFonts w:ascii="宋体" w:hAnsi="宋体" w:eastAsia="宋体"/>
          <w:szCs w:val="21"/>
        </w:rPr>
        <w:drawing>
          <wp:inline distT="0" distB="0" distL="114300" distR="114300">
            <wp:extent cx="4089400" cy="3270250"/>
            <wp:effectExtent l="0" t="0" r="0" b="6350"/>
            <wp:docPr id="1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
                    <pic:cNvPicPr>
                      <a:picLocks noChangeAspect="1"/>
                    </pic:cNvPicPr>
                  </pic:nvPicPr>
                  <pic:blipFill>
                    <a:blip r:embed="rId79"/>
                    <a:stretch>
                      <a:fillRect/>
                    </a:stretch>
                  </pic:blipFill>
                  <pic:spPr>
                    <a:xfrm>
                      <a:off x="0" y="0"/>
                      <a:ext cx="4089400" cy="3270250"/>
                    </a:xfrm>
                    <a:prstGeom prst="rect">
                      <a:avLst/>
                    </a:prstGeom>
                    <a:noFill/>
                    <a:ln>
                      <a:noFill/>
                    </a:ln>
                  </pic:spPr>
                </pic:pic>
              </a:graphicData>
            </a:graphic>
          </wp:inline>
        </w:drawing>
      </w:r>
    </w:p>
    <w:p w14:paraId="12132724">
      <w:pPr>
        <w:spacing w:line="360" w:lineRule="auto"/>
        <w:ind w:firstLine="420"/>
        <w:jc w:val="center"/>
        <w:rPr>
          <w:rFonts w:hint="eastAsia" w:ascii="宋体" w:hAnsi="宋体" w:eastAsia="宋体" w:cs="宋体"/>
          <w:szCs w:val="21"/>
        </w:rPr>
      </w:pPr>
      <w:r>
        <w:rPr>
          <w:rFonts w:ascii="宋体" w:hAnsi="宋体" w:eastAsia="宋体"/>
          <w:szCs w:val="21"/>
        </w:rPr>
        <w:drawing>
          <wp:inline distT="0" distB="0" distL="114300" distR="114300">
            <wp:extent cx="3911600" cy="3086100"/>
            <wp:effectExtent l="0" t="0" r="0" b="0"/>
            <wp:docPr id="1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
                    <pic:cNvPicPr>
                      <a:picLocks noChangeAspect="1"/>
                    </pic:cNvPicPr>
                  </pic:nvPicPr>
                  <pic:blipFill>
                    <a:blip r:embed="rId80"/>
                    <a:stretch>
                      <a:fillRect/>
                    </a:stretch>
                  </pic:blipFill>
                  <pic:spPr>
                    <a:xfrm>
                      <a:off x="0" y="0"/>
                      <a:ext cx="3911600" cy="3086100"/>
                    </a:xfrm>
                    <a:prstGeom prst="rect">
                      <a:avLst/>
                    </a:prstGeom>
                    <a:noFill/>
                    <a:ln>
                      <a:noFill/>
                    </a:ln>
                  </pic:spPr>
                </pic:pic>
              </a:graphicData>
            </a:graphic>
          </wp:inline>
        </w:drawing>
      </w:r>
    </w:p>
    <w:p w14:paraId="03D154B7">
      <w:pPr>
        <w:spacing w:line="360" w:lineRule="auto"/>
        <w:ind w:firstLine="420"/>
        <w:jc w:val="center"/>
        <w:rPr>
          <w:rFonts w:hint="eastAsia" w:ascii="宋体" w:hAnsi="宋体" w:eastAsia="宋体" w:cs="宋体"/>
          <w:szCs w:val="21"/>
        </w:rPr>
      </w:pPr>
      <w:r>
        <w:rPr>
          <w:rFonts w:ascii="宋体" w:hAnsi="宋体" w:eastAsia="宋体"/>
          <w:szCs w:val="21"/>
        </w:rPr>
        <w:drawing>
          <wp:inline distT="0" distB="0" distL="114300" distR="114300">
            <wp:extent cx="4766310" cy="3409315"/>
            <wp:effectExtent l="0" t="0" r="8890" b="6985"/>
            <wp:docPr id="1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
                    <pic:cNvPicPr>
                      <a:picLocks noChangeAspect="1"/>
                    </pic:cNvPicPr>
                  </pic:nvPicPr>
                  <pic:blipFill>
                    <a:blip r:embed="rId81"/>
                    <a:stretch>
                      <a:fillRect/>
                    </a:stretch>
                  </pic:blipFill>
                  <pic:spPr>
                    <a:xfrm>
                      <a:off x="0" y="0"/>
                      <a:ext cx="4766310" cy="3409315"/>
                    </a:xfrm>
                    <a:prstGeom prst="rect">
                      <a:avLst/>
                    </a:prstGeom>
                    <a:noFill/>
                    <a:ln>
                      <a:noFill/>
                    </a:ln>
                  </pic:spPr>
                </pic:pic>
              </a:graphicData>
            </a:graphic>
          </wp:inline>
        </w:drawing>
      </w:r>
    </w:p>
    <w:p w14:paraId="10ABB2A5">
      <w:pPr>
        <w:spacing w:line="360" w:lineRule="auto"/>
        <w:ind w:firstLine="420"/>
        <w:jc w:val="center"/>
        <w:rPr>
          <w:rFonts w:hint="eastAsia" w:ascii="宋体" w:hAnsi="宋体" w:eastAsia="宋体" w:cs="宋体"/>
          <w:szCs w:val="21"/>
        </w:rPr>
      </w:pPr>
      <w:r>
        <w:rPr>
          <w:rFonts w:ascii="宋体" w:hAnsi="宋体" w:eastAsia="宋体"/>
          <w:szCs w:val="21"/>
        </w:rPr>
        <w:drawing>
          <wp:inline distT="0" distB="0" distL="114300" distR="114300">
            <wp:extent cx="3963670" cy="2990850"/>
            <wp:effectExtent l="0" t="0" r="0" b="0"/>
            <wp:docPr id="1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6"/>
                    <pic:cNvPicPr>
                      <a:picLocks noChangeAspect="1"/>
                    </pic:cNvPicPr>
                  </pic:nvPicPr>
                  <pic:blipFill>
                    <a:blip r:embed="rId82"/>
                    <a:stretch>
                      <a:fillRect/>
                    </a:stretch>
                  </pic:blipFill>
                  <pic:spPr>
                    <a:xfrm>
                      <a:off x="0" y="0"/>
                      <a:ext cx="3979859" cy="3002980"/>
                    </a:xfrm>
                    <a:prstGeom prst="rect">
                      <a:avLst/>
                    </a:prstGeom>
                    <a:noFill/>
                    <a:ln>
                      <a:noFill/>
                    </a:ln>
                  </pic:spPr>
                </pic:pic>
              </a:graphicData>
            </a:graphic>
          </wp:inline>
        </w:drawing>
      </w:r>
    </w:p>
    <w:p w14:paraId="25F12654">
      <w:pPr>
        <w:pStyle w:val="6"/>
        <w:numPr>
          <w:ilvl w:val="2"/>
          <w:numId w:val="7"/>
        </w:numPr>
        <w:spacing w:before="260" w:after="260"/>
        <w:jc w:val="both"/>
        <w:rPr>
          <w:rFonts w:hint="eastAsia" w:ascii="宋体" w:hAnsi="宋体"/>
          <w:szCs w:val="24"/>
        </w:rPr>
      </w:pPr>
      <w:bookmarkStart w:id="88" w:name="_Toc180265557"/>
      <w:r>
        <w:rPr>
          <w:rFonts w:hint="eastAsia" w:ascii="宋体" w:hAnsi="宋体"/>
          <w:szCs w:val="24"/>
        </w:rPr>
        <w:t>本功能应用案例证明</w:t>
      </w:r>
      <w:bookmarkEnd w:id="88"/>
    </w:p>
    <w:p w14:paraId="2F583BC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中钢招标有限责任公司【详见1</w:t>
      </w:r>
      <w:r>
        <w:rPr>
          <w:rFonts w:ascii="宋体" w:hAnsi="宋体" w:eastAsia="宋体"/>
          <w:color w:val="000000" w:themeColor="text1"/>
          <w:szCs w:val="21"/>
          <w14:textFill>
            <w14:solidFill>
              <w14:schemeClr w14:val="tx1"/>
            </w14:solidFill>
          </w14:textFill>
        </w:rPr>
        <w:t>4.10.4</w:t>
      </w:r>
      <w:r>
        <w:rPr>
          <w:rFonts w:hint="eastAsia" w:ascii="宋体" w:hAnsi="宋体" w:eastAsia="宋体"/>
          <w:color w:val="000000" w:themeColor="text1"/>
          <w:szCs w:val="21"/>
          <w14:textFill>
            <w14:solidFill>
              <w14:schemeClr w14:val="tx1"/>
            </w14:solidFill>
          </w14:textFill>
        </w:rPr>
        <w:t>】</w:t>
      </w:r>
    </w:p>
    <w:p w14:paraId="66FB3F2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北京江河润泽工程管理咨询有限公司【详见1</w:t>
      </w:r>
      <w:r>
        <w:rPr>
          <w:rFonts w:ascii="宋体" w:hAnsi="宋体" w:eastAsia="宋体"/>
          <w:color w:val="000000" w:themeColor="text1"/>
          <w:szCs w:val="21"/>
          <w14:textFill>
            <w14:solidFill>
              <w14:schemeClr w14:val="tx1"/>
            </w14:solidFill>
          </w14:textFill>
        </w:rPr>
        <w:t>4.10.6</w:t>
      </w:r>
      <w:r>
        <w:rPr>
          <w:rFonts w:hint="eastAsia" w:ascii="宋体" w:hAnsi="宋体" w:eastAsia="宋体"/>
          <w:color w:val="000000" w:themeColor="text1"/>
          <w:szCs w:val="21"/>
          <w14:textFill>
            <w14:solidFill>
              <w14:schemeClr w14:val="tx1"/>
            </w14:solidFill>
          </w14:textFill>
        </w:rPr>
        <w:t>】</w:t>
      </w:r>
    </w:p>
    <w:p w14:paraId="4FB1A10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北京兴电国际工程管理有限公司【详见1</w:t>
      </w:r>
      <w:r>
        <w:rPr>
          <w:rFonts w:ascii="宋体" w:hAnsi="宋体" w:eastAsia="宋体"/>
          <w:color w:val="000000" w:themeColor="text1"/>
          <w:szCs w:val="21"/>
          <w14:textFill>
            <w14:solidFill>
              <w14:schemeClr w14:val="tx1"/>
            </w14:solidFill>
          </w14:textFill>
        </w:rPr>
        <w:t>4.10.7</w:t>
      </w:r>
      <w:r>
        <w:rPr>
          <w:rFonts w:hint="eastAsia" w:ascii="宋体" w:hAnsi="宋体" w:eastAsia="宋体"/>
          <w:color w:val="000000" w:themeColor="text1"/>
          <w:szCs w:val="21"/>
          <w14:textFill>
            <w14:solidFill>
              <w14:schemeClr w14:val="tx1"/>
            </w14:solidFill>
          </w14:textFill>
        </w:rPr>
        <w:t>】</w:t>
      </w:r>
    </w:p>
    <w:p w14:paraId="6C7BE47B">
      <w:pPr>
        <w:pStyle w:val="2"/>
        <w:spacing w:line="360" w:lineRule="auto"/>
        <w:rPr>
          <w:rFonts w:hint="eastAsia" w:ascii="宋体" w:hAnsi="宋体"/>
          <w:szCs w:val="21"/>
        </w:rPr>
      </w:pPr>
    </w:p>
    <w:p w14:paraId="67F93971">
      <w:pPr>
        <w:pStyle w:val="5"/>
        <w:numPr>
          <w:ilvl w:val="1"/>
          <w:numId w:val="7"/>
        </w:numPr>
        <w:spacing w:before="260" w:after="260"/>
        <w:jc w:val="both"/>
        <w:rPr>
          <w:rFonts w:hint="eastAsia" w:ascii="宋体" w:hAnsi="宋体"/>
          <w:szCs w:val="28"/>
        </w:rPr>
      </w:pPr>
      <w:bookmarkStart w:id="89" w:name="_Toc180165704"/>
      <w:r>
        <w:rPr>
          <w:rFonts w:hint="eastAsia" w:ascii="宋体" w:hAnsi="宋体"/>
          <w:szCs w:val="28"/>
        </w:rPr>
        <w:t xml:space="preserve"> </w:t>
      </w:r>
      <w:bookmarkStart w:id="90" w:name="_Toc180265558"/>
      <w:r>
        <w:rPr>
          <w:rFonts w:hint="eastAsia" w:ascii="宋体" w:hAnsi="宋体"/>
          <w:szCs w:val="28"/>
        </w:rPr>
        <w:t>在线监督</w:t>
      </w:r>
      <w:bookmarkEnd w:id="89"/>
      <w:bookmarkEnd w:id="90"/>
    </w:p>
    <w:p w14:paraId="5F1DA081">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4.6</w:t>
      </w:r>
      <w:r>
        <w:rPr>
          <w:rFonts w:hint="eastAsia" w:ascii="宋体" w:hAnsi="宋体"/>
          <w:b/>
          <w:szCs w:val="21"/>
        </w:rPr>
        <w:t>章节 P</w:t>
      </w:r>
      <w:r>
        <w:rPr>
          <w:rFonts w:ascii="宋体" w:hAnsi="宋体"/>
          <w:b/>
          <w:szCs w:val="21"/>
        </w:rPr>
        <w:t>1</w:t>
      </w:r>
      <w:r>
        <w:rPr>
          <w:rFonts w:hint="eastAsia" w:ascii="宋体" w:hAnsi="宋体"/>
          <w:b/>
          <w:szCs w:val="21"/>
        </w:rPr>
        <w:t>73页。</w:t>
      </w:r>
    </w:p>
    <w:p w14:paraId="0EA369C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平台提供在线监督功能，包括项目全过程监控、流程预警两大功能，对招投标流程的各环节进行实时监测和提醒，确保能及时发现、处理各种风险，确保采购各环节合法合规。</w:t>
      </w:r>
    </w:p>
    <w:p w14:paraId="2E1CD261">
      <w:pPr>
        <w:pStyle w:val="6"/>
        <w:numPr>
          <w:ilvl w:val="2"/>
          <w:numId w:val="7"/>
        </w:numPr>
        <w:spacing w:before="260" w:after="260"/>
        <w:jc w:val="both"/>
        <w:rPr>
          <w:rFonts w:hint="eastAsia" w:ascii="宋体" w:hAnsi="宋体"/>
          <w:szCs w:val="24"/>
        </w:rPr>
      </w:pPr>
      <w:bookmarkStart w:id="91" w:name="_Toc180265559"/>
      <w:bookmarkStart w:id="92" w:name="_Toc180165705"/>
      <w:r>
        <w:rPr>
          <w:rFonts w:hint="eastAsia" w:ascii="宋体" w:hAnsi="宋体"/>
          <w:szCs w:val="24"/>
        </w:rPr>
        <w:t>项目过程监控</w:t>
      </w:r>
      <w:bookmarkEnd w:id="91"/>
      <w:bookmarkEnd w:id="92"/>
    </w:p>
    <w:p w14:paraId="22BF8EB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自动更新项目进度、项目文件状态等信息，包括查看项目基础信息、项目公告和发布情况、招标文件、售标情况、开标情况、中标通知书等，且设置了审核确认环节，如招标文件编制、开标唱标等关键节点需要审批通过或签字确认才能继续流转。</w:t>
      </w:r>
    </w:p>
    <w:p w14:paraId="29D37E51">
      <w:pPr>
        <w:spacing w:line="360" w:lineRule="auto"/>
        <w:rPr>
          <w:rFonts w:hint="eastAsia" w:ascii="宋体" w:hAnsi="宋体" w:eastAsia="宋体"/>
          <w:szCs w:val="21"/>
        </w:rPr>
      </w:pPr>
      <w:r>
        <w:rPr>
          <w:rFonts w:hint="eastAsia" w:ascii="宋体" w:hAnsi="宋体" w:eastAsia="宋体"/>
          <w:szCs w:val="21"/>
        </w:rPr>
        <w:drawing>
          <wp:inline distT="0" distB="0" distL="114300" distR="114300">
            <wp:extent cx="5266690" cy="2962910"/>
            <wp:effectExtent l="0" t="0" r="3810" b="8890"/>
            <wp:docPr id="1025" name="图片 1025" descr="EA572B82-2D19-48fc-A091-BEBA57DA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descr="EA572B82-2D19-48fc-A091-BEBA57DA6258"/>
                    <pic:cNvPicPr>
                      <a:picLocks noChangeAspect="1"/>
                    </pic:cNvPicPr>
                  </pic:nvPicPr>
                  <pic:blipFill>
                    <a:blip r:embed="rId83"/>
                    <a:stretch>
                      <a:fillRect/>
                    </a:stretch>
                  </pic:blipFill>
                  <pic:spPr>
                    <a:xfrm>
                      <a:off x="0" y="0"/>
                      <a:ext cx="5266690" cy="2962910"/>
                    </a:xfrm>
                    <a:prstGeom prst="rect">
                      <a:avLst/>
                    </a:prstGeom>
                  </pic:spPr>
                </pic:pic>
              </a:graphicData>
            </a:graphic>
          </wp:inline>
        </w:drawing>
      </w:r>
    </w:p>
    <w:p w14:paraId="31A1AFDC">
      <w:pPr>
        <w:pStyle w:val="6"/>
        <w:numPr>
          <w:ilvl w:val="2"/>
          <w:numId w:val="7"/>
        </w:numPr>
        <w:spacing w:before="260" w:after="260"/>
        <w:jc w:val="both"/>
        <w:rPr>
          <w:rFonts w:hint="eastAsia" w:ascii="宋体" w:hAnsi="宋体"/>
          <w:szCs w:val="24"/>
        </w:rPr>
      </w:pPr>
      <w:bookmarkStart w:id="93" w:name="_Toc180265560"/>
      <w:bookmarkStart w:id="94" w:name="_Toc180165706"/>
      <w:r>
        <w:rPr>
          <w:rFonts w:hint="eastAsia" w:ascii="宋体" w:hAnsi="宋体"/>
          <w:szCs w:val="24"/>
        </w:rPr>
        <w:t>项目流程预警</w:t>
      </w:r>
      <w:bookmarkEnd w:id="93"/>
      <w:bookmarkEnd w:id="94"/>
    </w:p>
    <w:p w14:paraId="22E45AD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风险指标预埋及流程预警功能，在项目关键节点可预埋风险指标，实时监测业务流程和项目进展情况，识别潜在风险点，并触发预警通知。可通过多种方式触达相关人员，比如短信、系统消息等，以确保相关人员可以快速接收预警通知并采取风险应对措施，有效规避采购风险。</w:t>
      </w:r>
    </w:p>
    <w:p w14:paraId="2D7EEF96">
      <w:pPr>
        <w:pStyle w:val="73"/>
        <w:numPr>
          <w:ilvl w:val="0"/>
          <w:numId w:val="13"/>
        </w:numPr>
        <w:spacing w:line="360" w:lineRule="auto"/>
        <w:ind w:firstLineChars="0"/>
        <w:rPr>
          <w:rFonts w:hint="eastAsia" w:ascii="宋体" w:hAnsi="宋体" w:eastAsia="宋体"/>
          <w:b/>
          <w:szCs w:val="21"/>
        </w:rPr>
      </w:pPr>
      <w:r>
        <w:rPr>
          <w:rFonts w:hint="eastAsia" w:ascii="宋体" w:hAnsi="宋体" w:eastAsia="宋体"/>
          <w:b/>
          <w:szCs w:val="21"/>
        </w:rPr>
        <w:t>系统消息设置</w:t>
      </w:r>
    </w:p>
    <w:p w14:paraId="79BA076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系统消息设置功能，可设置消息类型包括项目异常处理、审批提醒、供应商报名提醒、开标提醒、合同到期提醒等，可选择需要通知的角色，并设置消息通知的方式，支持系统通知和短信通知两种方式，支持设置消息通知节点，可以随时通知或在特定之间前通知。</w:t>
      </w:r>
    </w:p>
    <w:p w14:paraId="70BB30A4">
      <w:pPr>
        <w:spacing w:line="360" w:lineRule="auto"/>
        <w:rPr>
          <w:rFonts w:hint="eastAsia" w:ascii="宋体" w:hAnsi="宋体" w:eastAsia="宋体"/>
          <w:szCs w:val="21"/>
        </w:rPr>
      </w:pPr>
      <w:r>
        <w:rPr>
          <w:rFonts w:ascii="宋体" w:hAnsi="宋体" w:eastAsia="宋体"/>
          <w:szCs w:val="21"/>
        </w:rPr>
        <w:drawing>
          <wp:inline distT="0" distB="0" distL="0" distR="0">
            <wp:extent cx="5939790" cy="2477135"/>
            <wp:effectExtent l="0" t="0" r="381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84"/>
                    <a:stretch>
                      <a:fillRect/>
                    </a:stretch>
                  </pic:blipFill>
                  <pic:spPr>
                    <a:xfrm>
                      <a:off x="0" y="0"/>
                      <a:ext cx="5939790" cy="2477135"/>
                    </a:xfrm>
                    <a:prstGeom prst="rect">
                      <a:avLst/>
                    </a:prstGeom>
                  </pic:spPr>
                </pic:pic>
              </a:graphicData>
            </a:graphic>
          </wp:inline>
        </w:drawing>
      </w:r>
    </w:p>
    <w:p w14:paraId="5845FA30">
      <w:pPr>
        <w:pStyle w:val="73"/>
        <w:numPr>
          <w:ilvl w:val="0"/>
          <w:numId w:val="13"/>
        </w:numPr>
        <w:spacing w:line="360" w:lineRule="auto"/>
        <w:ind w:firstLineChars="0"/>
        <w:rPr>
          <w:rFonts w:hint="eastAsia" w:ascii="宋体" w:hAnsi="宋体" w:eastAsia="宋体"/>
          <w:b/>
          <w:szCs w:val="21"/>
        </w:rPr>
      </w:pPr>
      <w:r>
        <w:rPr>
          <w:rFonts w:hint="eastAsia" w:ascii="宋体" w:hAnsi="宋体" w:eastAsia="宋体"/>
          <w:b/>
          <w:szCs w:val="21"/>
        </w:rPr>
        <w:t>时间节点管理</w:t>
      </w:r>
    </w:p>
    <w:p w14:paraId="0F9BF1F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时间节点管理功能，对于文件发售时间、开标时间、澄清时间、异议提出时间、中标公示时间严格控制，支持按照自然日或工作日设置校验。在平台进行招标采购活动时，系统将校验所设置的时间是否符合节点要求，如果不符合，将弹出风险提醒，并限制下一步操作，不允许流转到其他环节。</w:t>
      </w:r>
    </w:p>
    <w:p w14:paraId="6C9E1AC5">
      <w:pPr>
        <w:spacing w:line="360" w:lineRule="auto"/>
        <w:rPr>
          <w:rFonts w:hint="eastAsia" w:ascii="宋体" w:hAnsi="宋体" w:eastAsia="宋体"/>
          <w:szCs w:val="21"/>
        </w:rPr>
      </w:pPr>
      <w:r>
        <w:rPr>
          <w:rFonts w:ascii="宋体" w:hAnsi="宋体" w:eastAsia="宋体"/>
          <w:szCs w:val="21"/>
        </w:rPr>
        <w:drawing>
          <wp:inline distT="0" distB="0" distL="0" distR="0">
            <wp:extent cx="5939790" cy="3029585"/>
            <wp:effectExtent l="0" t="0" r="381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85"/>
                    <a:stretch>
                      <a:fillRect/>
                    </a:stretch>
                  </pic:blipFill>
                  <pic:spPr>
                    <a:xfrm>
                      <a:off x="0" y="0"/>
                      <a:ext cx="5939790" cy="3029585"/>
                    </a:xfrm>
                    <a:prstGeom prst="rect">
                      <a:avLst/>
                    </a:prstGeom>
                  </pic:spPr>
                </pic:pic>
              </a:graphicData>
            </a:graphic>
          </wp:inline>
        </w:drawing>
      </w:r>
    </w:p>
    <w:p w14:paraId="0875DE72">
      <w:pPr>
        <w:pStyle w:val="73"/>
        <w:numPr>
          <w:ilvl w:val="0"/>
          <w:numId w:val="13"/>
        </w:numPr>
        <w:spacing w:line="360" w:lineRule="auto"/>
        <w:ind w:firstLineChars="0"/>
        <w:rPr>
          <w:rFonts w:hint="eastAsia" w:ascii="宋体" w:hAnsi="宋体" w:eastAsia="宋体"/>
          <w:b/>
          <w:szCs w:val="21"/>
        </w:rPr>
      </w:pPr>
      <w:r>
        <w:rPr>
          <w:rFonts w:hint="eastAsia" w:ascii="宋体" w:hAnsi="宋体" w:eastAsia="宋体"/>
          <w:b/>
          <w:szCs w:val="21"/>
        </w:rPr>
        <w:t>数据调阅与分析报表</w:t>
      </w:r>
    </w:p>
    <w:p w14:paraId="2CE37E0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平台可根据业务需要提供数据调阅与分析报表功能，且具备日志管理模块，记录操作人、操作账号、操作类型和操作结果等数据，支持被授权人查看系统日志。</w:t>
      </w:r>
    </w:p>
    <w:p w14:paraId="2E669861">
      <w:pPr>
        <w:spacing w:line="360" w:lineRule="auto"/>
        <w:rPr>
          <w:rFonts w:hint="eastAsia" w:ascii="宋体" w:hAnsi="宋体" w:eastAsia="宋体"/>
          <w:szCs w:val="21"/>
        </w:rPr>
      </w:pPr>
      <w:r>
        <w:rPr>
          <w:rFonts w:ascii="宋体" w:hAnsi="宋体" w:eastAsia="宋体"/>
          <w:szCs w:val="21"/>
        </w:rPr>
        <w:drawing>
          <wp:inline distT="0" distB="0" distL="0" distR="0">
            <wp:extent cx="5939790" cy="2616835"/>
            <wp:effectExtent l="0" t="0" r="381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86"/>
                    <a:stretch>
                      <a:fillRect/>
                    </a:stretch>
                  </pic:blipFill>
                  <pic:spPr>
                    <a:xfrm>
                      <a:off x="0" y="0"/>
                      <a:ext cx="5939790" cy="2616835"/>
                    </a:xfrm>
                    <a:prstGeom prst="rect">
                      <a:avLst/>
                    </a:prstGeom>
                  </pic:spPr>
                </pic:pic>
              </a:graphicData>
            </a:graphic>
          </wp:inline>
        </w:drawing>
      </w:r>
    </w:p>
    <w:p w14:paraId="30F07FCE">
      <w:pPr>
        <w:pStyle w:val="6"/>
        <w:numPr>
          <w:ilvl w:val="2"/>
          <w:numId w:val="7"/>
        </w:numPr>
        <w:spacing w:before="260" w:after="260"/>
        <w:jc w:val="both"/>
        <w:rPr>
          <w:rFonts w:hint="eastAsia" w:ascii="宋体" w:hAnsi="宋体"/>
          <w:szCs w:val="24"/>
        </w:rPr>
      </w:pPr>
      <w:bookmarkStart w:id="95" w:name="_Toc180265561"/>
      <w:r>
        <w:rPr>
          <w:rFonts w:hint="eastAsia" w:ascii="宋体" w:hAnsi="宋体"/>
          <w:szCs w:val="24"/>
        </w:rPr>
        <w:t>本功能应用案例证明</w:t>
      </w:r>
      <w:bookmarkEnd w:id="95"/>
    </w:p>
    <w:p w14:paraId="1563CF0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黑龙江省招标有限公司【详见1</w:t>
      </w:r>
      <w:r>
        <w:rPr>
          <w:rFonts w:ascii="宋体" w:hAnsi="宋体" w:eastAsia="宋体"/>
          <w:color w:val="000000" w:themeColor="text1"/>
          <w:szCs w:val="21"/>
          <w14:textFill>
            <w14:solidFill>
              <w14:schemeClr w14:val="tx1"/>
            </w14:solidFill>
          </w14:textFill>
        </w:rPr>
        <w:t>4.10.2</w:t>
      </w:r>
      <w:r>
        <w:rPr>
          <w:rFonts w:hint="eastAsia" w:ascii="宋体" w:hAnsi="宋体" w:eastAsia="宋体"/>
          <w:color w:val="000000" w:themeColor="text1"/>
          <w:szCs w:val="21"/>
          <w14:textFill>
            <w14:solidFill>
              <w14:schemeClr w14:val="tx1"/>
            </w14:solidFill>
          </w14:textFill>
        </w:rPr>
        <w:t>】</w:t>
      </w:r>
    </w:p>
    <w:p w14:paraId="31098360">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北京江河润泽工程管理咨询有限公司【详见1</w:t>
      </w:r>
      <w:r>
        <w:rPr>
          <w:rFonts w:ascii="宋体" w:hAnsi="宋体" w:eastAsia="宋体"/>
          <w:color w:val="000000" w:themeColor="text1"/>
          <w:szCs w:val="21"/>
          <w14:textFill>
            <w14:solidFill>
              <w14:schemeClr w14:val="tx1"/>
            </w14:solidFill>
          </w14:textFill>
        </w:rPr>
        <w:t>4.10.6</w:t>
      </w:r>
      <w:r>
        <w:rPr>
          <w:rFonts w:hint="eastAsia" w:ascii="宋体" w:hAnsi="宋体" w:eastAsia="宋体"/>
          <w:color w:val="000000" w:themeColor="text1"/>
          <w:szCs w:val="21"/>
          <w14:textFill>
            <w14:solidFill>
              <w14:schemeClr w14:val="tx1"/>
            </w14:solidFill>
          </w14:textFill>
        </w:rPr>
        <w:t>】</w:t>
      </w:r>
    </w:p>
    <w:p w14:paraId="5501D92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北京兴电国际工程管理有限公司【详见1</w:t>
      </w:r>
      <w:r>
        <w:rPr>
          <w:rFonts w:ascii="宋体" w:hAnsi="宋体" w:eastAsia="宋体"/>
          <w:color w:val="000000" w:themeColor="text1"/>
          <w:szCs w:val="21"/>
          <w14:textFill>
            <w14:solidFill>
              <w14:schemeClr w14:val="tx1"/>
            </w14:solidFill>
          </w14:textFill>
        </w:rPr>
        <w:t>4.10.7</w:t>
      </w:r>
      <w:r>
        <w:rPr>
          <w:rFonts w:hint="eastAsia" w:ascii="宋体" w:hAnsi="宋体" w:eastAsia="宋体"/>
          <w:color w:val="000000" w:themeColor="text1"/>
          <w:szCs w:val="21"/>
          <w14:textFill>
            <w14:solidFill>
              <w14:schemeClr w14:val="tx1"/>
            </w14:solidFill>
          </w14:textFill>
        </w:rPr>
        <w:t>】</w:t>
      </w:r>
    </w:p>
    <w:p w14:paraId="42F5BBB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湖北香青肥料科技有限公司【详见1</w:t>
      </w:r>
      <w:r>
        <w:rPr>
          <w:rFonts w:ascii="宋体" w:hAnsi="宋体" w:eastAsia="宋体"/>
          <w:color w:val="000000" w:themeColor="text1"/>
          <w:szCs w:val="21"/>
          <w14:textFill>
            <w14:solidFill>
              <w14:schemeClr w14:val="tx1"/>
            </w14:solidFill>
          </w14:textFill>
        </w:rPr>
        <w:t>4.10.8</w:t>
      </w:r>
      <w:r>
        <w:rPr>
          <w:rFonts w:hint="eastAsia" w:ascii="宋体" w:hAnsi="宋体" w:eastAsia="宋体"/>
          <w:color w:val="000000" w:themeColor="text1"/>
          <w:szCs w:val="21"/>
          <w14:textFill>
            <w14:solidFill>
              <w14:schemeClr w14:val="tx1"/>
            </w14:solidFill>
          </w14:textFill>
        </w:rPr>
        <w:t>】</w:t>
      </w:r>
    </w:p>
    <w:p w14:paraId="682F1493">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河南省烟草公司郑州市公司【详见1</w:t>
      </w:r>
      <w:r>
        <w:rPr>
          <w:rFonts w:ascii="宋体" w:hAnsi="宋体" w:eastAsia="宋体"/>
          <w:color w:val="000000" w:themeColor="text1"/>
          <w:szCs w:val="21"/>
          <w14:textFill>
            <w14:solidFill>
              <w14:schemeClr w14:val="tx1"/>
            </w14:solidFill>
          </w14:textFill>
        </w:rPr>
        <w:t>4.10.9</w:t>
      </w:r>
      <w:r>
        <w:rPr>
          <w:rFonts w:hint="eastAsia" w:ascii="宋体" w:hAnsi="宋体" w:eastAsia="宋体"/>
          <w:color w:val="000000" w:themeColor="text1"/>
          <w:szCs w:val="21"/>
          <w14:textFill>
            <w14:solidFill>
              <w14:schemeClr w14:val="tx1"/>
            </w14:solidFill>
          </w14:textFill>
        </w:rPr>
        <w:t>】</w:t>
      </w:r>
    </w:p>
    <w:p w14:paraId="713534F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河南省烟草公司洛阳市公司【详见1</w:t>
      </w:r>
      <w:r>
        <w:rPr>
          <w:rFonts w:ascii="宋体" w:hAnsi="宋体" w:eastAsia="宋体"/>
          <w:color w:val="000000" w:themeColor="text1"/>
          <w:szCs w:val="21"/>
          <w14:textFill>
            <w14:solidFill>
              <w14:schemeClr w14:val="tx1"/>
            </w14:solidFill>
          </w14:textFill>
        </w:rPr>
        <w:t>4.10.10</w:t>
      </w:r>
      <w:r>
        <w:rPr>
          <w:rFonts w:hint="eastAsia" w:ascii="宋体" w:hAnsi="宋体" w:eastAsia="宋体"/>
          <w:color w:val="000000" w:themeColor="text1"/>
          <w:szCs w:val="21"/>
          <w14:textFill>
            <w14:solidFill>
              <w14:schemeClr w14:val="tx1"/>
            </w14:solidFill>
          </w14:textFill>
        </w:rPr>
        <w:t>】</w:t>
      </w:r>
    </w:p>
    <w:p w14:paraId="213E320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河南省烟草公司许昌市公司【详见1</w:t>
      </w:r>
      <w:r>
        <w:rPr>
          <w:rFonts w:ascii="宋体" w:hAnsi="宋体" w:eastAsia="宋体"/>
          <w:color w:val="000000" w:themeColor="text1"/>
          <w:szCs w:val="21"/>
          <w14:textFill>
            <w14:solidFill>
              <w14:schemeClr w14:val="tx1"/>
            </w14:solidFill>
          </w14:textFill>
        </w:rPr>
        <w:t>4.10.11</w:t>
      </w:r>
      <w:r>
        <w:rPr>
          <w:rFonts w:hint="eastAsia" w:ascii="宋体" w:hAnsi="宋体" w:eastAsia="宋体"/>
          <w:color w:val="000000" w:themeColor="text1"/>
          <w:szCs w:val="21"/>
          <w14:textFill>
            <w14:solidFill>
              <w14:schemeClr w14:val="tx1"/>
            </w14:solidFill>
          </w14:textFill>
        </w:rPr>
        <w:t>】</w:t>
      </w:r>
    </w:p>
    <w:p w14:paraId="6A126D97">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河南省烟草公司南阳市公司【详见1</w:t>
      </w:r>
      <w:r>
        <w:rPr>
          <w:rFonts w:ascii="宋体" w:hAnsi="宋体" w:eastAsia="宋体"/>
          <w:color w:val="000000" w:themeColor="text1"/>
          <w:szCs w:val="21"/>
          <w14:textFill>
            <w14:solidFill>
              <w14:schemeClr w14:val="tx1"/>
            </w14:solidFill>
          </w14:textFill>
        </w:rPr>
        <w:t>4.10.12</w:t>
      </w:r>
      <w:r>
        <w:rPr>
          <w:rFonts w:hint="eastAsia" w:ascii="宋体" w:hAnsi="宋体" w:eastAsia="宋体"/>
          <w:color w:val="000000" w:themeColor="text1"/>
          <w:szCs w:val="21"/>
          <w14:textFill>
            <w14:solidFill>
              <w14:schemeClr w14:val="tx1"/>
            </w14:solidFill>
          </w14:textFill>
        </w:rPr>
        <w:t>】</w:t>
      </w:r>
    </w:p>
    <w:p w14:paraId="6003306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河南省烟草公司三门峡市公司【详见1</w:t>
      </w:r>
      <w:r>
        <w:rPr>
          <w:rFonts w:ascii="宋体" w:hAnsi="宋体" w:eastAsia="宋体"/>
          <w:color w:val="000000" w:themeColor="text1"/>
          <w:szCs w:val="21"/>
          <w14:textFill>
            <w14:solidFill>
              <w14:schemeClr w14:val="tx1"/>
            </w14:solidFill>
          </w14:textFill>
        </w:rPr>
        <w:t>4.10.13</w:t>
      </w:r>
      <w:r>
        <w:rPr>
          <w:rFonts w:hint="eastAsia" w:ascii="宋体" w:hAnsi="宋体" w:eastAsia="宋体"/>
          <w:color w:val="000000" w:themeColor="text1"/>
          <w:szCs w:val="21"/>
          <w14:textFill>
            <w14:solidFill>
              <w14:schemeClr w14:val="tx1"/>
            </w14:solidFill>
          </w14:textFill>
        </w:rPr>
        <w:t>】</w:t>
      </w:r>
    </w:p>
    <w:p w14:paraId="756453CD">
      <w:pPr>
        <w:pStyle w:val="2"/>
        <w:spacing w:line="360" w:lineRule="auto"/>
        <w:rPr>
          <w:rFonts w:hint="eastAsia" w:ascii="宋体" w:hAnsi="宋体"/>
          <w:szCs w:val="21"/>
        </w:rPr>
      </w:pPr>
    </w:p>
    <w:p w14:paraId="24EFD9C2">
      <w:pPr>
        <w:pStyle w:val="5"/>
        <w:numPr>
          <w:ilvl w:val="1"/>
          <w:numId w:val="7"/>
        </w:numPr>
        <w:spacing w:before="260" w:after="260"/>
        <w:jc w:val="both"/>
        <w:rPr>
          <w:rFonts w:hint="eastAsia" w:ascii="宋体" w:hAnsi="宋体"/>
          <w:szCs w:val="28"/>
        </w:rPr>
      </w:pPr>
      <w:bookmarkStart w:id="96" w:name="_Toc180165707"/>
      <w:r>
        <w:rPr>
          <w:rFonts w:hint="eastAsia" w:ascii="宋体" w:hAnsi="宋体"/>
          <w:szCs w:val="28"/>
        </w:rPr>
        <w:t xml:space="preserve"> </w:t>
      </w:r>
      <w:bookmarkStart w:id="97" w:name="_Toc180265562"/>
      <w:r>
        <w:rPr>
          <w:rFonts w:hint="eastAsia" w:ascii="宋体" w:hAnsi="宋体"/>
          <w:szCs w:val="28"/>
        </w:rPr>
        <w:t>大数据分析</w:t>
      </w:r>
      <w:bookmarkEnd w:id="96"/>
      <w:bookmarkEnd w:id="97"/>
    </w:p>
    <w:p w14:paraId="2081ABBD">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4.10.3</w:t>
      </w:r>
      <w:r>
        <w:rPr>
          <w:rFonts w:hint="eastAsia" w:ascii="宋体" w:hAnsi="宋体"/>
          <w:b/>
          <w:szCs w:val="21"/>
        </w:rPr>
        <w:t>章节 P</w:t>
      </w:r>
      <w:r>
        <w:rPr>
          <w:rFonts w:ascii="宋体" w:hAnsi="宋体"/>
          <w:b/>
          <w:szCs w:val="21"/>
        </w:rPr>
        <w:t>2</w:t>
      </w:r>
      <w:r>
        <w:rPr>
          <w:rFonts w:hint="eastAsia" w:ascii="宋体" w:hAnsi="宋体"/>
          <w:b/>
          <w:szCs w:val="21"/>
        </w:rPr>
        <w:t>07页。</w:t>
      </w:r>
    </w:p>
    <w:p w14:paraId="29A6375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平台具备大数据相关功能，</w:t>
      </w:r>
      <w:r>
        <w:rPr>
          <w:rFonts w:ascii="宋体" w:hAnsi="宋体" w:eastAsia="宋体"/>
          <w:color w:val="000000" w:themeColor="text1"/>
          <w:szCs w:val="21"/>
          <w14:textFill>
            <w14:solidFill>
              <w14:schemeClr w14:val="tx1"/>
            </w14:solidFill>
          </w14:textFill>
        </w:rPr>
        <w:t>融合报表统计、趋势分析及数据驾驶舱等核心工具，提供全方位、智能化的数据分析。通过报表统计，可直观掌握采购活动的各项关键</w:t>
      </w:r>
      <w:r>
        <w:rPr>
          <w:rFonts w:hint="eastAsia" w:ascii="宋体" w:hAnsi="宋体" w:eastAsia="宋体"/>
          <w:color w:val="000000" w:themeColor="text1"/>
          <w:szCs w:val="21"/>
          <w14:textFill>
            <w14:solidFill>
              <w14:schemeClr w14:val="tx1"/>
            </w14:solidFill>
          </w14:textFill>
        </w:rPr>
        <w:t>数据</w:t>
      </w:r>
      <w:r>
        <w:rPr>
          <w:rFonts w:ascii="宋体" w:hAnsi="宋体" w:eastAsia="宋体"/>
          <w:color w:val="000000" w:themeColor="text1"/>
          <w:szCs w:val="21"/>
          <w14:textFill>
            <w14:solidFill>
              <w14:schemeClr w14:val="tx1"/>
            </w14:solidFill>
          </w14:textFill>
        </w:rPr>
        <w:t>；趋势分析</w:t>
      </w:r>
      <w:r>
        <w:rPr>
          <w:rFonts w:hint="eastAsia" w:ascii="宋体" w:hAnsi="宋体" w:eastAsia="宋体"/>
          <w:color w:val="000000" w:themeColor="text1"/>
          <w:szCs w:val="21"/>
          <w14:textFill>
            <w14:solidFill>
              <w14:schemeClr w14:val="tx1"/>
            </w14:solidFill>
          </w14:textFill>
        </w:rPr>
        <w:t>可监测市场动向</w:t>
      </w:r>
      <w:r>
        <w:rPr>
          <w:rFonts w:ascii="宋体" w:hAnsi="宋体" w:eastAsia="宋体"/>
          <w:color w:val="000000" w:themeColor="text1"/>
          <w:szCs w:val="21"/>
          <w14:textFill>
            <w14:solidFill>
              <w14:schemeClr w14:val="tx1"/>
            </w14:solidFill>
          </w14:textFill>
        </w:rPr>
        <w:t>；数据驾驶舱整合多维度数据，实现实时监控，确保采购过程高效透明</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提升企业的采购管理水平，</w:t>
      </w:r>
      <w:r>
        <w:rPr>
          <w:rFonts w:hint="eastAsia" w:ascii="宋体" w:hAnsi="宋体" w:eastAsia="宋体"/>
          <w:color w:val="000000" w:themeColor="text1"/>
          <w:szCs w:val="21"/>
          <w14:textFill>
            <w14:solidFill>
              <w14:schemeClr w14:val="tx1"/>
            </w14:solidFill>
          </w14:textFill>
        </w:rPr>
        <w:t>支持辅助决策。</w:t>
      </w:r>
    </w:p>
    <w:p w14:paraId="68A601F5">
      <w:pPr>
        <w:pStyle w:val="6"/>
        <w:numPr>
          <w:ilvl w:val="2"/>
          <w:numId w:val="7"/>
        </w:numPr>
        <w:spacing w:before="260" w:after="260"/>
        <w:jc w:val="both"/>
        <w:rPr>
          <w:rFonts w:hint="eastAsia" w:ascii="宋体" w:hAnsi="宋体"/>
          <w:szCs w:val="24"/>
        </w:rPr>
      </w:pPr>
      <w:bookmarkStart w:id="98" w:name="_Toc180265563"/>
      <w:bookmarkStart w:id="99" w:name="_Toc180165708"/>
      <w:r>
        <w:rPr>
          <w:rFonts w:hint="eastAsia" w:ascii="宋体" w:hAnsi="宋体"/>
          <w:szCs w:val="24"/>
        </w:rPr>
        <w:t>数据驾驶舱</w:t>
      </w:r>
      <w:bookmarkEnd w:id="98"/>
      <w:bookmarkEnd w:id="99"/>
    </w:p>
    <w:p w14:paraId="43A60FC9">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数据驾驶舱，覆盖企业全量招投标数据，包括业务流程、采购类型、采购方式等招投标业务数据的统计、趋势走向、业绩与收入统计分析等；驾驶舱分为公司权限、部门权限，数据的统计与查看按照权限严格控制，非授权人员无法查看数据。</w:t>
      </w:r>
    </w:p>
    <w:p w14:paraId="54B86E8E">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2496185"/>
            <wp:effectExtent l="0" t="0" r="254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87"/>
                    <a:stretch>
                      <a:fillRect/>
                    </a:stretch>
                  </pic:blipFill>
                  <pic:spPr>
                    <a:xfrm>
                      <a:off x="0" y="0"/>
                      <a:ext cx="5274310" cy="2496185"/>
                    </a:xfrm>
                    <a:prstGeom prst="rect">
                      <a:avLst/>
                    </a:prstGeom>
                  </pic:spPr>
                </pic:pic>
              </a:graphicData>
            </a:graphic>
          </wp:inline>
        </w:drawing>
      </w:r>
    </w:p>
    <w:p w14:paraId="427623F0">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2390140"/>
            <wp:effectExtent l="0" t="0" r="254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88"/>
                    <a:stretch>
                      <a:fillRect/>
                    </a:stretch>
                  </pic:blipFill>
                  <pic:spPr>
                    <a:xfrm>
                      <a:off x="0" y="0"/>
                      <a:ext cx="5274310" cy="2390140"/>
                    </a:xfrm>
                    <a:prstGeom prst="rect">
                      <a:avLst/>
                    </a:prstGeom>
                  </pic:spPr>
                </pic:pic>
              </a:graphicData>
            </a:graphic>
          </wp:inline>
        </w:drawing>
      </w:r>
    </w:p>
    <w:p w14:paraId="494D8CAC">
      <w:pPr>
        <w:pStyle w:val="6"/>
        <w:numPr>
          <w:ilvl w:val="2"/>
          <w:numId w:val="7"/>
        </w:numPr>
        <w:spacing w:before="260" w:after="260"/>
        <w:jc w:val="both"/>
        <w:rPr>
          <w:rFonts w:hint="eastAsia" w:ascii="宋体" w:hAnsi="宋体"/>
          <w:szCs w:val="24"/>
        </w:rPr>
      </w:pPr>
      <w:bookmarkStart w:id="100" w:name="_Toc180265564"/>
      <w:bookmarkStart w:id="101" w:name="_Toc180165709"/>
      <w:r>
        <w:rPr>
          <w:rFonts w:hint="eastAsia" w:ascii="宋体" w:hAnsi="宋体"/>
          <w:szCs w:val="24"/>
        </w:rPr>
        <w:t>大数据分析</w:t>
      </w:r>
      <w:bookmarkEnd w:id="100"/>
      <w:bookmarkEnd w:id="101"/>
    </w:p>
    <w:p w14:paraId="3F1A7E3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数据概览提供各年度项目的数量统计、委托金额统计，并提供数量和金额的环比数据；展示各区域项目数量统计、委托金额和环比数据，可按照年份、监督部门、服务种类切换，查看不同维度的项目数据；展示各区域项目采购情况等信息。</w:t>
      </w:r>
    </w:p>
    <w:p w14:paraId="76682A97">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2196465"/>
            <wp:effectExtent l="0" t="0" r="254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89"/>
                    <a:stretch>
                      <a:fillRect/>
                    </a:stretch>
                  </pic:blipFill>
                  <pic:spPr>
                    <a:xfrm>
                      <a:off x="0" y="0"/>
                      <a:ext cx="5274310" cy="2196465"/>
                    </a:xfrm>
                    <a:prstGeom prst="rect">
                      <a:avLst/>
                    </a:prstGeom>
                  </pic:spPr>
                </pic:pic>
              </a:graphicData>
            </a:graphic>
          </wp:inline>
        </w:drawing>
      </w:r>
    </w:p>
    <w:p w14:paraId="1536C850">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2180590"/>
            <wp:effectExtent l="0" t="0" r="254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90"/>
                    <a:stretch>
                      <a:fillRect/>
                    </a:stretch>
                  </pic:blipFill>
                  <pic:spPr>
                    <a:xfrm>
                      <a:off x="0" y="0"/>
                      <a:ext cx="5274310" cy="2180590"/>
                    </a:xfrm>
                    <a:prstGeom prst="rect">
                      <a:avLst/>
                    </a:prstGeom>
                  </pic:spPr>
                </pic:pic>
              </a:graphicData>
            </a:graphic>
          </wp:inline>
        </w:drawing>
      </w:r>
    </w:p>
    <w:p w14:paraId="71AF5670">
      <w:pPr>
        <w:pStyle w:val="6"/>
        <w:numPr>
          <w:ilvl w:val="2"/>
          <w:numId w:val="7"/>
        </w:numPr>
        <w:spacing w:before="260" w:after="260"/>
        <w:jc w:val="both"/>
        <w:rPr>
          <w:rFonts w:hint="eastAsia" w:ascii="宋体" w:hAnsi="宋体"/>
          <w:szCs w:val="24"/>
        </w:rPr>
      </w:pPr>
      <w:bookmarkStart w:id="102" w:name="_Toc180265565"/>
      <w:bookmarkStart w:id="103" w:name="_Toc180165710"/>
      <w:r>
        <w:rPr>
          <w:rFonts w:hint="eastAsia" w:ascii="宋体" w:hAnsi="宋体"/>
          <w:szCs w:val="24"/>
        </w:rPr>
        <w:t>数据图表</w:t>
      </w:r>
      <w:bookmarkEnd w:id="102"/>
      <w:bookmarkEnd w:id="103"/>
    </w:p>
    <w:p w14:paraId="6E93FB6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以条形图、饼图、柱状图等形式展示采购数据统计分析，采购内容统计展示不同采购品目时间段内建档的数量，采购组织分析展示各部门、分公司项目执行情况，采购方式分类展示公开招标、邀请招标等流程的数量占比，项目规模统计展示时间段内不同规模项目的分布；代理项目数量分析展示各代理机构项目情况，共同竞标人分析展示投标人参与项目的情况。</w:t>
      </w:r>
    </w:p>
    <w:p w14:paraId="3E215E70">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1500505"/>
            <wp:effectExtent l="0" t="0" r="2540" b="444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91"/>
                    <a:stretch>
                      <a:fillRect/>
                    </a:stretch>
                  </pic:blipFill>
                  <pic:spPr>
                    <a:xfrm>
                      <a:off x="0" y="0"/>
                      <a:ext cx="5274310" cy="1500505"/>
                    </a:xfrm>
                    <a:prstGeom prst="rect">
                      <a:avLst/>
                    </a:prstGeom>
                  </pic:spPr>
                </pic:pic>
              </a:graphicData>
            </a:graphic>
          </wp:inline>
        </w:drawing>
      </w:r>
    </w:p>
    <w:p w14:paraId="2130C070">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1564005"/>
            <wp:effectExtent l="0" t="0" r="254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92"/>
                    <a:stretch>
                      <a:fillRect/>
                    </a:stretch>
                  </pic:blipFill>
                  <pic:spPr>
                    <a:xfrm>
                      <a:off x="0" y="0"/>
                      <a:ext cx="5274310" cy="1564005"/>
                    </a:xfrm>
                    <a:prstGeom prst="rect">
                      <a:avLst/>
                    </a:prstGeom>
                  </pic:spPr>
                </pic:pic>
              </a:graphicData>
            </a:graphic>
          </wp:inline>
        </w:drawing>
      </w:r>
    </w:p>
    <w:p w14:paraId="665342AE">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1551305"/>
            <wp:effectExtent l="0" t="0" r="254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93"/>
                    <a:stretch>
                      <a:fillRect/>
                    </a:stretch>
                  </pic:blipFill>
                  <pic:spPr>
                    <a:xfrm>
                      <a:off x="0" y="0"/>
                      <a:ext cx="5274310" cy="1551305"/>
                    </a:xfrm>
                    <a:prstGeom prst="rect">
                      <a:avLst/>
                    </a:prstGeom>
                  </pic:spPr>
                </pic:pic>
              </a:graphicData>
            </a:graphic>
          </wp:inline>
        </w:drawing>
      </w:r>
    </w:p>
    <w:p w14:paraId="2331FDAE">
      <w:pPr>
        <w:spacing w:line="360" w:lineRule="auto"/>
        <w:jc w:val="center"/>
        <w:rPr>
          <w:rFonts w:hint="eastAsia" w:ascii="宋体" w:hAnsi="宋体" w:eastAsia="宋体"/>
          <w:szCs w:val="21"/>
        </w:rPr>
      </w:pPr>
      <w:r>
        <w:rPr>
          <w:rFonts w:ascii="宋体" w:hAnsi="宋体" w:eastAsia="宋体"/>
          <w:szCs w:val="21"/>
        </w:rPr>
        <w:drawing>
          <wp:inline distT="0" distB="0" distL="0" distR="0">
            <wp:extent cx="5274310" cy="1541780"/>
            <wp:effectExtent l="0" t="0" r="254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94"/>
                    <a:stretch>
                      <a:fillRect/>
                    </a:stretch>
                  </pic:blipFill>
                  <pic:spPr>
                    <a:xfrm>
                      <a:off x="0" y="0"/>
                      <a:ext cx="5274310" cy="1541780"/>
                    </a:xfrm>
                    <a:prstGeom prst="rect">
                      <a:avLst/>
                    </a:prstGeom>
                  </pic:spPr>
                </pic:pic>
              </a:graphicData>
            </a:graphic>
          </wp:inline>
        </w:drawing>
      </w:r>
    </w:p>
    <w:p w14:paraId="4FDDC856">
      <w:pPr>
        <w:pStyle w:val="6"/>
        <w:numPr>
          <w:ilvl w:val="2"/>
          <w:numId w:val="7"/>
        </w:numPr>
        <w:spacing w:before="260" w:after="260"/>
        <w:jc w:val="both"/>
        <w:rPr>
          <w:rFonts w:hint="eastAsia" w:ascii="宋体" w:hAnsi="宋体"/>
          <w:szCs w:val="24"/>
        </w:rPr>
      </w:pPr>
      <w:bookmarkStart w:id="104" w:name="_Toc180265566"/>
      <w:r>
        <w:rPr>
          <w:rFonts w:hint="eastAsia" w:ascii="宋体" w:hAnsi="宋体"/>
          <w:szCs w:val="24"/>
        </w:rPr>
        <w:t>本功能应用案例证明</w:t>
      </w:r>
      <w:bookmarkEnd w:id="104"/>
    </w:p>
    <w:p w14:paraId="0A5B7A11">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黑龙江省招标有限公司【详见1</w:t>
      </w:r>
      <w:r>
        <w:rPr>
          <w:rFonts w:ascii="宋体" w:hAnsi="宋体" w:eastAsia="宋体"/>
          <w:color w:val="000000" w:themeColor="text1"/>
          <w:szCs w:val="21"/>
          <w14:textFill>
            <w14:solidFill>
              <w14:schemeClr w14:val="tx1"/>
            </w14:solidFill>
          </w14:textFill>
        </w:rPr>
        <w:t>4.10.2</w:t>
      </w:r>
      <w:r>
        <w:rPr>
          <w:rFonts w:hint="eastAsia" w:ascii="宋体" w:hAnsi="宋体" w:eastAsia="宋体"/>
          <w:color w:val="000000" w:themeColor="text1"/>
          <w:szCs w:val="21"/>
          <w14:textFill>
            <w14:solidFill>
              <w14:schemeClr w14:val="tx1"/>
            </w14:solidFill>
          </w14:textFill>
        </w:rPr>
        <w:t>】</w:t>
      </w:r>
    </w:p>
    <w:p w14:paraId="72668416">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中钢招标有限责任公司【详见1</w:t>
      </w:r>
      <w:r>
        <w:rPr>
          <w:rFonts w:ascii="宋体" w:hAnsi="宋体" w:eastAsia="宋体"/>
          <w:color w:val="000000" w:themeColor="text1"/>
          <w:szCs w:val="21"/>
          <w14:textFill>
            <w14:solidFill>
              <w14:schemeClr w14:val="tx1"/>
            </w14:solidFill>
          </w14:textFill>
        </w:rPr>
        <w:t>4.10.4</w:t>
      </w:r>
      <w:r>
        <w:rPr>
          <w:rFonts w:hint="eastAsia" w:ascii="宋体" w:hAnsi="宋体" w:eastAsia="宋体"/>
          <w:color w:val="000000" w:themeColor="text1"/>
          <w:szCs w:val="21"/>
          <w14:textFill>
            <w14:solidFill>
              <w14:schemeClr w14:val="tx1"/>
            </w14:solidFill>
          </w14:textFill>
        </w:rPr>
        <w:t>】</w:t>
      </w:r>
    </w:p>
    <w:p w14:paraId="61E63C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中科信工程咨询（北京）有限责任公司【详见1</w:t>
      </w:r>
      <w:r>
        <w:rPr>
          <w:rFonts w:ascii="宋体" w:hAnsi="宋体" w:eastAsia="宋体"/>
          <w:color w:val="000000" w:themeColor="text1"/>
          <w:szCs w:val="21"/>
          <w14:textFill>
            <w14:solidFill>
              <w14:schemeClr w14:val="tx1"/>
            </w14:solidFill>
          </w14:textFill>
        </w:rPr>
        <w:t>4.10.5</w:t>
      </w:r>
      <w:r>
        <w:rPr>
          <w:rFonts w:hint="eastAsia" w:ascii="宋体" w:hAnsi="宋体" w:eastAsia="宋体"/>
          <w:color w:val="000000" w:themeColor="text1"/>
          <w:szCs w:val="21"/>
          <w14:textFill>
            <w14:solidFill>
              <w14:schemeClr w14:val="tx1"/>
            </w14:solidFill>
          </w14:textFill>
        </w:rPr>
        <w:t>】</w:t>
      </w:r>
    </w:p>
    <w:p w14:paraId="58B555D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北京江河润泽工程管理咨询有限公司【详见1</w:t>
      </w:r>
      <w:r>
        <w:rPr>
          <w:rFonts w:ascii="宋体" w:hAnsi="宋体" w:eastAsia="宋体"/>
          <w:color w:val="000000" w:themeColor="text1"/>
          <w:szCs w:val="21"/>
          <w14:textFill>
            <w14:solidFill>
              <w14:schemeClr w14:val="tx1"/>
            </w14:solidFill>
          </w14:textFill>
        </w:rPr>
        <w:t>4.10.6</w:t>
      </w:r>
      <w:r>
        <w:rPr>
          <w:rFonts w:hint="eastAsia" w:ascii="宋体" w:hAnsi="宋体" w:eastAsia="宋体"/>
          <w:color w:val="000000" w:themeColor="text1"/>
          <w:szCs w:val="21"/>
          <w14:textFill>
            <w14:solidFill>
              <w14:schemeClr w14:val="tx1"/>
            </w14:solidFill>
          </w14:textFill>
        </w:rPr>
        <w:t>】</w:t>
      </w:r>
    </w:p>
    <w:p w14:paraId="3FABB708">
      <w:pPr>
        <w:pStyle w:val="5"/>
        <w:numPr>
          <w:ilvl w:val="1"/>
          <w:numId w:val="7"/>
        </w:numPr>
        <w:spacing w:before="260" w:after="260"/>
        <w:jc w:val="both"/>
        <w:rPr>
          <w:rFonts w:hint="eastAsia" w:ascii="宋体" w:hAnsi="宋体"/>
          <w:szCs w:val="28"/>
        </w:rPr>
      </w:pPr>
      <w:bookmarkStart w:id="105" w:name="_Toc180165711"/>
      <w:r>
        <w:rPr>
          <w:rFonts w:hint="eastAsia" w:ascii="宋体" w:hAnsi="宋体"/>
          <w:szCs w:val="28"/>
        </w:rPr>
        <w:t xml:space="preserve"> </w:t>
      </w:r>
      <w:bookmarkStart w:id="106" w:name="_Toc180265567"/>
      <w:r>
        <w:rPr>
          <w:rFonts w:hint="eastAsia" w:ascii="宋体" w:hAnsi="宋体"/>
          <w:szCs w:val="28"/>
        </w:rPr>
        <w:t>人工智能技术应用</w:t>
      </w:r>
      <w:bookmarkEnd w:id="105"/>
      <w:bookmarkEnd w:id="106"/>
    </w:p>
    <w:p w14:paraId="39998D24">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4.11</w:t>
      </w:r>
      <w:r>
        <w:rPr>
          <w:rFonts w:hint="eastAsia" w:ascii="宋体" w:hAnsi="宋体"/>
          <w:b/>
          <w:szCs w:val="21"/>
        </w:rPr>
        <w:t>章节 P</w:t>
      </w:r>
      <w:r>
        <w:rPr>
          <w:rFonts w:ascii="宋体" w:hAnsi="宋体"/>
          <w:b/>
          <w:szCs w:val="21"/>
        </w:rPr>
        <w:t>2</w:t>
      </w:r>
      <w:r>
        <w:rPr>
          <w:rFonts w:hint="eastAsia" w:ascii="宋体" w:hAnsi="宋体"/>
          <w:b/>
          <w:szCs w:val="21"/>
        </w:rPr>
        <w:t>10 页。</w:t>
      </w:r>
    </w:p>
    <w:p w14:paraId="52C872B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借助AI的文本纠错能力，结合审查规则配置功能可为用户提供招标公告、招标文件的智能审查工具。提升业务人员所编写的文档内容的准确性，降低出错概率。审批人员在审批文件时，不再需要逐字逐页查看整本招标文件或公告，智能审查系统可以快速检查全文，并标注出文档中的文字、标点错误，根据预先配置的检查规则标注出不符合要求的文档内容；在提升审查效率的同时，也保证了文档的合规性。</w:t>
      </w:r>
    </w:p>
    <w:p w14:paraId="6EE6ECF7">
      <w:pPr>
        <w:pStyle w:val="6"/>
        <w:numPr>
          <w:ilvl w:val="2"/>
          <w:numId w:val="7"/>
        </w:numPr>
        <w:spacing w:before="260" w:after="260"/>
        <w:jc w:val="both"/>
        <w:rPr>
          <w:rFonts w:hint="eastAsia" w:ascii="宋体" w:hAnsi="宋体"/>
          <w:szCs w:val="24"/>
        </w:rPr>
      </w:pPr>
      <w:bookmarkStart w:id="107" w:name="_Toc180165712"/>
      <w:bookmarkStart w:id="108" w:name="_Toc180265568"/>
      <w:r>
        <w:rPr>
          <w:rFonts w:hint="eastAsia" w:ascii="宋体" w:hAnsi="宋体"/>
          <w:szCs w:val="24"/>
        </w:rPr>
        <w:t>校验规则管理</w:t>
      </w:r>
      <w:bookmarkEnd w:id="107"/>
      <w:bookmarkEnd w:id="108"/>
    </w:p>
    <w:p w14:paraId="2C1DA8EE">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添加检验规则，设置规则名称、选择校验类型（如招标文件，招标公告，结果公告，结果公示）、添加检验规则。</w:t>
      </w:r>
    </w:p>
    <w:p w14:paraId="08E68D34">
      <w:pPr>
        <w:pStyle w:val="2"/>
        <w:tabs>
          <w:tab w:val="left" w:pos="5580"/>
        </w:tabs>
        <w:spacing w:line="360" w:lineRule="auto"/>
        <w:ind w:left="0" w:leftChars="0" w:firstLine="0" w:firstLineChars="0"/>
        <w:jc w:val="center"/>
        <w:rPr>
          <w:rFonts w:hint="eastAsia" w:ascii="宋体" w:hAnsi="宋体"/>
          <w:szCs w:val="21"/>
        </w:rPr>
      </w:pPr>
      <w:r>
        <w:rPr>
          <w:rFonts w:ascii="宋体" w:hAnsi="宋体"/>
          <w:szCs w:val="21"/>
        </w:rPr>
        <w:drawing>
          <wp:inline distT="0" distB="0" distL="114300" distR="114300">
            <wp:extent cx="5273040" cy="2369185"/>
            <wp:effectExtent l="0" t="0" r="3810" b="12065"/>
            <wp:docPr id="27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5"/>
                    <pic:cNvPicPr>
                      <a:picLocks noChangeAspect="1"/>
                    </pic:cNvPicPr>
                  </pic:nvPicPr>
                  <pic:blipFill>
                    <a:blip r:embed="rId95"/>
                    <a:stretch>
                      <a:fillRect/>
                    </a:stretch>
                  </pic:blipFill>
                  <pic:spPr>
                    <a:xfrm>
                      <a:off x="0" y="0"/>
                      <a:ext cx="5273040" cy="2369185"/>
                    </a:xfrm>
                    <a:prstGeom prst="rect">
                      <a:avLst/>
                    </a:prstGeom>
                    <a:noFill/>
                    <a:ln>
                      <a:noFill/>
                    </a:ln>
                  </pic:spPr>
                </pic:pic>
              </a:graphicData>
            </a:graphic>
          </wp:inline>
        </w:drawing>
      </w:r>
    </w:p>
    <w:p w14:paraId="0FC3B619">
      <w:pPr>
        <w:pStyle w:val="6"/>
        <w:numPr>
          <w:ilvl w:val="2"/>
          <w:numId w:val="7"/>
        </w:numPr>
        <w:spacing w:before="260" w:after="260"/>
        <w:jc w:val="both"/>
        <w:rPr>
          <w:rFonts w:hint="eastAsia" w:ascii="宋体" w:hAnsi="宋体"/>
          <w:szCs w:val="24"/>
        </w:rPr>
      </w:pPr>
      <w:bookmarkStart w:id="109" w:name="_Toc180165713"/>
      <w:bookmarkStart w:id="110" w:name="_Toc180265569"/>
      <w:r>
        <w:rPr>
          <w:rFonts w:hint="eastAsia" w:ascii="宋体" w:hAnsi="宋体"/>
          <w:szCs w:val="24"/>
        </w:rPr>
        <w:t>文件检查</w:t>
      </w:r>
      <w:bookmarkEnd w:id="109"/>
      <w:bookmarkEnd w:id="110"/>
    </w:p>
    <w:p w14:paraId="622D8504">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平台按照文本校验规则解析文件，文件解析完成之后，便可查看规则以及文本检查结果，针对检查结果，系统将会提示替换建议。</w:t>
      </w:r>
    </w:p>
    <w:p w14:paraId="0754E38B">
      <w:pPr>
        <w:pStyle w:val="2"/>
        <w:tabs>
          <w:tab w:val="left" w:pos="5580"/>
        </w:tabs>
        <w:spacing w:line="360" w:lineRule="auto"/>
        <w:ind w:left="0" w:leftChars="0" w:firstLine="0" w:firstLineChars="0"/>
        <w:jc w:val="center"/>
        <w:rPr>
          <w:rFonts w:hint="eastAsia" w:ascii="宋体" w:hAnsi="宋体"/>
          <w:szCs w:val="21"/>
        </w:rPr>
      </w:pPr>
      <w:r>
        <w:rPr>
          <w:rFonts w:ascii="宋体" w:hAnsi="宋体"/>
          <w:szCs w:val="21"/>
        </w:rPr>
        <w:drawing>
          <wp:inline distT="0" distB="0" distL="114300" distR="114300">
            <wp:extent cx="5263515" cy="2417445"/>
            <wp:effectExtent l="0" t="0" r="13335" b="1905"/>
            <wp:docPr id="2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8"/>
                    <pic:cNvPicPr>
                      <a:picLocks noChangeAspect="1"/>
                    </pic:cNvPicPr>
                  </pic:nvPicPr>
                  <pic:blipFill>
                    <a:blip r:embed="rId96"/>
                    <a:stretch>
                      <a:fillRect/>
                    </a:stretch>
                  </pic:blipFill>
                  <pic:spPr>
                    <a:xfrm>
                      <a:off x="0" y="0"/>
                      <a:ext cx="5263515" cy="2417445"/>
                    </a:xfrm>
                    <a:prstGeom prst="rect">
                      <a:avLst/>
                    </a:prstGeom>
                    <a:noFill/>
                    <a:ln>
                      <a:noFill/>
                    </a:ln>
                  </pic:spPr>
                </pic:pic>
              </a:graphicData>
            </a:graphic>
          </wp:inline>
        </w:drawing>
      </w:r>
    </w:p>
    <w:p w14:paraId="5EA9ECFD">
      <w:pPr>
        <w:pStyle w:val="6"/>
        <w:numPr>
          <w:ilvl w:val="2"/>
          <w:numId w:val="7"/>
        </w:numPr>
        <w:spacing w:before="260" w:after="260"/>
        <w:jc w:val="both"/>
        <w:rPr>
          <w:rFonts w:hint="eastAsia" w:ascii="宋体" w:hAnsi="宋体"/>
          <w:szCs w:val="24"/>
        </w:rPr>
      </w:pPr>
      <w:bookmarkStart w:id="111" w:name="_Toc180265570"/>
      <w:r>
        <w:rPr>
          <w:rFonts w:hint="eastAsia" w:ascii="宋体" w:hAnsi="宋体"/>
          <w:szCs w:val="24"/>
        </w:rPr>
        <w:t>本功能应用案例证明</w:t>
      </w:r>
      <w:bookmarkEnd w:id="111"/>
    </w:p>
    <w:p w14:paraId="37F5872B">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陕西省采购招标有限责任公司【详见1</w:t>
      </w:r>
      <w:r>
        <w:rPr>
          <w:rFonts w:ascii="宋体" w:hAnsi="宋体" w:eastAsia="宋体"/>
          <w:color w:val="000000" w:themeColor="text1"/>
          <w:szCs w:val="21"/>
          <w14:textFill>
            <w14:solidFill>
              <w14:schemeClr w14:val="tx1"/>
            </w14:solidFill>
          </w14:textFill>
        </w:rPr>
        <w:t>4.10.3</w:t>
      </w:r>
      <w:r>
        <w:rPr>
          <w:rFonts w:hint="eastAsia" w:ascii="宋体" w:hAnsi="宋体" w:eastAsia="宋体"/>
          <w:color w:val="000000" w:themeColor="text1"/>
          <w:szCs w:val="21"/>
          <w14:textFill>
            <w14:solidFill>
              <w14:schemeClr w14:val="tx1"/>
            </w14:solidFill>
          </w14:textFill>
        </w:rPr>
        <w:t>】</w:t>
      </w:r>
    </w:p>
    <w:p w14:paraId="614F4D9E">
      <w:pPr>
        <w:pStyle w:val="5"/>
        <w:numPr>
          <w:ilvl w:val="1"/>
          <w:numId w:val="7"/>
        </w:numPr>
        <w:spacing w:before="260" w:after="260"/>
        <w:jc w:val="both"/>
        <w:rPr>
          <w:rFonts w:hint="eastAsia" w:ascii="宋体" w:hAnsi="宋体"/>
          <w:szCs w:val="28"/>
        </w:rPr>
      </w:pPr>
      <w:bookmarkStart w:id="112" w:name="_Toc180165714"/>
      <w:r>
        <w:rPr>
          <w:rFonts w:hint="eastAsia" w:ascii="宋体" w:hAnsi="宋体"/>
          <w:szCs w:val="28"/>
        </w:rPr>
        <w:t xml:space="preserve"> </w:t>
      </w:r>
      <w:bookmarkStart w:id="113" w:name="_Toc180265571"/>
      <w:r>
        <w:rPr>
          <w:rFonts w:hint="eastAsia" w:ascii="宋体" w:hAnsi="宋体"/>
          <w:szCs w:val="28"/>
        </w:rPr>
        <w:t>开评标现场管理</w:t>
      </w:r>
      <w:bookmarkEnd w:id="112"/>
      <w:bookmarkEnd w:id="113"/>
    </w:p>
    <w:p w14:paraId="3A618DCD">
      <w:pPr>
        <w:pStyle w:val="2"/>
        <w:spacing w:line="360" w:lineRule="auto"/>
        <w:ind w:left="0" w:leftChars="0" w:firstLine="0" w:firstLineChars="0"/>
        <w:rPr>
          <w:rFonts w:hint="eastAsia" w:ascii="宋体" w:hAnsi="宋体"/>
          <w:b/>
          <w:szCs w:val="21"/>
        </w:rPr>
      </w:pPr>
      <w:r>
        <w:rPr>
          <w:rFonts w:hint="eastAsia" w:ascii="宋体" w:hAnsi="宋体"/>
          <w:b/>
          <w:szCs w:val="21"/>
        </w:rPr>
        <w:t>以下为产品功能概述，具体功能详见产品手册第</w:t>
      </w:r>
      <w:r>
        <w:rPr>
          <w:rFonts w:ascii="宋体" w:hAnsi="宋体"/>
          <w:b/>
          <w:szCs w:val="21"/>
        </w:rPr>
        <w:t>4.4</w:t>
      </w:r>
      <w:r>
        <w:rPr>
          <w:rFonts w:hint="eastAsia" w:ascii="宋体" w:hAnsi="宋体"/>
          <w:b/>
          <w:szCs w:val="21"/>
        </w:rPr>
        <w:t>章节 P</w:t>
      </w:r>
      <w:r>
        <w:rPr>
          <w:rFonts w:ascii="宋体" w:hAnsi="宋体"/>
          <w:b/>
          <w:szCs w:val="21"/>
        </w:rPr>
        <w:t>16</w:t>
      </w:r>
      <w:r>
        <w:rPr>
          <w:rFonts w:hint="eastAsia" w:ascii="宋体" w:hAnsi="宋体"/>
          <w:b/>
          <w:szCs w:val="21"/>
        </w:rPr>
        <w:t>4页。</w:t>
      </w:r>
    </w:p>
    <w:p w14:paraId="4B89BE6C">
      <w:pPr>
        <w:pStyle w:val="6"/>
        <w:numPr>
          <w:ilvl w:val="2"/>
          <w:numId w:val="7"/>
        </w:numPr>
        <w:spacing w:before="260" w:after="260"/>
        <w:jc w:val="both"/>
        <w:rPr>
          <w:rFonts w:hint="eastAsia" w:ascii="宋体" w:hAnsi="宋体"/>
          <w:szCs w:val="24"/>
        </w:rPr>
      </w:pPr>
      <w:bookmarkStart w:id="114" w:name="_Toc180165715"/>
      <w:bookmarkStart w:id="115" w:name="_Toc180265572"/>
      <w:r>
        <w:rPr>
          <w:rFonts w:hint="eastAsia" w:ascii="宋体" w:hAnsi="宋体"/>
          <w:szCs w:val="24"/>
        </w:rPr>
        <w:t>开评标场地预约</w:t>
      </w:r>
      <w:bookmarkEnd w:id="114"/>
      <w:bookmarkEnd w:id="115"/>
    </w:p>
    <w:p w14:paraId="7E5B23FA">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备场地管理和场地预定功能，可在线预约项目开评标场地，选择需要使用的会议室和场地设备如投影设备、打印机、茶水等；项目经理根据项目的具体需求、开评标时间及会议室占用情况，为项目预定开评标场地，也可通过开标月历表查看项目开评标地点。</w:t>
      </w:r>
    </w:p>
    <w:p w14:paraId="0980197F">
      <w:pPr>
        <w:spacing w:line="360" w:lineRule="auto"/>
        <w:jc w:val="center"/>
        <w:rPr>
          <w:rFonts w:hint="eastAsia" w:ascii="宋体" w:hAnsi="宋体" w:eastAsia="宋体"/>
          <w:szCs w:val="21"/>
        </w:rPr>
      </w:pPr>
      <w:r>
        <w:rPr>
          <w:rFonts w:hint="eastAsia" w:ascii="宋体" w:hAnsi="宋体" w:eastAsia="宋体" w:cstheme="minorEastAsia"/>
          <w:szCs w:val="21"/>
        </w:rPr>
        <w:drawing>
          <wp:inline distT="0" distB="0" distL="114300" distR="114300">
            <wp:extent cx="5930900" cy="2480945"/>
            <wp:effectExtent l="0" t="0" r="12700" b="14605"/>
            <wp:docPr id="1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8"/>
                    <pic:cNvPicPr>
                      <a:picLocks noChangeAspect="1"/>
                    </pic:cNvPicPr>
                  </pic:nvPicPr>
                  <pic:blipFill>
                    <a:blip r:embed="rId97"/>
                    <a:stretch>
                      <a:fillRect/>
                    </a:stretch>
                  </pic:blipFill>
                  <pic:spPr>
                    <a:xfrm>
                      <a:off x="0" y="0"/>
                      <a:ext cx="5930900" cy="2480945"/>
                    </a:xfrm>
                    <a:prstGeom prst="rect">
                      <a:avLst/>
                    </a:prstGeom>
                    <a:noFill/>
                    <a:ln>
                      <a:noFill/>
                    </a:ln>
                  </pic:spPr>
                </pic:pic>
              </a:graphicData>
            </a:graphic>
          </wp:inline>
        </w:drawing>
      </w:r>
    </w:p>
    <w:p w14:paraId="125ED15D">
      <w:pPr>
        <w:spacing w:line="360" w:lineRule="auto"/>
        <w:rPr>
          <w:rFonts w:hint="eastAsia" w:ascii="宋体" w:hAnsi="宋体" w:eastAsia="宋体"/>
          <w:szCs w:val="21"/>
        </w:rPr>
      </w:pPr>
      <w:r>
        <w:rPr>
          <w:rFonts w:hint="eastAsia" w:ascii="宋体" w:hAnsi="宋体" w:eastAsia="宋体" w:cstheme="minorEastAsia"/>
          <w:szCs w:val="21"/>
        </w:rPr>
        <w:drawing>
          <wp:inline distT="0" distB="0" distL="114300" distR="114300">
            <wp:extent cx="5932805" cy="2680970"/>
            <wp:effectExtent l="0" t="0" r="10795" b="5080"/>
            <wp:docPr id="1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7"/>
                    <pic:cNvPicPr>
                      <a:picLocks noChangeAspect="1"/>
                    </pic:cNvPicPr>
                  </pic:nvPicPr>
                  <pic:blipFill>
                    <a:blip r:embed="rId98"/>
                    <a:stretch>
                      <a:fillRect/>
                    </a:stretch>
                  </pic:blipFill>
                  <pic:spPr>
                    <a:xfrm>
                      <a:off x="0" y="0"/>
                      <a:ext cx="5932805" cy="2680970"/>
                    </a:xfrm>
                    <a:prstGeom prst="rect">
                      <a:avLst/>
                    </a:prstGeom>
                    <a:noFill/>
                    <a:ln>
                      <a:noFill/>
                    </a:ln>
                  </pic:spPr>
                </pic:pic>
              </a:graphicData>
            </a:graphic>
          </wp:inline>
        </w:drawing>
      </w:r>
    </w:p>
    <w:p w14:paraId="5A92A76A">
      <w:pPr>
        <w:snapToGrid w:val="0"/>
        <w:spacing w:line="360" w:lineRule="auto"/>
        <w:contextualSpacing/>
        <w:rPr>
          <w:rFonts w:hint="eastAsia" w:ascii="宋体" w:hAnsi="宋体" w:eastAsia="宋体" w:cs="宋体"/>
          <w:szCs w:val="21"/>
        </w:rPr>
      </w:pPr>
      <w:r>
        <w:rPr>
          <w:rFonts w:hint="eastAsia" w:ascii="宋体" w:hAnsi="宋体" w:eastAsia="宋体" w:cstheme="minorEastAsia"/>
          <w:szCs w:val="21"/>
        </w:rPr>
        <w:drawing>
          <wp:inline distT="0" distB="0" distL="114300" distR="114300">
            <wp:extent cx="5937885" cy="2510790"/>
            <wp:effectExtent l="0" t="0" r="5715" b="3810"/>
            <wp:docPr id="1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2"/>
                    <pic:cNvPicPr>
                      <a:picLocks noChangeAspect="1"/>
                    </pic:cNvPicPr>
                  </pic:nvPicPr>
                  <pic:blipFill>
                    <a:blip r:embed="rId99"/>
                    <a:stretch>
                      <a:fillRect/>
                    </a:stretch>
                  </pic:blipFill>
                  <pic:spPr>
                    <a:xfrm>
                      <a:off x="0" y="0"/>
                      <a:ext cx="5937885" cy="2510790"/>
                    </a:xfrm>
                    <a:prstGeom prst="rect">
                      <a:avLst/>
                    </a:prstGeom>
                    <a:noFill/>
                    <a:ln>
                      <a:noFill/>
                    </a:ln>
                  </pic:spPr>
                </pic:pic>
              </a:graphicData>
            </a:graphic>
          </wp:inline>
        </w:drawing>
      </w:r>
    </w:p>
    <w:p w14:paraId="472D640D">
      <w:pPr>
        <w:pStyle w:val="6"/>
        <w:numPr>
          <w:ilvl w:val="2"/>
          <w:numId w:val="7"/>
        </w:numPr>
        <w:spacing w:before="260" w:after="260"/>
        <w:jc w:val="both"/>
        <w:rPr>
          <w:rFonts w:hint="eastAsia" w:ascii="宋体" w:hAnsi="宋体"/>
          <w:szCs w:val="24"/>
        </w:rPr>
      </w:pPr>
      <w:bookmarkStart w:id="116" w:name="_Toc180165716"/>
      <w:bookmarkStart w:id="117" w:name="_Toc180265573"/>
      <w:r>
        <w:rPr>
          <w:rFonts w:hint="eastAsia" w:ascii="宋体" w:hAnsi="宋体"/>
          <w:szCs w:val="24"/>
        </w:rPr>
        <w:t>项目信息推送与音视频资料调阅</w:t>
      </w:r>
      <w:bookmarkEnd w:id="116"/>
      <w:bookmarkEnd w:id="117"/>
    </w:p>
    <w:p w14:paraId="336418B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平台具有标准化接口，</w:t>
      </w:r>
      <w:r>
        <w:rPr>
          <w:rFonts w:ascii="宋体" w:hAnsi="宋体" w:eastAsia="宋体"/>
          <w:color w:val="000000" w:themeColor="text1"/>
          <w:szCs w:val="21"/>
          <w14:textFill>
            <w14:solidFill>
              <w14:schemeClr w14:val="tx1"/>
            </w14:solidFill>
          </w14:textFill>
        </w:rPr>
        <w:t>支持根据系统集成方案将开评标场地信息推送至线下指定开评标地点</w:t>
      </w:r>
      <w:r>
        <w:rPr>
          <w:rFonts w:hint="eastAsia" w:ascii="宋体" w:hAnsi="宋体" w:eastAsia="宋体"/>
          <w:color w:val="000000" w:themeColor="text1"/>
          <w:szCs w:val="21"/>
          <w14:textFill>
            <w14:solidFill>
              <w14:schemeClr w14:val="tx1"/>
            </w14:solidFill>
          </w14:textFill>
        </w:rPr>
        <w:t>，将开评标项目与场地进行关联，开评标场地可查看项目信息；</w:t>
      </w:r>
      <w:r>
        <w:rPr>
          <w:rFonts w:ascii="宋体" w:hAnsi="宋体" w:eastAsia="宋体"/>
          <w:color w:val="000000" w:themeColor="text1"/>
          <w:szCs w:val="21"/>
          <w14:textFill>
            <w14:solidFill>
              <w14:schemeClr w14:val="tx1"/>
            </w14:solidFill>
          </w14:textFill>
        </w:rPr>
        <w:t>平台</w:t>
      </w:r>
      <w:r>
        <w:rPr>
          <w:rFonts w:hint="eastAsia" w:ascii="宋体" w:hAnsi="宋体" w:eastAsia="宋体"/>
          <w:color w:val="000000" w:themeColor="text1"/>
          <w:szCs w:val="21"/>
          <w14:textFill>
            <w14:solidFill>
              <w14:schemeClr w14:val="tx1"/>
            </w14:solidFill>
          </w14:textFill>
        </w:rPr>
        <w:t>支持</w:t>
      </w:r>
      <w:r>
        <w:rPr>
          <w:rFonts w:ascii="宋体" w:hAnsi="宋体" w:eastAsia="宋体"/>
          <w:color w:val="000000" w:themeColor="text1"/>
          <w:szCs w:val="21"/>
          <w14:textFill>
            <w14:solidFill>
              <w14:schemeClr w14:val="tx1"/>
            </w14:solidFill>
          </w14:textFill>
        </w:rPr>
        <w:t>打包下载全过程的音视频资料，并可自投标有效期结束之日起存储6个月以上</w:t>
      </w:r>
      <w:r>
        <w:rPr>
          <w:rFonts w:hint="eastAsia" w:ascii="宋体" w:hAnsi="宋体" w:eastAsia="宋体"/>
          <w:color w:val="000000" w:themeColor="text1"/>
          <w:szCs w:val="21"/>
          <w14:textFill>
            <w14:solidFill>
              <w14:schemeClr w14:val="tx1"/>
            </w14:solidFill>
          </w14:textFill>
        </w:rPr>
        <w:t>。</w:t>
      </w:r>
    </w:p>
    <w:p w14:paraId="22143391">
      <w:pPr>
        <w:snapToGrid w:val="0"/>
        <w:spacing w:line="360" w:lineRule="auto"/>
        <w:contextualSpacing/>
        <w:jc w:val="center"/>
        <w:rPr>
          <w:rFonts w:hint="eastAsia" w:ascii="宋体" w:hAnsi="宋体" w:eastAsia="宋体"/>
          <w:b/>
          <w:szCs w:val="21"/>
        </w:rPr>
      </w:pPr>
      <w:r>
        <w:rPr>
          <w:rFonts w:hint="eastAsia" w:ascii="宋体" w:hAnsi="宋体" w:eastAsia="宋体" w:cstheme="minorEastAsia"/>
          <w:szCs w:val="21"/>
        </w:rPr>
        <w:drawing>
          <wp:inline distT="0" distB="0" distL="114300" distR="114300">
            <wp:extent cx="5264150" cy="1663700"/>
            <wp:effectExtent l="0" t="0" r="12700" b="12700"/>
            <wp:docPr id="12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8"/>
                    <pic:cNvPicPr>
                      <a:picLocks noChangeAspect="1"/>
                    </pic:cNvPicPr>
                  </pic:nvPicPr>
                  <pic:blipFill>
                    <a:blip r:embed="rId100"/>
                    <a:stretch>
                      <a:fillRect/>
                    </a:stretch>
                  </pic:blipFill>
                  <pic:spPr>
                    <a:xfrm>
                      <a:off x="0" y="0"/>
                      <a:ext cx="5264150" cy="1663700"/>
                    </a:xfrm>
                    <a:prstGeom prst="rect">
                      <a:avLst/>
                    </a:prstGeom>
                    <a:noFill/>
                    <a:ln>
                      <a:noFill/>
                    </a:ln>
                  </pic:spPr>
                </pic:pic>
              </a:graphicData>
            </a:graphic>
          </wp:inline>
        </w:drawing>
      </w:r>
    </w:p>
    <w:p w14:paraId="7C0AFF6A">
      <w:pPr>
        <w:pStyle w:val="6"/>
        <w:numPr>
          <w:ilvl w:val="2"/>
          <w:numId w:val="7"/>
        </w:numPr>
        <w:spacing w:before="260" w:after="260"/>
        <w:jc w:val="both"/>
        <w:rPr>
          <w:rFonts w:hint="eastAsia" w:ascii="宋体" w:hAnsi="宋体"/>
          <w:szCs w:val="24"/>
        </w:rPr>
      </w:pPr>
      <w:bookmarkStart w:id="118" w:name="_Toc180265574"/>
      <w:r>
        <w:rPr>
          <w:rFonts w:hint="eastAsia" w:ascii="宋体" w:hAnsi="宋体"/>
          <w:szCs w:val="24"/>
        </w:rPr>
        <w:t>本功能应用案例证明</w:t>
      </w:r>
      <w:bookmarkEnd w:id="118"/>
    </w:p>
    <w:p w14:paraId="4CF5791F">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中信国际招标有限公司【详见1</w:t>
      </w:r>
      <w:r>
        <w:rPr>
          <w:rFonts w:ascii="宋体" w:hAnsi="宋体" w:eastAsia="宋体"/>
          <w:color w:val="000000" w:themeColor="text1"/>
          <w:szCs w:val="21"/>
          <w14:textFill>
            <w14:solidFill>
              <w14:schemeClr w14:val="tx1"/>
            </w14:solidFill>
          </w14:textFill>
        </w:rPr>
        <w:t>4.10.1</w:t>
      </w:r>
      <w:r>
        <w:rPr>
          <w:rFonts w:hint="eastAsia" w:ascii="宋体" w:hAnsi="宋体" w:eastAsia="宋体"/>
          <w:color w:val="000000" w:themeColor="text1"/>
          <w:szCs w:val="21"/>
          <w14:textFill>
            <w14:solidFill>
              <w14:schemeClr w14:val="tx1"/>
            </w14:solidFill>
          </w14:textFill>
        </w:rPr>
        <w:t>】</w:t>
      </w:r>
    </w:p>
    <w:p w14:paraId="00347E98">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陕西省采购招标有限责任公司【详见1</w:t>
      </w:r>
      <w:r>
        <w:rPr>
          <w:rFonts w:ascii="宋体" w:hAnsi="宋体" w:eastAsia="宋体"/>
          <w:color w:val="000000" w:themeColor="text1"/>
          <w:szCs w:val="21"/>
          <w14:textFill>
            <w14:solidFill>
              <w14:schemeClr w14:val="tx1"/>
            </w14:solidFill>
          </w14:textFill>
        </w:rPr>
        <w:t>4.10.3</w:t>
      </w:r>
      <w:r>
        <w:rPr>
          <w:rFonts w:hint="eastAsia" w:ascii="宋体" w:hAnsi="宋体" w:eastAsia="宋体"/>
          <w:color w:val="000000" w:themeColor="text1"/>
          <w:szCs w:val="21"/>
          <w14:textFill>
            <w14:solidFill>
              <w14:schemeClr w14:val="tx1"/>
            </w14:solidFill>
          </w14:textFill>
        </w:rPr>
        <w:t>】</w:t>
      </w:r>
    </w:p>
    <w:p w14:paraId="78E94902">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中钢招标有限责任公司【详见1</w:t>
      </w:r>
      <w:r>
        <w:rPr>
          <w:rFonts w:ascii="宋体" w:hAnsi="宋体" w:eastAsia="宋体"/>
          <w:color w:val="000000" w:themeColor="text1"/>
          <w:szCs w:val="21"/>
          <w14:textFill>
            <w14:solidFill>
              <w14:schemeClr w14:val="tx1"/>
            </w14:solidFill>
          </w14:textFill>
        </w:rPr>
        <w:t>4.10.4</w:t>
      </w:r>
      <w:r>
        <w:rPr>
          <w:rFonts w:hint="eastAsia" w:ascii="宋体" w:hAnsi="宋体" w:eastAsia="宋体"/>
          <w:color w:val="000000" w:themeColor="text1"/>
          <w:szCs w:val="21"/>
          <w14:textFill>
            <w14:solidFill>
              <w14:schemeClr w14:val="tx1"/>
            </w14:solidFill>
          </w14:textFill>
        </w:rPr>
        <w:t>】</w:t>
      </w:r>
    </w:p>
    <w:p w14:paraId="28A2CFFC">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湖北香青肥料科技有限公司【详见1</w:t>
      </w:r>
      <w:r>
        <w:rPr>
          <w:rFonts w:ascii="宋体" w:hAnsi="宋体" w:eastAsia="宋体"/>
          <w:color w:val="000000" w:themeColor="text1"/>
          <w:szCs w:val="21"/>
          <w14:textFill>
            <w14:solidFill>
              <w14:schemeClr w14:val="tx1"/>
            </w14:solidFill>
          </w14:textFill>
        </w:rPr>
        <w:t>4.10.8</w:t>
      </w:r>
      <w:r>
        <w:rPr>
          <w:rFonts w:hint="eastAsia" w:ascii="宋体" w:hAnsi="宋体" w:eastAsia="宋体"/>
          <w:color w:val="000000" w:themeColor="text1"/>
          <w:szCs w:val="21"/>
          <w14:textFill>
            <w14:solidFill>
              <w14:schemeClr w14:val="tx1"/>
            </w14:solidFill>
          </w14:textFill>
        </w:rPr>
        <w:t>】</w:t>
      </w:r>
    </w:p>
    <w:p w14:paraId="0911BAF6">
      <w:pPr>
        <w:pStyle w:val="2"/>
        <w:spacing w:line="360" w:lineRule="auto"/>
        <w:rPr>
          <w:rFonts w:hint="eastAsia" w:ascii="宋体" w:hAnsi="宋体"/>
          <w:szCs w:val="21"/>
        </w:rPr>
      </w:pPr>
    </w:p>
    <w:p w14:paraId="083E1CA1">
      <w:pPr>
        <w:pStyle w:val="2"/>
        <w:spacing w:line="360" w:lineRule="auto"/>
        <w:ind w:left="0" w:leftChars="0"/>
        <w:rPr>
          <w:rFonts w:hint="eastAsia" w:ascii="宋体" w:hAnsi="宋体"/>
          <w:szCs w:val="21"/>
        </w:rPr>
      </w:pPr>
    </w:p>
    <w:p w14:paraId="1A07A742">
      <w:pPr>
        <w:pStyle w:val="2"/>
      </w:pPr>
    </w:p>
    <w:p w14:paraId="32A85A82">
      <w:pPr>
        <w:pStyle w:val="4"/>
        <w:widowControl/>
        <w:spacing w:before="340" w:after="330" w:line="579" w:lineRule="auto"/>
        <w:ind w:left="0"/>
      </w:pPr>
      <w:bookmarkStart w:id="119" w:name="_Toc180265589"/>
      <w:r>
        <w:rPr>
          <w:rFonts w:hint="eastAsia"/>
        </w:rPr>
        <w:t>系统技术方案</w:t>
      </w:r>
      <w:bookmarkEnd w:id="119"/>
    </w:p>
    <w:p w14:paraId="7FA4FB4C">
      <w:pPr>
        <w:spacing w:line="360" w:lineRule="auto"/>
        <w:ind w:left="420" w:firstLine="420" w:firstLineChars="200"/>
        <w:rPr>
          <w:rFonts w:hint="eastAsia" w:ascii="宋体" w:hAnsi="宋体" w:eastAsia="宋体"/>
        </w:rPr>
      </w:pPr>
      <w:r>
        <w:rPr>
          <w:rFonts w:hint="eastAsia" w:ascii="宋体" w:hAnsi="宋体" w:eastAsia="宋体"/>
        </w:rPr>
        <w:t>根据对现有招标文件技术服务要求的理解，本次项目需要在符合烟草行业信息化现状的基础上，采用如下稳定、可靠，先进的技术路线，遵循相关的法律法规、技术规范要求，建设满足行业管理要求的烟草行业采购交易监管平台：</w:t>
      </w:r>
    </w:p>
    <w:p w14:paraId="77499D26">
      <w:pPr>
        <w:spacing w:line="360" w:lineRule="auto"/>
        <w:ind w:left="420" w:firstLine="420"/>
        <w:rPr>
          <w:rFonts w:hint="eastAsia" w:ascii="宋体" w:hAnsi="宋体" w:eastAsia="宋体"/>
        </w:rPr>
      </w:pPr>
      <w:r>
        <w:rPr>
          <w:rFonts w:hint="eastAsia" w:ascii="宋体" w:hAnsi="宋体" w:eastAsia="宋体"/>
        </w:rPr>
        <w:t>（一）依托行业现有云平台</w:t>
      </w:r>
    </w:p>
    <w:p w14:paraId="5E1EB576">
      <w:pPr>
        <w:spacing w:line="360" w:lineRule="auto"/>
        <w:ind w:left="420" w:firstLine="420"/>
        <w:rPr>
          <w:rFonts w:hint="eastAsia" w:ascii="宋体" w:hAnsi="宋体" w:eastAsia="宋体"/>
        </w:rPr>
      </w:pPr>
      <w:r>
        <w:rPr>
          <w:rFonts w:hint="eastAsia" w:ascii="宋体" w:hAnsi="宋体" w:eastAsia="宋体"/>
        </w:rPr>
        <w:t>充分利用烟草行业已建成的行业云平台（包括行业主中心节点、行业副中心节点和若干省级工商企业节点即企业云平台）作为数字化采购交易监管平台的基础资源支撑。</w:t>
      </w:r>
    </w:p>
    <w:p w14:paraId="5B24570B">
      <w:pPr>
        <w:spacing w:line="360" w:lineRule="auto"/>
        <w:ind w:left="420" w:firstLine="420"/>
        <w:rPr>
          <w:rFonts w:hint="eastAsia" w:ascii="宋体" w:hAnsi="宋体" w:eastAsia="宋体"/>
        </w:rPr>
      </w:pPr>
      <w:r>
        <w:rPr>
          <w:rFonts w:hint="eastAsia" w:ascii="宋体" w:hAnsi="宋体" w:eastAsia="宋体"/>
        </w:rPr>
        <w:t>（二）采用分层架构</w:t>
      </w:r>
    </w:p>
    <w:p w14:paraId="1C2C1F69">
      <w:pPr>
        <w:spacing w:line="360" w:lineRule="auto"/>
        <w:ind w:left="420" w:firstLine="420"/>
        <w:rPr>
          <w:rFonts w:hint="eastAsia" w:ascii="宋体" w:hAnsi="宋体" w:eastAsia="宋体"/>
        </w:rPr>
      </w:pPr>
      <w:r>
        <w:rPr>
          <w:rFonts w:hint="eastAsia" w:ascii="宋体" w:hAnsi="宋体" w:eastAsia="宋体"/>
        </w:rPr>
        <w:t>参考新数基体系的分层架构理念，包括基础资源层、技术中间层、数据资源层和应用服务层：</w:t>
      </w:r>
    </w:p>
    <w:p w14:paraId="63BDAD86">
      <w:pPr>
        <w:spacing w:line="360" w:lineRule="auto"/>
        <w:ind w:left="420" w:firstLine="420"/>
        <w:rPr>
          <w:rFonts w:hint="eastAsia" w:ascii="宋体" w:hAnsi="宋体" w:eastAsia="宋体"/>
        </w:rPr>
      </w:pPr>
      <w:r>
        <w:rPr>
          <w:rFonts w:hint="eastAsia" w:ascii="宋体" w:hAnsi="宋体" w:eastAsia="宋体"/>
        </w:rPr>
        <w:t>基础资源层：由行业云平台提供计算、存储、网络等基础资源保障。</w:t>
      </w:r>
    </w:p>
    <w:p w14:paraId="7EB6D839">
      <w:pPr>
        <w:spacing w:line="360" w:lineRule="auto"/>
        <w:ind w:left="420" w:firstLine="420"/>
        <w:rPr>
          <w:rFonts w:hint="eastAsia" w:ascii="宋体" w:hAnsi="宋体" w:eastAsia="宋体"/>
        </w:rPr>
      </w:pPr>
      <w:r>
        <w:rPr>
          <w:rFonts w:hint="eastAsia" w:ascii="宋体" w:hAnsi="宋体" w:eastAsia="宋体"/>
        </w:rPr>
        <w:t>技术中间层：借助行业数字中台相关技术，利用业务中台的用户中心、消息中心等进行系统用户管理和消息推送，保障平台的业务交互功能。</w:t>
      </w:r>
    </w:p>
    <w:p w14:paraId="47920E26">
      <w:pPr>
        <w:spacing w:line="360" w:lineRule="auto"/>
        <w:ind w:left="420" w:firstLine="420"/>
        <w:rPr>
          <w:rFonts w:hint="eastAsia" w:ascii="宋体" w:hAnsi="宋体" w:eastAsia="宋体"/>
        </w:rPr>
      </w:pPr>
      <w:r>
        <w:rPr>
          <w:rFonts w:hint="eastAsia" w:ascii="宋体" w:hAnsi="宋体" w:eastAsia="宋体"/>
        </w:rPr>
        <w:t>数据资源层：利用数据中台的数据集成汇聚、数据资产管理等功能，对采购相关数据进行整合与管理，实现数据的有序流动和价值挖掘。</w:t>
      </w:r>
    </w:p>
    <w:p w14:paraId="4935A2FE">
      <w:pPr>
        <w:spacing w:line="360" w:lineRule="auto"/>
        <w:ind w:left="420" w:firstLine="420"/>
        <w:rPr>
          <w:rFonts w:hint="eastAsia" w:ascii="宋体" w:hAnsi="宋体" w:eastAsia="宋体"/>
        </w:rPr>
      </w:pPr>
      <w:r>
        <w:rPr>
          <w:rFonts w:hint="eastAsia" w:ascii="宋体" w:hAnsi="宋体" w:eastAsia="宋体"/>
        </w:rPr>
        <w:t>应用服务层：在此层搭建数字化采购交易监管平台的核心应用，包括电子采购系统和电子商城系统等，并与已有烟草的相关系统进行集成。</w:t>
      </w:r>
    </w:p>
    <w:p w14:paraId="29BAC649">
      <w:pPr>
        <w:spacing w:line="360" w:lineRule="auto"/>
        <w:ind w:left="420" w:firstLine="420"/>
        <w:rPr>
          <w:rFonts w:hint="eastAsia" w:ascii="宋体" w:hAnsi="宋体" w:eastAsia="宋体"/>
        </w:rPr>
      </w:pPr>
      <w:r>
        <w:rPr>
          <w:rFonts w:hint="eastAsia" w:ascii="宋体" w:hAnsi="宋体" w:eastAsia="宋体"/>
        </w:rPr>
        <w:t>（三）遵循国家标准</w:t>
      </w:r>
    </w:p>
    <w:p w14:paraId="7D55BA74">
      <w:pPr>
        <w:spacing w:line="360" w:lineRule="auto"/>
        <w:ind w:left="420" w:firstLine="420"/>
        <w:rPr>
          <w:rFonts w:hint="eastAsia" w:ascii="宋体" w:hAnsi="宋体" w:eastAsia="宋体"/>
        </w:rPr>
      </w:pPr>
      <w:r>
        <w:rPr>
          <w:rFonts w:hint="eastAsia" w:ascii="宋体" w:hAnsi="宋体" w:eastAsia="宋体"/>
        </w:rPr>
        <w:t>严格遵循《电子招标投标办法》《电子采购交易规范非招标方式》等国家标准及规范进行设计与开发，确保系统功能符合采购交易管理要求。</w:t>
      </w:r>
    </w:p>
    <w:p w14:paraId="5CDEEF79">
      <w:pPr>
        <w:widowControl/>
        <w:numPr>
          <w:ilvl w:val="0"/>
          <w:numId w:val="15"/>
        </w:numPr>
        <w:spacing w:line="360" w:lineRule="auto"/>
        <w:ind w:left="420" w:leftChars="200" w:firstLine="420"/>
        <w:jc w:val="left"/>
        <w:rPr>
          <w:rFonts w:hint="eastAsia" w:ascii="宋体" w:hAnsi="宋体" w:eastAsia="宋体"/>
        </w:rPr>
      </w:pPr>
      <w:r>
        <w:rPr>
          <w:rFonts w:hint="eastAsia" w:ascii="宋体" w:hAnsi="宋体" w:eastAsia="宋体"/>
        </w:rPr>
        <w:t>符合安全要求</w:t>
      </w:r>
    </w:p>
    <w:p w14:paraId="6F95CE32">
      <w:pPr>
        <w:spacing w:line="360" w:lineRule="auto"/>
        <w:ind w:left="420" w:firstLine="420"/>
        <w:rPr>
          <w:rFonts w:hint="eastAsia" w:ascii="宋体" w:hAnsi="宋体" w:eastAsia="宋体"/>
        </w:rPr>
      </w:pPr>
      <w:r>
        <w:rPr>
          <w:rFonts w:hint="eastAsia" w:ascii="宋体" w:hAnsi="宋体" w:eastAsia="宋体" w:cs="宋体"/>
          <w:szCs w:val="21"/>
        </w:rPr>
        <w:t>严格遵循《中华人民共和国数据安全法》《中华人民共和国个人信息保护法》《信息安全技术网络安全等级保护基本要求》(GB/T22239-2019)第三级要求进行安全设计</w:t>
      </w:r>
      <w:r>
        <w:rPr>
          <w:rFonts w:hint="eastAsia" w:ascii="宋体" w:hAnsi="宋体" w:eastAsia="宋体"/>
        </w:rPr>
        <w:t>。</w:t>
      </w:r>
    </w:p>
    <w:p w14:paraId="61143AD0">
      <w:pPr>
        <w:pStyle w:val="2"/>
        <w:spacing w:line="360" w:lineRule="auto"/>
        <w:rPr>
          <w:rFonts w:hint="eastAsia" w:ascii="宋体" w:hAnsi="宋体"/>
        </w:rPr>
      </w:pPr>
      <w:r>
        <w:rPr>
          <w:rFonts w:hint="eastAsia" w:ascii="宋体" w:hAnsi="宋体"/>
        </w:rPr>
        <w:t>下边我们针对技术服务要求的内容，编制了本项目建设的详细技术方案：</w:t>
      </w:r>
    </w:p>
    <w:p w14:paraId="60213812">
      <w:pPr>
        <w:pStyle w:val="5"/>
        <w:widowControl/>
        <w:spacing w:before="260" w:after="260"/>
        <w:ind w:left="0"/>
        <w:rPr>
          <w:rFonts w:hint="eastAsia" w:ascii="宋体" w:hAnsi="宋体"/>
        </w:rPr>
      </w:pPr>
      <w:r>
        <w:rPr>
          <w:rFonts w:hint="eastAsia" w:ascii="宋体" w:hAnsi="宋体"/>
        </w:rPr>
        <w:t xml:space="preserve"> </w:t>
      </w:r>
      <w:bookmarkStart w:id="120" w:name="_Toc180265590"/>
      <w:r>
        <w:rPr>
          <w:rFonts w:hint="eastAsia" w:ascii="宋体" w:hAnsi="宋体"/>
        </w:rPr>
        <w:t>门户集成解决方案</w:t>
      </w:r>
      <w:bookmarkEnd w:id="120"/>
    </w:p>
    <w:p w14:paraId="7570E3B3">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门户集成的目标是实现系统与总公司一体化平台的统一门户集成，提供一站式的访问入口，提高工作效率和用户体验。</w:t>
      </w:r>
    </w:p>
    <w:p w14:paraId="06DC5014">
      <w:pPr>
        <w:pStyle w:val="6"/>
        <w:widowControl/>
        <w:spacing w:before="260" w:after="260"/>
        <w:ind w:left="0" w:firstLine="0"/>
        <w:rPr>
          <w:rFonts w:hint="eastAsia" w:ascii="宋体" w:hAnsi="宋体"/>
        </w:rPr>
      </w:pPr>
      <w:bookmarkStart w:id="121" w:name="_Toc180265591"/>
      <w:r>
        <w:rPr>
          <w:rFonts w:hint="eastAsia" w:ascii="宋体" w:hAnsi="宋体"/>
        </w:rPr>
        <w:t>集成内容</w:t>
      </w:r>
      <w:bookmarkEnd w:id="121"/>
    </w:p>
    <w:p w14:paraId="4CF8C118">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统一身份认证：实现用户在统一门户上的单点登录，点击快捷图标即可直接登录被授权系统或应用，确保一次登录“全网通行”。</w:t>
      </w:r>
    </w:p>
    <w:p w14:paraId="7E148789">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门户界面定制：根据用户需求和业务特点，定制个性化的门户界面，方便用户快速访问所需的功能和信息。</w:t>
      </w:r>
    </w:p>
    <w:p w14:paraId="74A0A075">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系统集成：将系统与统一门户进行集成，实现数据和业务的无缝对接。</w:t>
      </w:r>
    </w:p>
    <w:p w14:paraId="513894ED">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消息通知：在门户上集中展示系统的消息通知，方便用户及时了解业务动态。</w:t>
      </w:r>
    </w:p>
    <w:p w14:paraId="02B61BA6">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搜索功能：提供搜索集成功能，帮助用户快速找到所需的信息和功能。</w:t>
      </w:r>
    </w:p>
    <w:p w14:paraId="1F4F50BA">
      <w:pPr>
        <w:pStyle w:val="6"/>
        <w:widowControl/>
        <w:spacing w:before="260" w:after="260"/>
        <w:ind w:left="0" w:firstLine="0"/>
        <w:rPr>
          <w:rFonts w:hint="eastAsia" w:ascii="宋体" w:hAnsi="宋体"/>
        </w:rPr>
      </w:pPr>
      <w:bookmarkStart w:id="122" w:name="_Toc180265592"/>
      <w:r>
        <w:rPr>
          <w:rFonts w:hint="eastAsia" w:ascii="宋体" w:hAnsi="宋体"/>
        </w:rPr>
        <w:t>技术架构</w:t>
      </w:r>
      <w:bookmarkEnd w:id="122"/>
    </w:p>
    <w:p w14:paraId="40D8A380">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前端技术：采用响应式设计，支持多种终端设备访问，如电脑、平板、手机等。使用 HTML5、CSS3、JavaScript 等前端技术，实现门户界面的美观和交互性。</w:t>
      </w:r>
    </w:p>
    <w:p w14:paraId="52052B42">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后端技术：选择成熟的后端开发框架Spring Boot，实现门户的业务逻辑和数据管理。</w:t>
      </w:r>
    </w:p>
    <w:p w14:paraId="2B5960F0">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集成技术：采用 Web Service、RESTful API等集成技术，实现各个系统与统一门户的集成。</w:t>
      </w:r>
    </w:p>
    <w:p w14:paraId="1EE8A87D">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安全技术：采用身份认证、授权、加密等安全技术，保障门户的安全性和数据的保密性。</w:t>
      </w:r>
    </w:p>
    <w:p w14:paraId="5E9479F5">
      <w:pPr>
        <w:pStyle w:val="6"/>
        <w:widowControl/>
        <w:spacing w:before="260" w:after="260"/>
        <w:ind w:left="0" w:firstLine="0"/>
        <w:rPr>
          <w:rFonts w:hint="eastAsia" w:ascii="宋体" w:hAnsi="宋体"/>
        </w:rPr>
      </w:pPr>
      <w:bookmarkStart w:id="123" w:name="_Toc180265593"/>
      <w:r>
        <w:rPr>
          <w:rFonts w:hint="eastAsia" w:ascii="宋体" w:hAnsi="宋体"/>
        </w:rPr>
        <w:t>集成方式</w:t>
      </w:r>
      <w:bookmarkEnd w:id="123"/>
    </w:p>
    <w:p w14:paraId="01178ED7">
      <w:pPr>
        <w:snapToGrid w:val="0"/>
        <w:spacing w:line="360" w:lineRule="auto"/>
        <w:ind w:left="840" w:leftChars="400"/>
        <w:rPr>
          <w:rFonts w:hint="eastAsia" w:ascii="宋体" w:hAnsi="宋体" w:eastAsia="宋体" w:cs="宋体"/>
          <w:szCs w:val="21"/>
        </w:rPr>
      </w:pPr>
      <w:r>
        <w:rPr>
          <w:rFonts w:hint="eastAsia" w:ascii="宋体" w:hAnsi="宋体" w:eastAsia="宋体" w:cs="宋体"/>
          <w:szCs w:val="21"/>
        </w:rPr>
        <w:t>（1）统一身份认证集成</w:t>
      </w:r>
    </w:p>
    <w:p w14:paraId="7FCF719E">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与总公司一体化平台的身份认证系统进行集成，实现单点登录功能。用户在统一门户上登录后，可以直接访问，无需再次登录。</w:t>
      </w:r>
    </w:p>
    <w:p w14:paraId="5446BE59">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采用标准的身份认证协议，如OAuth2.0、SAML等，确保身份认证的安全性和可靠性。以下是两种协议的对比：</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103"/>
        <w:gridCol w:w="3414"/>
        <w:gridCol w:w="3329"/>
      </w:tblGrid>
      <w:tr w14:paraId="3E05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2323" w:type="dxa"/>
            <w:tcBorders>
              <w:top w:val="single" w:color="76BE76" w:sz="4" w:space="0"/>
              <w:left w:val="single" w:color="DBEEDB" w:sz="4" w:space="0"/>
              <w:bottom w:val="single" w:color="76BE76" w:sz="4" w:space="0"/>
              <w:right w:val="dotted" w:color="auto" w:sz="4" w:space="0"/>
            </w:tcBorders>
            <w:shd w:val="clear" w:color="auto" w:fill="DBEEDB"/>
            <w:tcMar>
              <w:top w:w="180" w:type="dxa"/>
              <w:left w:w="270" w:type="dxa"/>
              <w:bottom w:w="180" w:type="dxa"/>
              <w:right w:w="270" w:type="dxa"/>
            </w:tcMar>
            <w:vAlign w:val="center"/>
          </w:tcPr>
          <w:p w14:paraId="39013CC4">
            <w:pPr>
              <w:ind w:left="420"/>
              <w:jc w:val="center"/>
              <w:rPr>
                <w:b/>
                <w:bCs/>
                <w:color w:val="000000"/>
                <w:szCs w:val="21"/>
              </w:rPr>
            </w:pPr>
            <w:r>
              <w:rPr>
                <w:rFonts w:hint="eastAsia" w:cs="宋体"/>
                <w:b/>
                <w:bCs/>
                <w:color w:val="000000"/>
                <w:szCs w:val="21"/>
              </w:rPr>
              <w:t>对比项</w:t>
            </w:r>
          </w:p>
        </w:tc>
        <w:tc>
          <w:tcPr>
            <w:tcW w:w="3860" w:type="dxa"/>
            <w:tcBorders>
              <w:top w:val="single" w:color="76BE76" w:sz="4" w:space="0"/>
              <w:left w:val="dotted" w:color="auto" w:sz="4" w:space="0"/>
              <w:bottom w:val="single" w:color="76BE76" w:sz="4" w:space="0"/>
              <w:right w:val="dotted" w:color="auto" w:sz="4" w:space="0"/>
            </w:tcBorders>
            <w:shd w:val="clear" w:color="auto" w:fill="DBEEDB"/>
            <w:tcMar>
              <w:top w:w="180" w:type="dxa"/>
              <w:left w:w="270" w:type="dxa"/>
              <w:bottom w:w="180" w:type="dxa"/>
              <w:right w:w="270" w:type="dxa"/>
            </w:tcMar>
            <w:vAlign w:val="center"/>
          </w:tcPr>
          <w:p w14:paraId="7F84FC46">
            <w:pPr>
              <w:ind w:left="420"/>
              <w:jc w:val="center"/>
              <w:rPr>
                <w:b/>
                <w:bCs/>
                <w:color w:val="000000"/>
                <w:szCs w:val="21"/>
              </w:rPr>
            </w:pPr>
            <w:r>
              <w:rPr>
                <w:rFonts w:hint="eastAsia" w:cs="宋体"/>
                <w:b/>
                <w:bCs/>
                <w:color w:val="000000"/>
                <w:szCs w:val="21"/>
                <w:lang w:bidi="ar"/>
              </w:rPr>
              <w:t>OAuth 2.0</w:t>
            </w:r>
          </w:p>
        </w:tc>
        <w:tc>
          <w:tcPr>
            <w:tcW w:w="3711" w:type="dxa"/>
            <w:tcBorders>
              <w:top w:val="single" w:color="76BE76" w:sz="4" w:space="0"/>
              <w:left w:val="dotted" w:color="auto" w:sz="4" w:space="0"/>
              <w:bottom w:val="single" w:color="76BE76" w:sz="4" w:space="0"/>
              <w:right w:val="single" w:color="DBEEDB" w:sz="4" w:space="0"/>
            </w:tcBorders>
            <w:shd w:val="clear" w:color="auto" w:fill="DBEEDB"/>
            <w:tcMar>
              <w:top w:w="180" w:type="dxa"/>
              <w:left w:w="270" w:type="dxa"/>
              <w:bottom w:w="180" w:type="dxa"/>
              <w:right w:w="270" w:type="dxa"/>
            </w:tcMar>
            <w:vAlign w:val="center"/>
          </w:tcPr>
          <w:p w14:paraId="2BCEF7CD">
            <w:pPr>
              <w:ind w:left="420"/>
              <w:jc w:val="center"/>
              <w:rPr>
                <w:b/>
                <w:bCs/>
                <w:color w:val="000000"/>
                <w:szCs w:val="21"/>
              </w:rPr>
            </w:pPr>
            <w:r>
              <w:rPr>
                <w:rFonts w:hint="eastAsia" w:cs="宋体"/>
                <w:b/>
                <w:bCs/>
                <w:color w:val="000000"/>
                <w:szCs w:val="21"/>
                <w:lang w:bidi="ar"/>
              </w:rPr>
              <w:t>SAML</w:t>
            </w:r>
          </w:p>
        </w:tc>
      </w:tr>
      <w:tr w14:paraId="5CC5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4" w:hRule="atLeast"/>
        </w:trPr>
        <w:tc>
          <w:tcPr>
            <w:tcW w:w="2323" w:type="dxa"/>
            <w:tcBorders>
              <w:top w:val="single" w:color="76BE76" w:sz="4" w:space="0"/>
              <w:left w:val="single" w:color="DBEEDB"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69EA24F6">
            <w:pPr>
              <w:ind w:left="420"/>
              <w:rPr>
                <w:b/>
                <w:bCs/>
                <w:i/>
                <w:iCs/>
                <w:color w:val="000000"/>
                <w:szCs w:val="21"/>
              </w:rPr>
            </w:pPr>
            <w:r>
              <w:rPr>
                <w:rFonts w:hint="eastAsia" w:cs="宋体"/>
                <w:b/>
                <w:bCs/>
                <w:i/>
                <w:iCs/>
                <w:color w:val="000000"/>
                <w:szCs w:val="21"/>
                <w:lang w:bidi="ar"/>
              </w:rPr>
              <w:t>主要用途</w:t>
            </w:r>
          </w:p>
        </w:tc>
        <w:tc>
          <w:tcPr>
            <w:tcW w:w="3860" w:type="dxa"/>
            <w:tcBorders>
              <w:top w:val="single" w:color="76BE76" w:sz="4" w:space="0"/>
              <w:left w:val="dotted" w:color="auto"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5698D565">
            <w:pPr>
              <w:ind w:left="420"/>
              <w:rPr>
                <w:color w:val="000000"/>
                <w:szCs w:val="21"/>
              </w:rPr>
            </w:pPr>
            <w:r>
              <w:rPr>
                <w:rFonts w:hint="eastAsia" w:cs="宋体"/>
                <w:color w:val="000000"/>
                <w:szCs w:val="21"/>
                <w:lang w:bidi="ar"/>
              </w:rPr>
              <w:t>授权框架，用于授权第三方应用访问资源</w:t>
            </w:r>
          </w:p>
        </w:tc>
        <w:tc>
          <w:tcPr>
            <w:tcW w:w="3711" w:type="dxa"/>
            <w:tcBorders>
              <w:top w:val="single" w:color="76BE76" w:sz="4" w:space="0"/>
              <w:left w:val="dotted" w:color="auto" w:sz="4" w:space="0"/>
              <w:bottom w:val="dotted" w:color="auto" w:sz="4" w:space="0"/>
              <w:right w:val="single" w:color="DBEEDB" w:sz="4" w:space="0"/>
            </w:tcBorders>
            <w:shd w:val="clear" w:color="auto" w:fill="FFFFFF"/>
            <w:tcMar>
              <w:top w:w="180" w:type="dxa"/>
              <w:left w:w="270" w:type="dxa"/>
              <w:bottom w:w="180" w:type="dxa"/>
              <w:right w:w="270" w:type="dxa"/>
            </w:tcMar>
            <w:vAlign w:val="center"/>
          </w:tcPr>
          <w:p w14:paraId="403F7056">
            <w:pPr>
              <w:ind w:left="420"/>
              <w:rPr>
                <w:color w:val="000000"/>
                <w:szCs w:val="21"/>
              </w:rPr>
            </w:pPr>
            <w:r>
              <w:rPr>
                <w:rFonts w:hint="eastAsia" w:cs="宋体"/>
                <w:color w:val="000000"/>
                <w:szCs w:val="21"/>
                <w:lang w:bidi="ar"/>
              </w:rPr>
              <w:t>身份验证和授权，用于在不同安全域之间交换身份信息</w:t>
            </w:r>
          </w:p>
        </w:tc>
      </w:tr>
      <w:tr w14:paraId="7769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23" w:type="dxa"/>
            <w:tcBorders>
              <w:top w:val="dotted" w:color="auto" w:sz="4" w:space="0"/>
              <w:left w:val="single" w:color="DBEEDB"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1F243737">
            <w:pPr>
              <w:ind w:left="420"/>
              <w:rPr>
                <w:b/>
                <w:bCs/>
                <w:i/>
                <w:iCs/>
                <w:color w:val="000000"/>
                <w:szCs w:val="21"/>
              </w:rPr>
            </w:pPr>
            <w:r>
              <w:rPr>
                <w:rFonts w:hint="eastAsia" w:cs="宋体"/>
                <w:b/>
                <w:bCs/>
                <w:i/>
                <w:iCs/>
                <w:color w:val="000000"/>
                <w:szCs w:val="21"/>
                <w:lang w:bidi="ar"/>
              </w:rPr>
              <w:t>单点登录支持</w:t>
            </w:r>
          </w:p>
        </w:tc>
        <w:tc>
          <w:tcPr>
            <w:tcW w:w="3860" w:type="dxa"/>
            <w:tcBorders>
              <w:top w:val="dotted" w:color="auto" w:sz="4" w:space="0"/>
              <w:left w:val="dotted" w:color="auto"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4B66F226">
            <w:pPr>
              <w:ind w:left="420"/>
              <w:rPr>
                <w:color w:val="000000"/>
                <w:szCs w:val="21"/>
              </w:rPr>
            </w:pPr>
            <w:r>
              <w:rPr>
                <w:rFonts w:hint="eastAsia" w:cs="宋体"/>
                <w:color w:val="000000"/>
                <w:szCs w:val="21"/>
                <w:lang w:bidi="ar"/>
              </w:rPr>
              <w:t>支持，但通常需要额外的配置和协议扩展</w:t>
            </w:r>
          </w:p>
        </w:tc>
        <w:tc>
          <w:tcPr>
            <w:tcW w:w="3711" w:type="dxa"/>
            <w:tcBorders>
              <w:top w:val="dotted" w:color="auto" w:sz="4" w:space="0"/>
              <w:left w:val="dotted" w:color="auto" w:sz="4" w:space="0"/>
              <w:bottom w:val="dotted" w:color="auto" w:sz="4" w:space="0"/>
              <w:right w:val="single" w:color="DBEEDB" w:sz="4" w:space="0"/>
            </w:tcBorders>
            <w:shd w:val="clear" w:color="auto" w:fill="F2F9F2"/>
            <w:tcMar>
              <w:top w:w="180" w:type="dxa"/>
              <w:left w:w="270" w:type="dxa"/>
              <w:bottom w:w="180" w:type="dxa"/>
              <w:right w:w="270" w:type="dxa"/>
            </w:tcMar>
            <w:vAlign w:val="center"/>
          </w:tcPr>
          <w:p w14:paraId="47648C59">
            <w:pPr>
              <w:ind w:left="420"/>
              <w:rPr>
                <w:color w:val="000000"/>
                <w:szCs w:val="21"/>
              </w:rPr>
            </w:pPr>
            <w:r>
              <w:rPr>
                <w:rFonts w:hint="eastAsia" w:cs="宋体"/>
                <w:color w:val="000000"/>
                <w:szCs w:val="21"/>
                <w:lang w:bidi="ar"/>
              </w:rPr>
              <w:t>原生支持单点登录（SSO）</w:t>
            </w:r>
          </w:p>
        </w:tc>
      </w:tr>
      <w:tr w14:paraId="47F1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23" w:type="dxa"/>
            <w:tcBorders>
              <w:top w:val="dotted" w:color="auto" w:sz="4" w:space="0"/>
              <w:left w:val="single" w:color="DBEEDB"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1302114C">
            <w:pPr>
              <w:ind w:left="420"/>
              <w:rPr>
                <w:b/>
                <w:bCs/>
                <w:i/>
                <w:iCs/>
                <w:color w:val="000000"/>
                <w:szCs w:val="21"/>
              </w:rPr>
            </w:pPr>
            <w:r>
              <w:rPr>
                <w:rFonts w:hint="eastAsia" w:cs="宋体"/>
                <w:b/>
                <w:bCs/>
                <w:i/>
                <w:iCs/>
                <w:color w:val="000000"/>
                <w:szCs w:val="21"/>
                <w:lang w:bidi="ar"/>
              </w:rPr>
              <w:t>安全性</w:t>
            </w:r>
          </w:p>
        </w:tc>
        <w:tc>
          <w:tcPr>
            <w:tcW w:w="3860" w:type="dxa"/>
            <w:tcBorders>
              <w:top w:val="dotted" w:color="auto" w:sz="4" w:space="0"/>
              <w:left w:val="dotted" w:color="auto"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515E5D43">
            <w:pPr>
              <w:ind w:left="420"/>
              <w:rPr>
                <w:color w:val="000000"/>
                <w:szCs w:val="21"/>
              </w:rPr>
            </w:pPr>
            <w:r>
              <w:rPr>
                <w:rFonts w:hint="eastAsia" w:cs="宋体"/>
                <w:color w:val="000000"/>
                <w:szCs w:val="21"/>
                <w:lang w:bidi="ar"/>
              </w:rPr>
              <w:t>通过令牌和加密技术提供一定的安全性，但可能存在令牌泄露风险</w:t>
            </w:r>
          </w:p>
        </w:tc>
        <w:tc>
          <w:tcPr>
            <w:tcW w:w="3711" w:type="dxa"/>
            <w:tcBorders>
              <w:top w:val="dotted" w:color="auto" w:sz="4" w:space="0"/>
              <w:left w:val="dotted" w:color="auto" w:sz="4" w:space="0"/>
              <w:bottom w:val="dotted" w:color="auto" w:sz="4" w:space="0"/>
              <w:right w:val="single" w:color="DBEEDB" w:sz="4" w:space="0"/>
            </w:tcBorders>
            <w:shd w:val="clear" w:color="auto" w:fill="FFFFFF"/>
            <w:tcMar>
              <w:top w:w="180" w:type="dxa"/>
              <w:left w:w="270" w:type="dxa"/>
              <w:bottom w:w="180" w:type="dxa"/>
              <w:right w:w="270" w:type="dxa"/>
            </w:tcMar>
            <w:vAlign w:val="center"/>
          </w:tcPr>
          <w:p w14:paraId="2C2CA636">
            <w:pPr>
              <w:ind w:left="420"/>
              <w:rPr>
                <w:color w:val="000000"/>
                <w:szCs w:val="21"/>
              </w:rPr>
            </w:pPr>
            <w:r>
              <w:rPr>
                <w:rFonts w:hint="eastAsia" w:cs="宋体"/>
                <w:color w:val="000000"/>
                <w:szCs w:val="21"/>
                <w:lang w:bidi="ar"/>
              </w:rPr>
              <w:t>使用数字签名和加密技术确保身份信息的完整性和保密性</w:t>
            </w:r>
          </w:p>
        </w:tc>
      </w:tr>
      <w:tr w14:paraId="2803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23" w:type="dxa"/>
            <w:tcBorders>
              <w:top w:val="dotted" w:color="auto" w:sz="4" w:space="0"/>
              <w:left w:val="single" w:color="DBEEDB"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0C81042A">
            <w:pPr>
              <w:ind w:left="420"/>
              <w:rPr>
                <w:b/>
                <w:bCs/>
                <w:i/>
                <w:iCs/>
                <w:color w:val="000000"/>
                <w:szCs w:val="21"/>
              </w:rPr>
            </w:pPr>
            <w:r>
              <w:rPr>
                <w:rFonts w:hint="eastAsia" w:cs="宋体"/>
                <w:b/>
                <w:bCs/>
                <w:i/>
                <w:iCs/>
                <w:color w:val="000000"/>
                <w:szCs w:val="21"/>
                <w:lang w:bidi="ar"/>
              </w:rPr>
              <w:t>适用场景</w:t>
            </w:r>
          </w:p>
        </w:tc>
        <w:tc>
          <w:tcPr>
            <w:tcW w:w="3860" w:type="dxa"/>
            <w:tcBorders>
              <w:top w:val="dotted" w:color="auto" w:sz="4" w:space="0"/>
              <w:left w:val="dotted" w:color="auto"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4C896AA4">
            <w:pPr>
              <w:ind w:left="420"/>
              <w:rPr>
                <w:color w:val="000000"/>
                <w:szCs w:val="21"/>
              </w:rPr>
            </w:pPr>
            <w:r>
              <w:rPr>
                <w:rFonts w:hint="eastAsia" w:cs="宋体"/>
                <w:color w:val="000000"/>
                <w:szCs w:val="21"/>
                <w:lang w:bidi="ar"/>
              </w:rPr>
              <w:t>适用于互联网应用、移动应用等场景，尤其是面向消费者的应用</w:t>
            </w:r>
          </w:p>
        </w:tc>
        <w:tc>
          <w:tcPr>
            <w:tcW w:w="3711" w:type="dxa"/>
            <w:tcBorders>
              <w:top w:val="dotted" w:color="auto" w:sz="4" w:space="0"/>
              <w:left w:val="dotted" w:color="auto" w:sz="4" w:space="0"/>
              <w:bottom w:val="dotted" w:color="auto" w:sz="4" w:space="0"/>
              <w:right w:val="single" w:color="DBEEDB" w:sz="4" w:space="0"/>
            </w:tcBorders>
            <w:shd w:val="clear" w:color="auto" w:fill="F2F9F2"/>
            <w:tcMar>
              <w:top w:w="180" w:type="dxa"/>
              <w:left w:w="270" w:type="dxa"/>
              <w:bottom w:w="180" w:type="dxa"/>
              <w:right w:w="270" w:type="dxa"/>
            </w:tcMar>
            <w:vAlign w:val="center"/>
          </w:tcPr>
          <w:p w14:paraId="4ECCF5EF">
            <w:pPr>
              <w:ind w:left="420"/>
              <w:rPr>
                <w:color w:val="000000"/>
                <w:szCs w:val="21"/>
              </w:rPr>
            </w:pPr>
            <w:r>
              <w:rPr>
                <w:rFonts w:hint="eastAsia" w:cs="宋体"/>
                <w:color w:val="000000"/>
                <w:szCs w:val="21"/>
                <w:lang w:bidi="ar"/>
              </w:rPr>
              <w:t>适用于企业内部应用集成、企业间合作等企业级场景</w:t>
            </w:r>
          </w:p>
        </w:tc>
      </w:tr>
      <w:tr w14:paraId="5162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23" w:type="dxa"/>
            <w:tcBorders>
              <w:top w:val="dotted" w:color="auto" w:sz="4" w:space="0"/>
              <w:left w:val="single" w:color="DBEEDB"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33418360">
            <w:pPr>
              <w:ind w:left="420"/>
              <w:rPr>
                <w:b/>
                <w:bCs/>
                <w:i/>
                <w:iCs/>
                <w:color w:val="000000"/>
                <w:szCs w:val="21"/>
              </w:rPr>
            </w:pPr>
            <w:r>
              <w:rPr>
                <w:rFonts w:hint="eastAsia" w:cs="宋体"/>
                <w:b/>
                <w:bCs/>
                <w:i/>
                <w:iCs/>
                <w:color w:val="000000"/>
                <w:szCs w:val="21"/>
                <w:lang w:bidi="ar"/>
              </w:rPr>
              <w:t>协议复杂性</w:t>
            </w:r>
          </w:p>
        </w:tc>
        <w:tc>
          <w:tcPr>
            <w:tcW w:w="3860" w:type="dxa"/>
            <w:tcBorders>
              <w:top w:val="dotted" w:color="auto" w:sz="4" w:space="0"/>
              <w:left w:val="dotted" w:color="auto" w:sz="4" w:space="0"/>
              <w:bottom w:val="dotted" w:color="auto" w:sz="4" w:space="0"/>
              <w:right w:val="dotted" w:color="auto" w:sz="4" w:space="0"/>
            </w:tcBorders>
            <w:shd w:val="clear" w:color="auto" w:fill="FFFFFF"/>
            <w:tcMar>
              <w:top w:w="180" w:type="dxa"/>
              <w:left w:w="270" w:type="dxa"/>
              <w:bottom w:w="180" w:type="dxa"/>
              <w:right w:w="270" w:type="dxa"/>
            </w:tcMar>
            <w:vAlign w:val="center"/>
          </w:tcPr>
          <w:p w14:paraId="7359C254">
            <w:pPr>
              <w:ind w:left="420"/>
              <w:rPr>
                <w:color w:val="000000"/>
                <w:szCs w:val="21"/>
              </w:rPr>
            </w:pPr>
            <w:r>
              <w:rPr>
                <w:rFonts w:hint="eastAsia" w:cs="宋体"/>
                <w:color w:val="000000"/>
                <w:szCs w:val="21"/>
                <w:lang w:bidi="ar"/>
              </w:rPr>
              <w:t>相对较简单，易于理解和实现</w:t>
            </w:r>
          </w:p>
        </w:tc>
        <w:tc>
          <w:tcPr>
            <w:tcW w:w="3711" w:type="dxa"/>
            <w:tcBorders>
              <w:top w:val="dotted" w:color="auto" w:sz="4" w:space="0"/>
              <w:left w:val="dotted" w:color="auto" w:sz="4" w:space="0"/>
              <w:bottom w:val="dotted" w:color="auto" w:sz="4" w:space="0"/>
              <w:right w:val="single" w:color="DBEEDB" w:sz="4" w:space="0"/>
            </w:tcBorders>
            <w:shd w:val="clear" w:color="auto" w:fill="FFFFFF"/>
            <w:tcMar>
              <w:top w:w="180" w:type="dxa"/>
              <w:left w:w="270" w:type="dxa"/>
              <w:bottom w:w="180" w:type="dxa"/>
              <w:right w:w="270" w:type="dxa"/>
            </w:tcMar>
            <w:vAlign w:val="center"/>
          </w:tcPr>
          <w:p w14:paraId="55810328">
            <w:pPr>
              <w:ind w:left="420"/>
              <w:rPr>
                <w:color w:val="000000"/>
                <w:szCs w:val="21"/>
              </w:rPr>
            </w:pPr>
            <w:r>
              <w:rPr>
                <w:rFonts w:hint="eastAsia" w:cs="宋体"/>
                <w:color w:val="000000"/>
                <w:szCs w:val="21"/>
                <w:lang w:bidi="ar"/>
              </w:rPr>
              <w:t>相对复杂，需要更多的配置和理解 XML 标准</w:t>
            </w:r>
          </w:p>
        </w:tc>
      </w:tr>
      <w:tr w14:paraId="4023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2323" w:type="dxa"/>
            <w:tcBorders>
              <w:top w:val="dotted" w:color="auto" w:sz="4" w:space="0"/>
              <w:left w:val="single" w:color="DBEEDB"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5B0766DF">
            <w:pPr>
              <w:ind w:left="420"/>
              <w:rPr>
                <w:b/>
                <w:bCs/>
                <w:i/>
                <w:iCs/>
                <w:color w:val="000000"/>
                <w:szCs w:val="21"/>
              </w:rPr>
            </w:pPr>
            <w:r>
              <w:rPr>
                <w:rFonts w:hint="eastAsia" w:cs="宋体"/>
                <w:b/>
                <w:bCs/>
                <w:i/>
                <w:iCs/>
                <w:color w:val="000000"/>
                <w:szCs w:val="21"/>
                <w:lang w:bidi="ar"/>
              </w:rPr>
              <w:t>令牌类型</w:t>
            </w:r>
          </w:p>
        </w:tc>
        <w:tc>
          <w:tcPr>
            <w:tcW w:w="3860" w:type="dxa"/>
            <w:tcBorders>
              <w:top w:val="dotted" w:color="auto" w:sz="4" w:space="0"/>
              <w:left w:val="dotted" w:color="auto" w:sz="4" w:space="0"/>
              <w:bottom w:val="dotted" w:color="auto" w:sz="4" w:space="0"/>
              <w:right w:val="dotted" w:color="auto" w:sz="4" w:space="0"/>
            </w:tcBorders>
            <w:shd w:val="clear" w:color="auto" w:fill="F2F9F2"/>
            <w:tcMar>
              <w:top w:w="180" w:type="dxa"/>
              <w:left w:w="270" w:type="dxa"/>
              <w:bottom w:w="180" w:type="dxa"/>
              <w:right w:w="270" w:type="dxa"/>
            </w:tcMar>
            <w:vAlign w:val="center"/>
          </w:tcPr>
          <w:p w14:paraId="46026E46">
            <w:pPr>
              <w:ind w:left="420"/>
              <w:rPr>
                <w:color w:val="000000"/>
                <w:szCs w:val="21"/>
              </w:rPr>
            </w:pPr>
            <w:r>
              <w:rPr>
                <w:rFonts w:hint="eastAsia" w:cs="宋体"/>
                <w:color w:val="000000"/>
                <w:szCs w:val="21"/>
                <w:lang w:bidi="ar"/>
              </w:rPr>
              <w:t>通常使用访问令牌和刷新令牌</w:t>
            </w:r>
          </w:p>
        </w:tc>
        <w:tc>
          <w:tcPr>
            <w:tcW w:w="3711" w:type="dxa"/>
            <w:tcBorders>
              <w:top w:val="dotted" w:color="auto" w:sz="4" w:space="0"/>
              <w:left w:val="dotted" w:color="auto" w:sz="4" w:space="0"/>
              <w:bottom w:val="dotted" w:color="auto" w:sz="4" w:space="0"/>
              <w:right w:val="single" w:color="DBEEDB" w:sz="4" w:space="0"/>
            </w:tcBorders>
            <w:shd w:val="clear" w:color="auto" w:fill="F2F9F2"/>
            <w:tcMar>
              <w:top w:w="180" w:type="dxa"/>
              <w:left w:w="270" w:type="dxa"/>
              <w:bottom w:w="180" w:type="dxa"/>
              <w:right w:w="270" w:type="dxa"/>
            </w:tcMar>
            <w:vAlign w:val="center"/>
          </w:tcPr>
          <w:p w14:paraId="664D5788">
            <w:pPr>
              <w:ind w:left="420"/>
              <w:rPr>
                <w:color w:val="000000"/>
                <w:szCs w:val="21"/>
              </w:rPr>
            </w:pPr>
            <w:r>
              <w:rPr>
                <w:rFonts w:hint="eastAsia" w:cs="宋体"/>
                <w:color w:val="000000"/>
                <w:szCs w:val="21"/>
                <w:lang w:bidi="ar"/>
              </w:rPr>
              <w:t>生成安全断言</w:t>
            </w:r>
          </w:p>
        </w:tc>
      </w:tr>
      <w:tr w14:paraId="204A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2323" w:type="dxa"/>
            <w:tcBorders>
              <w:top w:val="dotted" w:color="auto" w:sz="4" w:space="0"/>
              <w:left w:val="single" w:color="DBEEDB" w:sz="4" w:space="0"/>
              <w:bottom w:val="single" w:color="76BE76" w:sz="4" w:space="0"/>
              <w:right w:val="dotted" w:color="auto" w:sz="4" w:space="0"/>
            </w:tcBorders>
            <w:shd w:val="clear" w:color="auto" w:fill="FFFFFF"/>
            <w:tcMar>
              <w:top w:w="180" w:type="dxa"/>
              <w:left w:w="270" w:type="dxa"/>
              <w:bottom w:w="180" w:type="dxa"/>
              <w:right w:w="270" w:type="dxa"/>
            </w:tcMar>
            <w:vAlign w:val="center"/>
          </w:tcPr>
          <w:p w14:paraId="3DBBD412">
            <w:pPr>
              <w:ind w:left="420"/>
              <w:rPr>
                <w:b/>
                <w:bCs/>
                <w:i/>
                <w:iCs/>
                <w:color w:val="000000"/>
                <w:szCs w:val="21"/>
              </w:rPr>
            </w:pPr>
            <w:r>
              <w:rPr>
                <w:rFonts w:hint="eastAsia" w:cs="宋体"/>
                <w:b/>
                <w:bCs/>
                <w:i/>
                <w:iCs/>
                <w:color w:val="000000"/>
                <w:szCs w:val="21"/>
                <w:lang w:bidi="ar"/>
              </w:rPr>
              <w:t>跨域支持</w:t>
            </w:r>
          </w:p>
        </w:tc>
        <w:tc>
          <w:tcPr>
            <w:tcW w:w="3860" w:type="dxa"/>
            <w:tcBorders>
              <w:top w:val="dotted" w:color="auto" w:sz="4" w:space="0"/>
              <w:left w:val="dotted" w:color="auto" w:sz="4" w:space="0"/>
              <w:bottom w:val="single" w:color="76BE76" w:sz="4" w:space="0"/>
              <w:right w:val="dotted" w:color="auto" w:sz="4" w:space="0"/>
            </w:tcBorders>
            <w:shd w:val="clear" w:color="auto" w:fill="FFFFFF"/>
            <w:tcMar>
              <w:top w:w="180" w:type="dxa"/>
              <w:left w:w="270" w:type="dxa"/>
              <w:bottom w:w="180" w:type="dxa"/>
              <w:right w:w="270" w:type="dxa"/>
            </w:tcMar>
            <w:vAlign w:val="center"/>
          </w:tcPr>
          <w:p w14:paraId="69C391B9">
            <w:pPr>
              <w:ind w:left="420"/>
              <w:rPr>
                <w:color w:val="000000"/>
                <w:szCs w:val="21"/>
              </w:rPr>
            </w:pPr>
            <w:r>
              <w:rPr>
                <w:rFonts w:hint="eastAsia" w:cs="宋体"/>
                <w:color w:val="000000"/>
                <w:szCs w:val="21"/>
                <w:lang w:bidi="ar"/>
              </w:rPr>
              <w:t>支持跨域授权，但实现方式相对复杂</w:t>
            </w:r>
          </w:p>
        </w:tc>
        <w:tc>
          <w:tcPr>
            <w:tcW w:w="3711" w:type="dxa"/>
            <w:tcBorders>
              <w:top w:val="dotted" w:color="auto" w:sz="4" w:space="0"/>
              <w:left w:val="dotted" w:color="auto" w:sz="4" w:space="0"/>
              <w:bottom w:val="single" w:color="76BE76" w:sz="4" w:space="0"/>
              <w:right w:val="single" w:color="DBEEDB" w:sz="4" w:space="0"/>
            </w:tcBorders>
            <w:shd w:val="clear" w:color="auto" w:fill="FFFFFF"/>
            <w:tcMar>
              <w:top w:w="180" w:type="dxa"/>
              <w:left w:w="270" w:type="dxa"/>
              <w:bottom w:w="180" w:type="dxa"/>
              <w:right w:w="270" w:type="dxa"/>
            </w:tcMar>
            <w:vAlign w:val="center"/>
          </w:tcPr>
          <w:p w14:paraId="0EBA6896">
            <w:pPr>
              <w:ind w:left="420"/>
              <w:rPr>
                <w:color w:val="000000"/>
                <w:szCs w:val="21"/>
              </w:rPr>
            </w:pPr>
            <w:r>
              <w:rPr>
                <w:rFonts w:hint="eastAsia" w:cs="宋体"/>
                <w:color w:val="000000"/>
                <w:szCs w:val="21"/>
                <w:lang w:bidi="ar"/>
              </w:rPr>
              <w:t>天然支持跨域身份验证和授权</w:t>
            </w:r>
          </w:p>
        </w:tc>
      </w:tr>
    </w:tbl>
    <w:p w14:paraId="771B7924">
      <w:pPr>
        <w:pStyle w:val="2"/>
        <w:spacing w:line="360" w:lineRule="auto"/>
        <w:rPr>
          <w:rFonts w:hint="eastAsia" w:ascii="宋体" w:hAnsi="宋体"/>
          <w:szCs w:val="21"/>
        </w:rPr>
      </w:pPr>
    </w:p>
    <w:p w14:paraId="74035987">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（2）门户界面定制</w:t>
      </w:r>
    </w:p>
    <w:p w14:paraId="3F8E8F32">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按照统一的接入规范和界面风格，对外提供统一的综合或分类展示信息，便于行业用户查看所需要的信息内容。</w:t>
      </w:r>
    </w:p>
    <w:p w14:paraId="5B185471">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汇总展现模块支持指标信息快捷跳转功能，通过点击详情或查询链接，可直接跳转相应业务系统进行详细信息查看。支持按角色、岗位、职能提供专题视角的信息展现模板；支持以自定义形式构建个性化视角的指标信息栏目。</w:t>
      </w:r>
    </w:p>
    <w:p w14:paraId="4F6C66BD">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（3）系统集成</w:t>
      </w:r>
    </w:p>
    <w:p w14:paraId="0CAE4BE3">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分析系统的业务需求和数据结构，确定集成的数据内容、交互方式和接口。可以采用 Web Service、RESTful API 等集成技术，实现业务系统与统一门户的待办协同、消息协同等深度的应用集成。</w:t>
      </w:r>
    </w:p>
    <w:p w14:paraId="15A1F42C">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通过标准的对外集成接口，由接入统一门户的应用调用或统一门户主动抓取各应用的协同信息，实现由统一门户对待办待阅、消息提醒、邮件提醒等业务事项的集中协同处理。</w:t>
      </w:r>
    </w:p>
    <w:p w14:paraId="0120F203">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（4）消息通知集成</w:t>
      </w:r>
    </w:p>
    <w:p w14:paraId="67F10F24">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与各个系统的消息通知模块进行集成，将系统的消息通知集中展示在统一门户上。用户可以在门户上及时了解业务动态，提高工作效率。</w:t>
      </w:r>
    </w:p>
    <w:p w14:paraId="25DEBECF">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消息通知应支持多种形式，如短信、邮件、站内消息等，方便用户根据自己的需求进行选择。</w:t>
      </w:r>
    </w:p>
    <w:p w14:paraId="6D4ACB43">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（5）搜索功能集成</w:t>
      </w:r>
    </w:p>
    <w:p w14:paraId="6964AECA">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集成强大的搜索功能，帮助用户快速找到所需的信息和功能。可以采用全文搜索技术，如 Elasticsearch等，实现对各个系统数据的搜索。</w:t>
      </w:r>
    </w:p>
    <w:p w14:paraId="5692797C">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搜索功能应支持关键词搜索、分类搜索、高级搜索等多种搜索方式，方便用户快速定位所需的信息。</w:t>
      </w:r>
    </w:p>
    <w:p w14:paraId="4C4B7EC9">
      <w:pPr>
        <w:pStyle w:val="5"/>
        <w:widowControl/>
        <w:spacing w:before="260" w:after="260"/>
        <w:ind w:left="0" w:firstLine="0"/>
        <w:rPr>
          <w:rFonts w:hint="eastAsia" w:ascii="宋体" w:hAnsi="宋体"/>
        </w:rPr>
      </w:pPr>
      <w:r>
        <w:rPr>
          <w:rFonts w:hint="eastAsia" w:ascii="宋体" w:hAnsi="宋体"/>
        </w:rPr>
        <w:t xml:space="preserve"> </w:t>
      </w:r>
      <w:bookmarkStart w:id="124" w:name="_Toc180265594"/>
      <w:r>
        <w:rPr>
          <w:rFonts w:hint="eastAsia" w:ascii="宋体" w:hAnsi="宋体"/>
        </w:rPr>
        <w:t>开评标现场相关数据集成解决方案</w:t>
      </w:r>
      <w:bookmarkEnd w:id="124"/>
    </w:p>
    <w:p w14:paraId="074BBEB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系统支持灵活选择开标和评标过程中使用的场地，依据项目的具体要求，可选择公司内部场地或外部场地。为满足不同场地类型的管理需求，系统提供了全面的场地管理功能。</w:t>
      </w:r>
    </w:p>
    <w:p w14:paraId="7FE00FD9">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公司内部场地</w:t>
      </w:r>
    </w:p>
    <w:p w14:paraId="51CCFFD3">
      <w:pPr>
        <w:widowControl/>
        <w:numPr>
          <w:ilvl w:val="0"/>
          <w:numId w:val="16"/>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场地预订</w:t>
      </w:r>
      <w:r>
        <w:rPr>
          <w:rFonts w:ascii="宋体" w:hAnsi="宋体" w:eastAsia="宋体" w:cs="宋体"/>
          <w:szCs w:val="21"/>
        </w:rPr>
        <w:t>：</w:t>
      </w:r>
      <w:r>
        <w:rPr>
          <w:rFonts w:hint="eastAsia" w:ascii="宋体" w:hAnsi="宋体" w:eastAsia="宋体" w:cs="宋体"/>
          <w:szCs w:val="21"/>
        </w:rPr>
        <w:t>项目经理</w:t>
      </w:r>
      <w:r>
        <w:rPr>
          <w:rFonts w:ascii="宋体" w:hAnsi="宋体" w:eastAsia="宋体" w:cs="宋体"/>
          <w:szCs w:val="21"/>
        </w:rPr>
        <w:t>可以通过系统</w:t>
      </w:r>
      <w:r>
        <w:rPr>
          <w:rFonts w:hint="eastAsia" w:ascii="宋体" w:hAnsi="宋体" w:eastAsia="宋体" w:cs="宋体"/>
          <w:szCs w:val="21"/>
        </w:rPr>
        <w:t>的场地预定功能，</w:t>
      </w:r>
      <w:r>
        <w:rPr>
          <w:rFonts w:ascii="宋体" w:hAnsi="宋体" w:eastAsia="宋体" w:cs="宋体"/>
          <w:szCs w:val="21"/>
        </w:rPr>
        <w:t>预订公司内部的可用场地。</w:t>
      </w:r>
    </w:p>
    <w:p w14:paraId="407F3591">
      <w:pPr>
        <w:widowControl/>
        <w:numPr>
          <w:ilvl w:val="0"/>
          <w:numId w:val="16"/>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场地信息维护</w:t>
      </w:r>
      <w:r>
        <w:rPr>
          <w:rFonts w:ascii="宋体" w:hAnsi="宋体" w:eastAsia="宋体" w:cs="宋体"/>
          <w:szCs w:val="21"/>
        </w:rPr>
        <w:t>：支持对场地的基本信息、容量、设备配置等进行维护和更新。</w:t>
      </w:r>
    </w:p>
    <w:p w14:paraId="6B36D570">
      <w:pPr>
        <w:widowControl/>
        <w:numPr>
          <w:ilvl w:val="0"/>
          <w:numId w:val="16"/>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取消预订</w:t>
      </w:r>
      <w:r>
        <w:rPr>
          <w:rFonts w:ascii="宋体" w:hAnsi="宋体" w:eastAsia="宋体" w:cs="宋体"/>
          <w:szCs w:val="21"/>
        </w:rPr>
        <w:t>：允许用户取消已预订的场地，释放资源供他人使用。</w:t>
      </w:r>
    </w:p>
    <w:p w14:paraId="31A71AC1">
      <w:pPr>
        <w:widowControl/>
        <w:numPr>
          <w:ilvl w:val="0"/>
          <w:numId w:val="16"/>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场地日历</w:t>
      </w:r>
      <w:r>
        <w:rPr>
          <w:rFonts w:ascii="宋体" w:hAnsi="宋体" w:eastAsia="宋体" w:cs="宋体"/>
          <w:szCs w:val="21"/>
        </w:rPr>
        <w:t>：提供场地使用的日历视图，便于查看场地的预订和空闲情况。</w:t>
      </w:r>
    </w:p>
    <w:p w14:paraId="72BA3BB2">
      <w:pPr>
        <w:widowControl/>
        <w:numPr>
          <w:ilvl w:val="0"/>
          <w:numId w:val="16"/>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场地查询</w:t>
      </w:r>
      <w:r>
        <w:rPr>
          <w:rFonts w:ascii="宋体" w:hAnsi="宋体" w:eastAsia="宋体" w:cs="宋体"/>
          <w:szCs w:val="21"/>
        </w:rPr>
        <w:t>：支持根据多种条件查询可用场地信息，方便</w:t>
      </w:r>
      <w:r>
        <w:rPr>
          <w:rFonts w:hint="eastAsia" w:ascii="宋体" w:hAnsi="宋体" w:eastAsia="宋体" w:cs="宋体"/>
          <w:szCs w:val="21"/>
        </w:rPr>
        <w:t>场地管理员快速查看场地使用情况</w:t>
      </w:r>
      <w:r>
        <w:rPr>
          <w:rFonts w:ascii="宋体" w:hAnsi="宋体" w:eastAsia="宋体" w:cs="宋体"/>
          <w:szCs w:val="21"/>
        </w:rPr>
        <w:t>。</w:t>
      </w:r>
    </w:p>
    <w:p w14:paraId="6D9116D8">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（2）</w:t>
      </w:r>
      <w:r>
        <w:rPr>
          <w:rFonts w:ascii="宋体" w:hAnsi="宋体" w:eastAsia="宋体" w:cs="宋体"/>
          <w:b/>
          <w:bCs/>
          <w:szCs w:val="21"/>
        </w:rPr>
        <w:t xml:space="preserve"> 外部场地</w:t>
      </w:r>
    </w:p>
    <w:p w14:paraId="72264DFB">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对于需要使用外部场地的情况，系统提供了场地预订管理平台。可以根据实际需求，选择公开的外部场地进行开标和评标。系统支持对外部场地的信息管理和预订流程，确保外部场地的有效利用。</w:t>
      </w:r>
    </w:p>
    <w:p w14:paraId="428A9D94">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场地数据集成</w:t>
      </w:r>
    </w:p>
    <w:p w14:paraId="5ACC194C">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无论选择公司内部场地还是外部场地，系统均支持与场地的相关数据进行集成，确保开评标过程的信息畅通和管理高效。</w:t>
      </w:r>
    </w:p>
    <w:p w14:paraId="62F34CFA">
      <w:pPr>
        <w:pStyle w:val="6"/>
        <w:widowControl/>
        <w:spacing w:before="260" w:after="260"/>
        <w:ind w:left="0" w:firstLine="0"/>
        <w:rPr>
          <w:rFonts w:hint="eastAsia" w:ascii="宋体" w:hAnsi="宋体"/>
        </w:rPr>
      </w:pPr>
      <w:r>
        <w:rPr>
          <w:rFonts w:hint="eastAsia" w:ascii="宋体" w:hAnsi="宋体"/>
        </w:rPr>
        <w:t xml:space="preserve"> </w:t>
      </w:r>
      <w:bookmarkStart w:id="125" w:name="_Toc180265595"/>
      <w:r>
        <w:rPr>
          <w:rFonts w:hint="eastAsia" w:ascii="宋体" w:hAnsi="宋体"/>
        </w:rPr>
        <w:t>开评标数据的传输和管理</w:t>
      </w:r>
      <w:bookmarkEnd w:id="125"/>
    </w:p>
    <w:p w14:paraId="2ADD00E4">
      <w:pPr>
        <w:snapToGrid w:val="0"/>
        <w:spacing w:line="360" w:lineRule="auto"/>
        <w:ind w:left="420" w:firstLine="422" w:firstLineChars="20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项目基本信息与人员信息</w:t>
      </w:r>
    </w:p>
    <w:p w14:paraId="7B77FE2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w:t>
      </w:r>
      <w:r>
        <w:rPr>
          <w:rFonts w:hint="eastAsia" w:ascii="宋体" w:hAnsi="宋体" w:eastAsia="宋体" w:cs="宋体"/>
          <w:szCs w:val="21"/>
        </w:rPr>
        <w:t>将会通过云服务总线，</w:t>
      </w:r>
      <w:r>
        <w:rPr>
          <w:rFonts w:ascii="宋体" w:hAnsi="宋体" w:eastAsia="宋体" w:cs="宋体"/>
          <w:szCs w:val="21"/>
        </w:rPr>
        <w:t>为</w:t>
      </w:r>
      <w:r>
        <w:rPr>
          <w:rFonts w:hint="eastAsia" w:ascii="宋体" w:hAnsi="宋体" w:eastAsia="宋体" w:cs="宋体"/>
          <w:szCs w:val="21"/>
        </w:rPr>
        <w:t>全国各省分公司的</w:t>
      </w:r>
      <w:r>
        <w:rPr>
          <w:rFonts w:ascii="宋体" w:hAnsi="宋体" w:eastAsia="宋体" w:cs="宋体"/>
          <w:szCs w:val="21"/>
        </w:rPr>
        <w:t>场地</w:t>
      </w:r>
      <w:r>
        <w:rPr>
          <w:rFonts w:hint="eastAsia" w:ascii="宋体" w:hAnsi="宋体" w:eastAsia="宋体" w:cs="宋体"/>
          <w:szCs w:val="21"/>
        </w:rPr>
        <w:t>系统</w:t>
      </w:r>
      <w:r>
        <w:rPr>
          <w:rFonts w:ascii="宋体" w:hAnsi="宋体" w:eastAsia="宋体" w:cs="宋体"/>
          <w:szCs w:val="21"/>
        </w:rPr>
        <w:t>提供了项目基本信息和参与人员信息的标准化数据接口，</w:t>
      </w:r>
      <w:r>
        <w:rPr>
          <w:rFonts w:hint="eastAsia" w:ascii="宋体" w:hAnsi="宋体" w:eastAsia="宋体" w:cs="宋体"/>
          <w:szCs w:val="21"/>
        </w:rPr>
        <w:t>接口使用 TLS（传输层安全协议）/SSL 技术进行加密，保障数据安全。</w:t>
      </w:r>
    </w:p>
    <w:p w14:paraId="455DD10B">
      <w:pPr>
        <w:snapToGrid w:val="0"/>
        <w:ind w:left="420" w:firstLine="420" w:firstLineChars="200"/>
        <w:rPr>
          <w:rFonts w:cs="宋体"/>
          <w:szCs w:val="21"/>
        </w:rPr>
      </w:pPr>
      <w:r>
        <w:drawing>
          <wp:inline distT="0" distB="0" distL="0" distR="0">
            <wp:extent cx="5064760" cy="3576320"/>
            <wp:effectExtent l="0" t="0" r="2540" b="5080"/>
            <wp:docPr id="725202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2362" name="图片 1"/>
                    <pic:cNvPicPr>
                      <a:picLocks noChangeAspect="1"/>
                    </pic:cNvPicPr>
                  </pic:nvPicPr>
                  <pic:blipFill>
                    <a:blip r:embed="rId101"/>
                    <a:stretch>
                      <a:fillRect/>
                    </a:stretch>
                  </pic:blipFill>
                  <pic:spPr>
                    <a:xfrm>
                      <a:off x="0" y="0"/>
                      <a:ext cx="5077995" cy="3586076"/>
                    </a:xfrm>
                    <a:prstGeom prst="rect">
                      <a:avLst/>
                    </a:prstGeom>
                  </pic:spPr>
                </pic:pic>
              </a:graphicData>
            </a:graphic>
          </wp:inline>
        </w:drawing>
      </w:r>
    </w:p>
    <w:p w14:paraId="3B2979B9">
      <w:pPr>
        <w:snapToGrid w:val="0"/>
        <w:spacing w:line="360" w:lineRule="auto"/>
        <w:ind w:left="420" w:firstLine="300" w:firstLineChars="200"/>
        <w:jc w:val="center"/>
        <w:rPr>
          <w:rFonts w:hint="eastAsia" w:ascii="宋体" w:hAnsi="宋体" w:eastAsia="宋体" w:cs="宋体"/>
          <w:sz w:val="15"/>
          <w:szCs w:val="15"/>
        </w:rPr>
      </w:pPr>
      <w:r>
        <w:rPr>
          <w:rFonts w:hint="eastAsia" w:ascii="宋体" w:hAnsi="宋体" w:eastAsia="宋体" w:cs="宋体"/>
          <w:sz w:val="15"/>
          <w:szCs w:val="15"/>
        </w:rPr>
        <w:t>场地系统与烟草交易平台系统交互示意图</w:t>
      </w:r>
    </w:p>
    <w:p w14:paraId="412F892C">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接口的信息</w:t>
      </w:r>
      <w:r>
        <w:rPr>
          <w:rFonts w:ascii="宋体" w:hAnsi="宋体" w:eastAsia="宋体" w:cs="宋体"/>
          <w:szCs w:val="21"/>
        </w:rPr>
        <w:t>主要包括：</w:t>
      </w:r>
    </w:p>
    <w:p w14:paraId="57AE2417">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项目基本信息</w:t>
      </w:r>
      <w:r>
        <w:rPr>
          <w:rFonts w:ascii="宋体" w:hAnsi="宋体" w:eastAsia="宋体" w:cs="宋体"/>
          <w:szCs w:val="21"/>
        </w:rPr>
        <w:t>：项目名称、编号、开标时间、开标地点、评标时间、评标地点等。</w:t>
      </w:r>
    </w:p>
    <w:p w14:paraId="4EAB6EA8">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人员信息</w:t>
      </w:r>
      <w:r>
        <w:rPr>
          <w:rFonts w:ascii="宋体" w:hAnsi="宋体" w:eastAsia="宋体" w:cs="宋体"/>
          <w:szCs w:val="21"/>
        </w:rPr>
        <w:t>：项目负责人、供应商（投标人）、评标专家、监督人员等所有参与开评标的人员</w:t>
      </w:r>
      <w:r>
        <w:rPr>
          <w:rFonts w:hint="eastAsia" w:ascii="宋体" w:hAnsi="宋体" w:eastAsia="宋体" w:cs="宋体"/>
          <w:szCs w:val="21"/>
        </w:rPr>
        <w:t>名单、人员</w:t>
      </w:r>
      <w:r>
        <w:rPr>
          <w:rFonts w:ascii="宋体" w:hAnsi="宋体" w:eastAsia="宋体" w:cs="宋体"/>
          <w:szCs w:val="21"/>
        </w:rPr>
        <w:t>基本信息。</w:t>
      </w:r>
    </w:p>
    <w:p w14:paraId="21C0F6E1">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场地系统在完成与本系统的数据对接后，可以在开标和评标前通过数据接口获取上述信息，用于场地资源的协调和安排，包括：</w:t>
      </w:r>
    </w:p>
    <w:p w14:paraId="02CBD309">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场地使用时间</w:t>
      </w:r>
      <w:r>
        <w:rPr>
          <w:rFonts w:ascii="宋体" w:hAnsi="宋体" w:eastAsia="宋体" w:cs="宋体"/>
          <w:szCs w:val="21"/>
        </w:rPr>
        <w:t>：根据项目时间安排场地的使用。</w:t>
      </w:r>
    </w:p>
    <w:p w14:paraId="606BA3B5">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具体场所分配</w:t>
      </w:r>
      <w:r>
        <w:rPr>
          <w:rFonts w:ascii="宋体" w:hAnsi="宋体" w:eastAsia="宋体" w:cs="宋体"/>
          <w:szCs w:val="21"/>
        </w:rPr>
        <w:t>：根据参与人数和设备需求，分配合适的场所。</w:t>
      </w:r>
    </w:p>
    <w:p w14:paraId="1C7453BD">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身份核验</w:t>
      </w:r>
      <w:r>
        <w:rPr>
          <w:rFonts w:ascii="宋体" w:hAnsi="宋体" w:eastAsia="宋体" w:cs="宋体"/>
          <w:szCs w:val="21"/>
        </w:rPr>
        <w:t>：提前获取人员信息，方便现场的身份验证。</w:t>
      </w:r>
    </w:p>
    <w:p w14:paraId="35BD433E">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门禁管理</w:t>
      </w:r>
      <w:r>
        <w:rPr>
          <w:rFonts w:ascii="宋体" w:hAnsi="宋体" w:eastAsia="宋体" w:cs="宋体"/>
          <w:szCs w:val="21"/>
        </w:rPr>
        <w:t>：设置门禁权限，确保人员进出安全。</w:t>
      </w:r>
    </w:p>
    <w:p w14:paraId="38C9633C">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接待安排</w:t>
      </w:r>
      <w:r>
        <w:rPr>
          <w:rFonts w:ascii="宋体" w:hAnsi="宋体" w:eastAsia="宋体" w:cs="宋体"/>
          <w:szCs w:val="21"/>
        </w:rPr>
        <w:t>：根据人员名单，做好接待和服务工作。</w:t>
      </w:r>
    </w:p>
    <w:p w14:paraId="20F0DA1A">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数据传输安全</w:t>
      </w:r>
    </w:p>
    <w:p w14:paraId="52EBE119">
      <w:pPr>
        <w:snapToGrid w:val="0"/>
        <w:spacing w:line="360" w:lineRule="auto"/>
        <w:ind w:left="420" w:firstLine="420" w:firstLineChars="199"/>
        <w:rPr>
          <w:rFonts w:hint="eastAsia" w:ascii="宋体" w:hAnsi="宋体" w:eastAsia="宋体" w:cs="宋体"/>
          <w:szCs w:val="21"/>
        </w:rPr>
      </w:pPr>
      <w:r>
        <w:rPr>
          <w:rFonts w:ascii="宋体" w:hAnsi="宋体" w:eastAsia="宋体" w:cs="宋体"/>
          <w:b/>
          <w:bCs/>
          <w:szCs w:val="21"/>
        </w:rPr>
        <w:t>独立密钥</w:t>
      </w:r>
      <w:r>
        <w:rPr>
          <w:rFonts w:ascii="宋体" w:hAnsi="宋体" w:eastAsia="宋体" w:cs="宋体"/>
          <w:szCs w:val="21"/>
        </w:rPr>
        <w:t>：为每个对接的场地系统提供独立的加密密钥，只有持有该密钥的系统才有权限调用接口。</w:t>
      </w:r>
    </w:p>
    <w:p w14:paraId="3E276B20">
      <w:pPr>
        <w:snapToGrid w:val="0"/>
        <w:spacing w:line="360" w:lineRule="auto"/>
        <w:ind w:left="420" w:firstLine="420" w:firstLineChars="199"/>
        <w:rPr>
          <w:rFonts w:hint="eastAsia" w:ascii="宋体" w:hAnsi="宋体" w:eastAsia="宋体" w:cs="宋体"/>
          <w:szCs w:val="21"/>
        </w:rPr>
      </w:pPr>
      <w:r>
        <w:rPr>
          <w:rFonts w:ascii="宋体" w:hAnsi="宋体" w:eastAsia="宋体" w:cs="宋体"/>
          <w:b/>
          <w:bCs/>
          <w:szCs w:val="21"/>
        </w:rPr>
        <w:t>临时令牌机制</w:t>
      </w:r>
      <w:r>
        <w:rPr>
          <w:rFonts w:ascii="宋体" w:hAnsi="宋体" w:eastAsia="宋体" w:cs="宋体"/>
          <w:szCs w:val="21"/>
        </w:rPr>
        <w:t>：获取数据时需要使用密钥生成的临时令牌（Token），该令牌具有有效期，过期后需要重新获取，增加安全性。</w:t>
      </w:r>
    </w:p>
    <w:p w14:paraId="09458BD0">
      <w:pPr>
        <w:snapToGrid w:val="0"/>
        <w:spacing w:line="360" w:lineRule="auto"/>
        <w:ind w:left="420" w:firstLine="420" w:firstLineChars="199"/>
        <w:rPr>
          <w:rFonts w:hint="eastAsia" w:ascii="宋体" w:hAnsi="宋体" w:eastAsia="宋体" w:cs="宋体"/>
          <w:szCs w:val="21"/>
        </w:rPr>
      </w:pPr>
      <w:r>
        <w:rPr>
          <w:rFonts w:ascii="宋体" w:hAnsi="宋体" w:eastAsia="宋体" w:cs="宋体"/>
          <w:b/>
          <w:bCs/>
          <w:szCs w:val="21"/>
        </w:rPr>
        <w:t>数据隔离</w:t>
      </w:r>
      <w:r>
        <w:rPr>
          <w:rFonts w:ascii="宋体" w:hAnsi="宋体" w:eastAsia="宋体" w:cs="宋体"/>
          <w:szCs w:val="21"/>
        </w:rPr>
        <w:t>：系统对各个场地获取的项目信息和人员信息进行严格的隔离，确保场地系统只能获取与自身相关的项目和人员数据，保障信息的保密性。</w:t>
      </w:r>
    </w:p>
    <w:p w14:paraId="4C114E3A">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开评标过程的数据管理</w:t>
      </w:r>
    </w:p>
    <w:p w14:paraId="4EF2F29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系统支持电子化的开评标流程，参与人员可以通过浏览器作为客户端，使用互联网访问系统。具体特点如下：</w:t>
      </w:r>
    </w:p>
    <w:p w14:paraId="59517DCB">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统一入口</w:t>
      </w:r>
      <w:r>
        <w:rPr>
          <w:rFonts w:ascii="宋体" w:hAnsi="宋体" w:eastAsia="宋体" w:cs="宋体"/>
          <w:szCs w:val="21"/>
        </w:rPr>
        <w:t>：参与人员通过系统提供的开标和评标入口，进入相应的功能模块。</w:t>
      </w:r>
    </w:p>
    <w:p w14:paraId="2653C703">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角色权限控制</w:t>
      </w:r>
      <w:r>
        <w:rPr>
          <w:rFonts w:ascii="宋体" w:hAnsi="宋体" w:eastAsia="宋体" w:cs="宋体"/>
          <w:szCs w:val="21"/>
        </w:rPr>
        <w:t>：系统严格限制每个角色可访问的项目数据，确保数据权限的精细化管理。</w:t>
      </w:r>
    </w:p>
    <w:p w14:paraId="77069800">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数据安全保障</w:t>
      </w:r>
      <w:r>
        <w:rPr>
          <w:rFonts w:ascii="宋体" w:hAnsi="宋体" w:eastAsia="宋体" w:cs="宋体"/>
          <w:szCs w:val="21"/>
        </w:rPr>
        <w:t>：通过权限控制和数据加密，保障开评标过程中的数据安全和保密。</w:t>
      </w:r>
    </w:p>
    <w:p w14:paraId="53023701">
      <w:pPr>
        <w:pStyle w:val="6"/>
        <w:widowControl/>
        <w:spacing w:before="260" w:after="260"/>
        <w:ind w:left="0" w:firstLine="0"/>
        <w:rPr>
          <w:rFonts w:hint="eastAsia" w:ascii="宋体" w:hAnsi="宋体"/>
        </w:rPr>
      </w:pPr>
      <w:r>
        <w:rPr>
          <w:rFonts w:hint="eastAsia" w:ascii="宋体" w:hAnsi="宋体"/>
        </w:rPr>
        <w:t xml:space="preserve"> </w:t>
      </w:r>
      <w:bookmarkStart w:id="126" w:name="_Toc180265596"/>
      <w:r>
        <w:rPr>
          <w:rFonts w:hint="eastAsia" w:ascii="宋体" w:hAnsi="宋体"/>
        </w:rPr>
        <w:t>音视频数据管理</w:t>
      </w:r>
      <w:bookmarkEnd w:id="126"/>
    </w:p>
    <w:p w14:paraId="1704F6B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音视频会议录制</w:t>
      </w:r>
    </w:p>
    <w:p w14:paraId="3479535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系统提供音视频功能，支持开标和评标过程中的线上音视频互动，具体功能包括：</w:t>
      </w:r>
    </w:p>
    <w:p w14:paraId="2D7E5B4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会议发起</w:t>
      </w:r>
      <w:r>
        <w:rPr>
          <w:rFonts w:ascii="宋体" w:hAnsi="宋体" w:eastAsia="宋体" w:cs="宋体"/>
          <w:szCs w:val="21"/>
        </w:rPr>
        <w:t>：项目经理可以针对指定的标段发起开标会或评标会。</w:t>
      </w:r>
    </w:p>
    <w:p w14:paraId="637FF77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参会方式</w:t>
      </w:r>
      <w:r>
        <w:rPr>
          <w:rFonts w:ascii="宋体" w:hAnsi="宋体" w:eastAsia="宋体" w:cs="宋体"/>
          <w:szCs w:val="21"/>
        </w:rPr>
        <w:t>：与会人员通过系统的音视频会议入口参会，</w:t>
      </w:r>
      <w:r>
        <w:rPr>
          <w:rFonts w:hint="eastAsia" w:ascii="宋体" w:hAnsi="宋体" w:eastAsia="宋体" w:cs="宋体"/>
          <w:szCs w:val="21"/>
        </w:rPr>
        <w:t>灵活选择使用软件客户端或网页端参会</w:t>
      </w:r>
      <w:r>
        <w:rPr>
          <w:rFonts w:ascii="宋体" w:hAnsi="宋体" w:eastAsia="宋体" w:cs="宋体"/>
          <w:szCs w:val="21"/>
        </w:rPr>
        <w:t>。</w:t>
      </w:r>
    </w:p>
    <w:p w14:paraId="3F44D60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录制功能</w:t>
      </w:r>
      <w:r>
        <w:rPr>
          <w:rFonts w:ascii="宋体" w:hAnsi="宋体" w:eastAsia="宋体" w:cs="宋体"/>
          <w:szCs w:val="21"/>
        </w:rPr>
        <w:t>：参会过程中，系统对每个用户的摄像头画面和屏幕内容进行视频录制。</w:t>
      </w:r>
    </w:p>
    <w:p w14:paraId="4ED305C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存储与查看</w:t>
      </w:r>
      <w:r>
        <w:rPr>
          <w:rFonts w:ascii="宋体" w:hAnsi="宋体" w:eastAsia="宋体" w:cs="宋体"/>
          <w:szCs w:val="21"/>
        </w:rPr>
        <w:t>：录制的视频自动上传并存储在系统中，供项目经理查看和存档，满足监管和审计需求。</w:t>
      </w:r>
    </w:p>
    <w:p w14:paraId="1090C70F">
      <w:pPr>
        <w:snapToGrid w:val="0"/>
        <w:spacing w:line="360" w:lineRule="auto"/>
        <w:ind w:left="420" w:firstLine="300"/>
        <w:rPr>
          <w:rFonts w:hint="eastAsia" w:ascii="宋体" w:hAnsi="宋体" w:eastAsia="宋体" w:cs="宋体"/>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场地监控系统视频数据对接</w:t>
      </w:r>
    </w:p>
    <w:p w14:paraId="1D314D4A">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对于场地监控系统收集的音视频数据，系统提供标准化的数据接口进行接收和处理，具体方案如下：</w:t>
      </w:r>
    </w:p>
    <w:p w14:paraId="076EC44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支持协议</w:t>
      </w:r>
      <w:r>
        <w:rPr>
          <w:rFonts w:ascii="宋体" w:hAnsi="宋体" w:eastAsia="宋体" w:cs="宋体"/>
          <w:szCs w:val="21"/>
        </w:rPr>
        <w:t>：</w:t>
      </w:r>
      <w:r>
        <w:rPr>
          <w:rFonts w:hint="eastAsia" w:ascii="宋体" w:hAnsi="宋体" w:eastAsia="宋体" w:cs="宋体"/>
          <w:szCs w:val="21"/>
        </w:rPr>
        <w:t>系统支持 RTSP（Real Time Streaming Protocol） 协议用于接收实时音视频流。</w:t>
      </w:r>
    </w:p>
    <w:p w14:paraId="3F6BF08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数据对接</w:t>
      </w:r>
      <w:r>
        <w:rPr>
          <w:rFonts w:ascii="宋体" w:hAnsi="宋体" w:eastAsia="宋体" w:cs="宋体"/>
          <w:szCs w:val="21"/>
        </w:rPr>
        <w:t>：</w:t>
      </w:r>
      <w:r>
        <w:rPr>
          <w:rFonts w:hint="eastAsia" w:ascii="宋体" w:hAnsi="宋体" w:eastAsia="宋体" w:cs="宋体"/>
          <w:szCs w:val="21"/>
        </w:rPr>
        <w:t>系统将通过 HTTP RESTful API等接口与场地监控系统进行必要的数据对接。数据的对接同样使用了加密安全组件，保障数据传输的安全和可靠。</w:t>
      </w:r>
    </w:p>
    <w:p w14:paraId="2AF7D2CC">
      <w:pPr>
        <w:snapToGrid w:val="0"/>
        <w:spacing w:line="360" w:lineRule="auto"/>
        <w:ind w:left="420" w:firstLine="420"/>
        <w:rPr>
          <w:rFonts w:hint="eastAsia" w:ascii="宋体" w:hAnsi="宋体" w:eastAsia="宋体" w:cs="宋体"/>
          <w:b/>
          <w:bCs/>
          <w:szCs w:val="21"/>
        </w:rPr>
      </w:pPr>
      <w:r>
        <w:rPr>
          <w:rFonts w:ascii="宋体" w:hAnsi="宋体" w:eastAsia="宋体" w:cs="宋体"/>
          <w:b/>
          <w:bCs/>
          <w:szCs w:val="21"/>
        </w:rPr>
        <w:t>视频流处理流程</w:t>
      </w:r>
    </w:p>
    <w:p w14:paraId="005EAED6">
      <w:pPr>
        <w:widowControl/>
        <w:numPr>
          <w:ilvl w:val="0"/>
          <w:numId w:val="17"/>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接收视频流</w:t>
      </w:r>
      <w:r>
        <w:rPr>
          <w:rFonts w:ascii="宋体" w:hAnsi="宋体" w:eastAsia="宋体" w:cs="宋体"/>
          <w:szCs w:val="21"/>
        </w:rPr>
        <w:t>：</w:t>
      </w:r>
      <w:r>
        <w:rPr>
          <w:rFonts w:hint="eastAsia" w:ascii="宋体" w:hAnsi="宋体" w:eastAsia="宋体" w:cs="宋体"/>
          <w:szCs w:val="21"/>
        </w:rPr>
        <w:t>系统在接收到实时的 RTSP 音视频流 后，首先使用 FFmpeg 等工具将 RTSP 流 转换为 RTMP 流，然后通过 NGINX + RTMP 模块 进行流媒体转发和分发</w:t>
      </w:r>
      <w:r>
        <w:rPr>
          <w:rFonts w:ascii="宋体" w:hAnsi="宋体" w:eastAsia="宋体" w:cs="宋体"/>
          <w:szCs w:val="21"/>
        </w:rPr>
        <w:t>，实现视频流的高效接入。</w:t>
      </w:r>
    </w:p>
    <w:p w14:paraId="4B65E93C">
      <w:pPr>
        <w:widowControl/>
        <w:numPr>
          <w:ilvl w:val="0"/>
          <w:numId w:val="17"/>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转码处理</w:t>
      </w:r>
      <w:r>
        <w:rPr>
          <w:rFonts w:ascii="宋体" w:hAnsi="宋体" w:eastAsia="宋体" w:cs="宋体"/>
          <w:szCs w:val="21"/>
        </w:rPr>
        <w:t>：系统</w:t>
      </w:r>
      <w:r>
        <w:rPr>
          <w:rFonts w:hint="eastAsia" w:ascii="宋体" w:hAnsi="宋体" w:eastAsia="宋体" w:cs="宋体"/>
          <w:szCs w:val="21"/>
        </w:rPr>
        <w:t>将使用FFmpeg工具，</w:t>
      </w:r>
      <w:r>
        <w:rPr>
          <w:rFonts w:ascii="宋体" w:hAnsi="宋体" w:eastAsia="宋体" w:cs="宋体"/>
          <w:szCs w:val="21"/>
        </w:rPr>
        <w:t>将原始视频流进行转码处理，转换为适合存储和分发的格式。</w:t>
      </w:r>
    </w:p>
    <w:p w14:paraId="1FB1840F">
      <w:pPr>
        <w:widowControl/>
        <w:numPr>
          <w:ilvl w:val="0"/>
          <w:numId w:val="17"/>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数据归档</w:t>
      </w:r>
      <w:r>
        <w:rPr>
          <w:rFonts w:ascii="宋体" w:hAnsi="宋体" w:eastAsia="宋体" w:cs="宋体"/>
          <w:szCs w:val="21"/>
        </w:rPr>
        <w:t>：转码后的音视频数据进行归档存储，确保视频数据的完整性和可追溯性。</w:t>
      </w:r>
    </w:p>
    <w:p w14:paraId="7823EC77">
      <w:pPr>
        <w:widowControl/>
        <w:numPr>
          <w:ilvl w:val="0"/>
          <w:numId w:val="17"/>
        </w:numPr>
        <w:snapToGrid w:val="0"/>
        <w:spacing w:line="360" w:lineRule="auto"/>
        <w:ind w:left="420" w:leftChars="200" w:firstLine="422" w:firstLineChars="200"/>
        <w:jc w:val="left"/>
        <w:rPr>
          <w:rFonts w:hint="eastAsia" w:ascii="宋体" w:hAnsi="宋体" w:eastAsia="宋体" w:cs="宋体"/>
          <w:szCs w:val="21"/>
        </w:rPr>
      </w:pPr>
      <w:r>
        <w:rPr>
          <w:rFonts w:ascii="宋体" w:hAnsi="宋体" w:eastAsia="宋体" w:cs="宋体"/>
          <w:b/>
          <w:bCs/>
          <w:szCs w:val="21"/>
        </w:rPr>
        <w:t>实时监看</w:t>
      </w:r>
      <w:r>
        <w:rPr>
          <w:rFonts w:ascii="宋体" w:hAnsi="宋体" w:eastAsia="宋体" w:cs="宋体"/>
          <w:szCs w:val="21"/>
        </w:rPr>
        <w:t>：同时，音视频服务将转码后的视频流推送到需要实时监看的系统或客户端，满足监督人、业主等人员的实时监控需求。</w:t>
      </w:r>
    </w:p>
    <w:p w14:paraId="15339A34">
      <w:pPr>
        <w:snapToGrid w:val="0"/>
        <w:spacing w:line="360" w:lineRule="auto"/>
        <w:ind w:left="420" w:firstLine="420"/>
        <w:rPr>
          <w:rFonts w:hint="eastAsia" w:ascii="宋体" w:hAnsi="宋体" w:eastAsia="宋体" w:cs="宋体"/>
          <w:b/>
          <w:bCs/>
          <w:szCs w:val="21"/>
        </w:rPr>
      </w:pPr>
      <w:r>
        <w:rPr>
          <w:rFonts w:ascii="宋体" w:hAnsi="宋体" w:eastAsia="宋体" w:cs="宋体"/>
          <w:b/>
          <w:bCs/>
          <w:szCs w:val="21"/>
        </w:rPr>
        <w:t>安全与权限控制</w:t>
      </w:r>
    </w:p>
    <w:p w14:paraId="77AF71D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访问控制</w:t>
      </w:r>
      <w:r>
        <w:rPr>
          <w:rFonts w:ascii="宋体" w:hAnsi="宋体" w:eastAsia="宋体" w:cs="宋体"/>
          <w:szCs w:val="21"/>
        </w:rPr>
        <w:t>：对视频流的访问进行严格的权限控制，只有授权的用户和系统才能访问。</w:t>
      </w:r>
    </w:p>
    <w:p w14:paraId="20B0153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数据加密</w:t>
      </w:r>
      <w:r>
        <w:rPr>
          <w:rFonts w:ascii="宋体" w:hAnsi="宋体" w:eastAsia="宋体" w:cs="宋体"/>
          <w:szCs w:val="21"/>
        </w:rPr>
        <w:t>：在视频传输过程中，采用安全协议对数据进行加密，防止数据被截获和篡改。</w:t>
      </w:r>
    </w:p>
    <w:p w14:paraId="1E2B72A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日志审计</w:t>
      </w:r>
      <w:r>
        <w:rPr>
          <w:rFonts w:ascii="宋体" w:hAnsi="宋体" w:eastAsia="宋体" w:cs="宋体"/>
          <w:szCs w:val="21"/>
        </w:rPr>
        <w:t>：记录视频数据的接收、处理、访问等操作日志，满足审计和监管要求。</w:t>
      </w:r>
    </w:p>
    <w:p w14:paraId="03D9E13D">
      <w:pPr>
        <w:snapToGrid w:val="0"/>
        <w:rPr>
          <w:rFonts w:cs="宋体"/>
          <w:szCs w:val="21"/>
        </w:rPr>
      </w:pPr>
      <w:r>
        <w:drawing>
          <wp:inline distT="0" distB="0" distL="0" distR="0">
            <wp:extent cx="5939790" cy="2167255"/>
            <wp:effectExtent l="0" t="0" r="3810" b="4445"/>
            <wp:docPr id="8851640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164072" name="图片 1"/>
                    <pic:cNvPicPr>
                      <a:picLocks noChangeAspect="1"/>
                    </pic:cNvPicPr>
                  </pic:nvPicPr>
                  <pic:blipFill>
                    <a:blip r:embed="rId102"/>
                    <a:stretch>
                      <a:fillRect/>
                    </a:stretch>
                  </pic:blipFill>
                  <pic:spPr>
                    <a:xfrm>
                      <a:off x="0" y="0"/>
                      <a:ext cx="5939790" cy="2167255"/>
                    </a:xfrm>
                    <a:prstGeom prst="rect">
                      <a:avLst/>
                    </a:prstGeom>
                  </pic:spPr>
                </pic:pic>
              </a:graphicData>
            </a:graphic>
          </wp:inline>
        </w:drawing>
      </w:r>
    </w:p>
    <w:p w14:paraId="58A2849A">
      <w:pPr>
        <w:snapToGrid w:val="0"/>
        <w:spacing w:line="360" w:lineRule="auto"/>
        <w:ind w:left="420" w:firstLine="300" w:firstLineChars="200"/>
        <w:jc w:val="center"/>
        <w:rPr>
          <w:rFonts w:cs="宋体"/>
          <w:sz w:val="15"/>
          <w:szCs w:val="15"/>
        </w:rPr>
      </w:pPr>
      <w:r>
        <w:rPr>
          <w:rFonts w:hint="eastAsia" w:cs="宋体"/>
          <w:sz w:val="15"/>
          <w:szCs w:val="15"/>
        </w:rPr>
        <w:t>场地监控系统与系统对接音视频数据示意图</w:t>
      </w:r>
    </w:p>
    <w:p w14:paraId="6DC5DE8F">
      <w:pPr>
        <w:pStyle w:val="6"/>
        <w:widowControl/>
        <w:spacing w:before="260" w:after="260"/>
        <w:ind w:left="0" w:firstLine="0"/>
      </w:pPr>
      <w:r>
        <w:rPr>
          <w:rFonts w:hint="eastAsia"/>
        </w:rPr>
        <w:t xml:space="preserve"> </w:t>
      </w:r>
      <w:bookmarkStart w:id="127" w:name="_Toc180265597"/>
      <w:r>
        <w:rPr>
          <w:rFonts w:hint="eastAsia"/>
        </w:rPr>
        <w:t>方案总结</w:t>
      </w:r>
      <w:bookmarkEnd w:id="127"/>
    </w:p>
    <w:p w14:paraId="5AF81340">
      <w:pPr>
        <w:snapToGrid w:val="0"/>
        <w:spacing w:line="360" w:lineRule="auto"/>
        <w:ind w:left="420" w:firstLine="420" w:firstLineChars="200"/>
        <w:rPr>
          <w:rFonts w:cs="宋体"/>
          <w:szCs w:val="21"/>
        </w:rPr>
      </w:pPr>
      <w:r>
        <w:rPr>
          <w:rFonts w:cs="宋体"/>
          <w:szCs w:val="21"/>
        </w:rPr>
        <w:t>通过上述方案，系统实现了与开评标场地的无缝集成，提供了以下优势：</w:t>
      </w:r>
    </w:p>
    <w:p w14:paraId="7A076F77">
      <w:pPr>
        <w:snapToGrid w:val="0"/>
        <w:spacing w:line="360" w:lineRule="auto"/>
        <w:ind w:left="420" w:firstLine="422" w:firstLineChars="200"/>
        <w:rPr>
          <w:rFonts w:cs="宋体"/>
          <w:szCs w:val="21"/>
        </w:rPr>
      </w:pPr>
      <w:r>
        <w:rPr>
          <w:rFonts w:cs="宋体"/>
          <w:b/>
          <w:bCs/>
          <w:szCs w:val="21"/>
        </w:rPr>
        <w:t>灵活的场地选择</w:t>
      </w:r>
      <w:r>
        <w:rPr>
          <w:rFonts w:cs="宋体"/>
          <w:szCs w:val="21"/>
        </w:rPr>
        <w:t>：支持公司内部和外部场地，满足不同项目的需求。</w:t>
      </w:r>
    </w:p>
    <w:p w14:paraId="0A4C13AE">
      <w:pPr>
        <w:snapToGrid w:val="0"/>
        <w:spacing w:line="360" w:lineRule="auto"/>
        <w:ind w:left="420" w:firstLine="422" w:firstLineChars="200"/>
        <w:rPr>
          <w:rFonts w:cs="宋体"/>
          <w:szCs w:val="21"/>
        </w:rPr>
      </w:pPr>
      <w:r>
        <w:rPr>
          <w:rFonts w:cs="宋体"/>
          <w:b/>
          <w:bCs/>
          <w:szCs w:val="21"/>
        </w:rPr>
        <w:t>高效的数据传输与管理</w:t>
      </w:r>
      <w:r>
        <w:rPr>
          <w:rFonts w:cs="宋体"/>
          <w:szCs w:val="21"/>
        </w:rPr>
        <w:t>：提供标准化的数据接口和安全的传输机制，保障项目信息和人员信息的准确和安全。</w:t>
      </w:r>
    </w:p>
    <w:p w14:paraId="239BBFF9">
      <w:pPr>
        <w:snapToGrid w:val="0"/>
        <w:spacing w:line="360" w:lineRule="auto"/>
        <w:ind w:left="420" w:firstLine="422" w:firstLineChars="200"/>
        <w:rPr>
          <w:rFonts w:cs="宋体"/>
          <w:szCs w:val="21"/>
        </w:rPr>
      </w:pPr>
      <w:r>
        <w:rPr>
          <w:rFonts w:cs="宋体"/>
          <w:b/>
          <w:bCs/>
          <w:szCs w:val="21"/>
        </w:rPr>
        <w:t>完善的音视频功能</w:t>
      </w:r>
      <w:r>
        <w:rPr>
          <w:rFonts w:cs="宋体"/>
          <w:szCs w:val="21"/>
        </w:rPr>
        <w:t>：支持线上音视频会议、视频录制和实时监看，提升开评标过程的互动性和透明度。</w:t>
      </w:r>
    </w:p>
    <w:p w14:paraId="29206B0E">
      <w:pPr>
        <w:snapToGrid w:val="0"/>
        <w:spacing w:line="360" w:lineRule="auto"/>
        <w:ind w:left="420" w:firstLine="422" w:firstLineChars="200"/>
        <w:rPr>
          <w:rFonts w:cs="宋体"/>
          <w:szCs w:val="21"/>
        </w:rPr>
      </w:pPr>
      <w:r>
        <w:rPr>
          <w:rFonts w:cs="宋体"/>
          <w:b/>
          <w:bCs/>
          <w:szCs w:val="21"/>
        </w:rPr>
        <w:t>安全可靠的系统架构</w:t>
      </w:r>
      <w:r>
        <w:rPr>
          <w:rFonts w:cs="宋体"/>
          <w:szCs w:val="21"/>
        </w:rPr>
        <w:t>：采用多层次的安全措施，确保数据和视频的安全性和保密性。</w:t>
      </w:r>
    </w:p>
    <w:p w14:paraId="5BB7C962">
      <w:pPr>
        <w:snapToGrid w:val="0"/>
        <w:spacing w:line="360" w:lineRule="auto"/>
        <w:ind w:left="420"/>
        <w:rPr>
          <w:rFonts w:cs="宋体"/>
          <w:szCs w:val="21"/>
        </w:rPr>
      </w:pPr>
    </w:p>
    <w:p w14:paraId="34B59183">
      <w:pPr>
        <w:pStyle w:val="5"/>
        <w:widowControl/>
        <w:spacing w:before="260" w:after="260"/>
        <w:ind w:left="0"/>
      </w:pPr>
      <w:r>
        <w:rPr>
          <w:rFonts w:hint="eastAsia"/>
        </w:rPr>
        <w:t xml:space="preserve"> </w:t>
      </w:r>
      <w:bookmarkStart w:id="128" w:name="_Toc180265598"/>
      <w:r>
        <w:rPr>
          <w:rFonts w:hint="eastAsia"/>
        </w:rPr>
        <w:t>系统微服务拆分方案</w:t>
      </w:r>
      <w:bookmarkEnd w:id="128"/>
    </w:p>
    <w:p w14:paraId="349C316C">
      <w:pPr>
        <w:snapToGrid w:val="0"/>
        <w:jc w:val="center"/>
        <w:rPr>
          <w:rFonts w:cs="宋体"/>
          <w:szCs w:val="21"/>
        </w:rPr>
      </w:pPr>
      <w:r>
        <w:rPr>
          <w:rFonts w:hint="eastAsia"/>
        </w:rPr>
        <w:drawing>
          <wp:inline distT="0" distB="0" distL="114300" distR="114300">
            <wp:extent cx="5930900" cy="4240530"/>
            <wp:effectExtent l="0" t="0" r="12700" b="7620"/>
            <wp:docPr id="259" name="图片 259" descr="ab5ee9ed3a827c70b6059e4ca43ab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descr="ab5ee9ed3a827c70b6059e4ca43abb01"/>
                    <pic:cNvPicPr>
                      <a:picLocks noChangeAspect="1"/>
                    </pic:cNvPicPr>
                  </pic:nvPicPr>
                  <pic:blipFill>
                    <a:blip r:embed="rId103"/>
                    <a:stretch>
                      <a:fillRect/>
                    </a:stretch>
                  </pic:blipFill>
                  <pic:spPr>
                    <a:xfrm>
                      <a:off x="0" y="0"/>
                      <a:ext cx="5930900" cy="4240530"/>
                    </a:xfrm>
                    <a:prstGeom prst="rect">
                      <a:avLst/>
                    </a:prstGeom>
                  </pic:spPr>
                </pic:pic>
              </a:graphicData>
            </a:graphic>
          </wp:inline>
        </w:drawing>
      </w:r>
    </w:p>
    <w:p w14:paraId="6720C61D">
      <w:pPr>
        <w:snapToGrid w:val="0"/>
        <w:ind w:left="420" w:firstLine="420" w:firstLineChars="200"/>
        <w:rPr>
          <w:rFonts w:cs="宋体"/>
          <w:szCs w:val="21"/>
        </w:rPr>
      </w:pPr>
    </w:p>
    <w:p w14:paraId="6F5D241E">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本系统采用先进的云原生设计理念，旨在构建一个高效、灵活、可扩展的容器化应用平台。通过容器化技术和微服务架构的结合，实现应用的模块化、组件化和服务化，提升系统的可维护性和可扩展性。以下将从系统整体架构、容器化技术选择、微服务组成、自动伸缩机制、第三方服务集成等多个方面进行详细阐述。</w:t>
      </w:r>
    </w:p>
    <w:p w14:paraId="633F8E14">
      <w:pPr>
        <w:pStyle w:val="6"/>
        <w:widowControl/>
        <w:spacing w:before="260" w:after="260"/>
        <w:ind w:left="0" w:firstLine="0"/>
        <w:rPr>
          <w:rFonts w:hint="eastAsia" w:ascii="宋体" w:hAnsi="宋体"/>
        </w:rPr>
      </w:pPr>
      <w:bookmarkStart w:id="129" w:name="_Toc180265599"/>
      <w:r>
        <w:rPr>
          <w:rFonts w:hint="eastAsia" w:ascii="宋体" w:hAnsi="宋体"/>
        </w:rPr>
        <w:t>系统整体架构设计</w:t>
      </w:r>
      <w:bookmarkEnd w:id="129"/>
    </w:p>
    <w:p w14:paraId="183A86C9">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整体架构以云原生理念为指导，采用容器化部署方式，所有服务均运行在高可用的服务器集群上。通过容器编排技术，对应用服务进行统一的管理、调度和监控。架构设计充分考虑了系统的可移植性、可扩展性和高可用性，满足跨云平台类型的开发和部署需求。</w:t>
      </w:r>
    </w:p>
    <w:p w14:paraId="1851879E">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容器化部署</w:t>
      </w:r>
    </w:p>
    <w:p w14:paraId="0ACC6D8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容器化技术将应用程序及其依赖的运行环境打包到一个可移植的容器中，确保应用在不同环境下的运行一致性。容器相比传统的</w:t>
      </w:r>
      <w:r>
        <w:rPr>
          <w:rFonts w:hint="eastAsia" w:ascii="宋体" w:hAnsi="宋体" w:eastAsia="宋体" w:cs="宋体"/>
          <w:szCs w:val="21"/>
        </w:rPr>
        <w:t>应用部署方案</w:t>
      </w:r>
      <w:r>
        <w:rPr>
          <w:rFonts w:ascii="宋体" w:hAnsi="宋体" w:eastAsia="宋体" w:cs="宋体"/>
          <w:szCs w:val="21"/>
        </w:rPr>
        <w:t>更加轻量级，启动速度快，占用资源少，非常适合云环境下的应用部署。</w:t>
      </w:r>
    </w:p>
    <w:p w14:paraId="5F927F33">
      <w:pPr>
        <w:snapToGrid w:val="0"/>
        <w:rPr>
          <w:rFonts w:cs="宋体"/>
          <w:szCs w:val="21"/>
        </w:rPr>
      </w:pPr>
      <w:r>
        <w:drawing>
          <wp:inline distT="0" distB="0" distL="0" distR="0">
            <wp:extent cx="5939790" cy="3031490"/>
            <wp:effectExtent l="0" t="0" r="3810" b="16510"/>
            <wp:docPr id="2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939790" cy="3031490"/>
                    </a:xfrm>
                    <a:prstGeom prst="rect">
                      <a:avLst/>
                    </a:prstGeom>
                    <a:noFill/>
                    <a:ln>
                      <a:noFill/>
                    </a:ln>
                  </pic:spPr>
                </pic:pic>
              </a:graphicData>
            </a:graphic>
          </wp:inline>
        </w:drawing>
      </w:r>
    </w:p>
    <w:p w14:paraId="1226B959">
      <w:pPr>
        <w:snapToGrid w:val="0"/>
        <w:ind w:left="420" w:firstLine="300" w:firstLineChars="200"/>
        <w:jc w:val="center"/>
        <w:rPr>
          <w:rFonts w:cs="宋体"/>
          <w:sz w:val="15"/>
          <w:szCs w:val="15"/>
        </w:rPr>
      </w:pPr>
      <w:r>
        <w:rPr>
          <w:rFonts w:hint="eastAsia" w:cs="宋体"/>
          <w:sz w:val="15"/>
          <w:szCs w:val="15"/>
        </w:rPr>
        <w:t>虚拟化部署和容器化部署对比图</w:t>
      </w:r>
    </w:p>
    <w:p w14:paraId="72A13B6F">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服务器集群</w:t>
      </w:r>
    </w:p>
    <w:p w14:paraId="2E7202B1">
      <w:pPr>
        <w:snapToGrid w:val="0"/>
        <w:spacing w:line="360" w:lineRule="auto"/>
        <w:ind w:left="420" w:firstLine="420"/>
        <w:rPr>
          <w:rFonts w:hint="eastAsia" w:ascii="宋体" w:hAnsi="宋体" w:eastAsia="宋体" w:cs="宋体"/>
          <w:szCs w:val="21"/>
        </w:rPr>
      </w:pPr>
      <w:r>
        <w:rPr>
          <w:rFonts w:ascii="宋体" w:hAnsi="宋体" w:eastAsia="宋体" w:cs="宋体"/>
          <w:szCs w:val="21"/>
        </w:rPr>
        <w:t>系统运行在由</w:t>
      </w:r>
      <w:r>
        <w:rPr>
          <w:rFonts w:hint="eastAsia" w:ascii="宋体" w:hAnsi="宋体" w:eastAsia="宋体" w:cs="宋体"/>
          <w:szCs w:val="21"/>
        </w:rPr>
        <w:t>云平台提供的</w:t>
      </w:r>
      <w:r>
        <w:rPr>
          <w:rFonts w:ascii="宋体" w:hAnsi="宋体" w:eastAsia="宋体" w:cs="宋体"/>
          <w:szCs w:val="21"/>
        </w:rPr>
        <w:t>服务器组成的高可用集群上，利用集群的资源调度和负载均衡能力，提高系统的可靠性和可扩展性。集群内的服务器节点可以根据业务需求进行动态的增加或减少，满足系统的弹性扩展需求。</w:t>
      </w:r>
    </w:p>
    <w:p w14:paraId="66DE1365">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容器编排技术</w:t>
      </w:r>
    </w:p>
    <w:p w14:paraId="709AF463">
      <w:pPr>
        <w:snapToGrid w:val="0"/>
        <w:spacing w:line="360" w:lineRule="auto"/>
        <w:ind w:left="420" w:firstLine="420"/>
        <w:rPr>
          <w:rFonts w:hint="eastAsia" w:ascii="宋体" w:hAnsi="宋体" w:eastAsia="宋体" w:cs="宋体"/>
          <w:szCs w:val="21"/>
        </w:rPr>
      </w:pPr>
      <w:r>
        <w:rPr>
          <w:rFonts w:ascii="宋体" w:hAnsi="宋体" w:eastAsia="宋体" w:cs="宋体"/>
          <w:szCs w:val="21"/>
        </w:rPr>
        <w:t>为了对大量的容器进行有效的管理和调度，系统采用容器编排技术。目前主流的容器编排工具包括Kubernetes（K8s）、Docker Swarm等。</w:t>
      </w:r>
    </w:p>
    <w:p w14:paraId="039E6CFC">
      <w:pPr>
        <w:snapToGrid w:val="0"/>
        <w:ind w:left="420" w:firstLine="422" w:firstLineChars="200"/>
        <w:jc w:val="center"/>
        <w:rPr>
          <w:rFonts w:cs="宋体"/>
          <w:b/>
          <w:bCs/>
          <w:szCs w:val="21"/>
        </w:rPr>
      </w:pPr>
      <w:r>
        <w:rPr>
          <w:rFonts w:cs="宋体"/>
          <w:b/>
          <w:bCs/>
          <w:szCs w:val="21"/>
        </w:rPr>
        <w:drawing>
          <wp:inline distT="0" distB="0" distL="0" distR="0">
            <wp:extent cx="1780540" cy="993140"/>
            <wp:effectExtent l="0" t="0" r="10160" b="16510"/>
            <wp:docPr id="2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848780" cy="1030883"/>
                    </a:xfrm>
                    <a:prstGeom prst="rect">
                      <a:avLst/>
                    </a:prstGeom>
                    <a:noFill/>
                  </pic:spPr>
                </pic:pic>
              </a:graphicData>
            </a:graphic>
          </wp:inline>
        </w:drawing>
      </w:r>
      <w:r>
        <w:drawing>
          <wp:inline distT="0" distB="0" distL="0" distR="0">
            <wp:extent cx="1971675" cy="998220"/>
            <wp:effectExtent l="0" t="0" r="9525" b="11430"/>
            <wp:docPr id="2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012275" cy="1019045"/>
                    </a:xfrm>
                    <a:prstGeom prst="rect">
                      <a:avLst/>
                    </a:prstGeom>
                    <a:noFill/>
                    <a:ln>
                      <a:noFill/>
                    </a:ln>
                  </pic:spPr>
                </pic:pic>
              </a:graphicData>
            </a:graphic>
          </wp:inline>
        </w:drawing>
      </w:r>
    </w:p>
    <w:p w14:paraId="6FC7AC20">
      <w:pPr>
        <w:snapToGrid w:val="0"/>
        <w:spacing w:line="360" w:lineRule="auto"/>
        <w:ind w:left="420" w:firstLine="420" w:firstLineChars="200"/>
        <w:rPr>
          <w:rFonts w:cs="宋体"/>
          <w:szCs w:val="21"/>
        </w:rPr>
      </w:pPr>
      <w:r>
        <w:rPr>
          <w:rFonts w:cs="宋体"/>
          <w:szCs w:val="21"/>
        </w:rPr>
        <w:t>容器编排技术是容器化部署的核心，负责容器的部署、扩展、负载均衡和更新等操作。</w:t>
      </w:r>
    </w:p>
    <w:p w14:paraId="5A234AC0">
      <w:pPr>
        <w:snapToGrid w:val="0"/>
        <w:spacing w:line="360" w:lineRule="auto"/>
        <w:ind w:left="420" w:firstLine="420" w:firstLineChars="200"/>
        <w:rPr>
          <w:rFonts w:cs="宋体"/>
          <w:szCs w:val="21"/>
        </w:rPr>
      </w:pPr>
      <w:r>
        <w:rPr>
          <w:rFonts w:cs="宋体"/>
          <w:szCs w:val="21"/>
        </w:rPr>
        <w:t>我们将综合考虑各个编排工具的特点、项目需求、技术栈和后期维护成本，最终选定最适合的容器编排方案。通过容器编排技术的应用，实现对容器化应用的自动化部署、弹性伸缩和高可用保障。</w:t>
      </w:r>
    </w:p>
    <w:p w14:paraId="16F77CCC">
      <w:pPr>
        <w:pStyle w:val="6"/>
        <w:widowControl/>
        <w:spacing w:before="260" w:after="260"/>
        <w:ind w:left="0" w:firstLine="0"/>
      </w:pPr>
      <w:bookmarkStart w:id="130" w:name="_Toc180265600"/>
      <w:r>
        <w:rPr>
          <w:rFonts w:hint="eastAsia"/>
        </w:rPr>
        <w:t>微服务架构设计</w:t>
      </w:r>
      <w:bookmarkEnd w:id="130"/>
    </w:p>
    <w:p w14:paraId="2F7B57CE">
      <w:pPr>
        <w:snapToGrid w:val="0"/>
        <w:spacing w:line="360" w:lineRule="auto"/>
        <w:ind w:left="420" w:firstLine="420" w:firstLineChars="200"/>
        <w:rPr>
          <w:rFonts w:cs="宋体"/>
          <w:szCs w:val="21"/>
        </w:rPr>
      </w:pPr>
      <w:r>
        <w:rPr>
          <w:rFonts w:cs="宋体"/>
          <w:szCs w:val="21"/>
        </w:rPr>
        <w:t>系统采用微服务架构，将整个应用拆分为多个独立的服务模块，每个模块都专注于完成特定的业务功能。微服务架构的优势在于模块之间松耦合，方便开发、部署和扩展，提高了系统的灵活性和可维护性。</w:t>
      </w:r>
    </w:p>
    <w:p w14:paraId="29E44E6F">
      <w:pPr>
        <w:snapToGrid w:val="0"/>
        <w:rPr>
          <w:rFonts w:cs="宋体"/>
          <w:szCs w:val="21"/>
        </w:rPr>
      </w:pPr>
      <w:r>
        <w:rPr>
          <w:rFonts w:cs="宋体"/>
          <w:szCs w:val="21"/>
        </w:rPr>
        <w:drawing>
          <wp:inline distT="0" distB="0" distL="0" distR="0">
            <wp:extent cx="5915025" cy="3248025"/>
            <wp:effectExtent l="0" t="0" r="9525" b="9525"/>
            <wp:docPr id="2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915025" cy="3248025"/>
                    </a:xfrm>
                    <a:prstGeom prst="rect">
                      <a:avLst/>
                    </a:prstGeom>
                    <a:noFill/>
                  </pic:spPr>
                </pic:pic>
              </a:graphicData>
            </a:graphic>
          </wp:inline>
        </w:drawing>
      </w:r>
    </w:p>
    <w:p w14:paraId="36A1AE93">
      <w:pPr>
        <w:snapToGrid w:val="0"/>
        <w:ind w:left="420"/>
        <w:rPr>
          <w:rFonts w:cs="宋体"/>
          <w:b/>
          <w:bCs/>
          <w:szCs w:val="21"/>
        </w:rPr>
      </w:pPr>
    </w:p>
    <w:p w14:paraId="73B3045B">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业务服务</w:t>
      </w:r>
    </w:p>
    <w:p w14:paraId="35BB17C9">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业务服务是系统的核心，负责实现具体的业务功能。主要包括：</w:t>
      </w:r>
    </w:p>
    <w:p w14:paraId="658C564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招标服务</w:t>
      </w:r>
      <w:r>
        <w:rPr>
          <w:rFonts w:ascii="宋体" w:hAnsi="宋体" w:eastAsia="宋体" w:cs="宋体"/>
          <w:szCs w:val="21"/>
        </w:rPr>
        <w:t>：负责发布</w:t>
      </w:r>
      <w:r>
        <w:rPr>
          <w:rFonts w:hint="eastAsia" w:ascii="宋体" w:hAnsi="宋体" w:eastAsia="宋体" w:cs="宋体"/>
          <w:szCs w:val="21"/>
        </w:rPr>
        <w:t>和管理</w:t>
      </w:r>
      <w:r>
        <w:rPr>
          <w:rFonts w:ascii="宋体" w:hAnsi="宋体" w:eastAsia="宋体" w:cs="宋体"/>
          <w:szCs w:val="21"/>
        </w:rPr>
        <w:t>招标信息，</w:t>
      </w:r>
      <w:r>
        <w:rPr>
          <w:rFonts w:hint="eastAsia" w:ascii="宋体" w:hAnsi="宋体" w:eastAsia="宋体" w:cs="宋体"/>
          <w:szCs w:val="21"/>
        </w:rPr>
        <w:t>覆盖整个招标过程</w:t>
      </w:r>
      <w:r>
        <w:rPr>
          <w:rFonts w:ascii="宋体" w:hAnsi="宋体" w:eastAsia="宋体" w:cs="宋体"/>
          <w:szCs w:val="21"/>
        </w:rPr>
        <w:t>。</w:t>
      </w:r>
    </w:p>
    <w:p w14:paraId="53D5EC7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投标服务</w:t>
      </w:r>
      <w:r>
        <w:rPr>
          <w:rFonts w:ascii="宋体" w:hAnsi="宋体" w:eastAsia="宋体" w:cs="宋体"/>
          <w:szCs w:val="21"/>
        </w:rPr>
        <w:t>：提供投标信息的提交、查询和管理功能</w:t>
      </w:r>
      <w:r>
        <w:rPr>
          <w:rFonts w:hint="eastAsia" w:ascii="宋体" w:hAnsi="宋体" w:eastAsia="宋体" w:cs="宋体"/>
          <w:szCs w:val="21"/>
        </w:rPr>
        <w:t>，同时包括投标过程中的其他支持服务</w:t>
      </w:r>
      <w:r>
        <w:rPr>
          <w:rFonts w:ascii="宋体" w:hAnsi="宋体" w:eastAsia="宋体" w:cs="宋体"/>
          <w:szCs w:val="21"/>
        </w:rPr>
        <w:t>。</w:t>
      </w:r>
    </w:p>
    <w:p w14:paraId="50DD0D1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开标服务</w:t>
      </w:r>
      <w:r>
        <w:rPr>
          <w:rFonts w:ascii="宋体" w:hAnsi="宋体" w:eastAsia="宋体" w:cs="宋体"/>
          <w:szCs w:val="21"/>
        </w:rPr>
        <w:t>：负责开标过程的管理和信息展示</w:t>
      </w:r>
      <w:r>
        <w:rPr>
          <w:rFonts w:hint="eastAsia" w:ascii="宋体" w:hAnsi="宋体" w:eastAsia="宋体" w:cs="宋体"/>
          <w:szCs w:val="21"/>
        </w:rPr>
        <w:t>，服务于开标过程中的所有角色</w:t>
      </w:r>
      <w:r>
        <w:rPr>
          <w:rFonts w:ascii="宋体" w:hAnsi="宋体" w:eastAsia="宋体" w:cs="宋体"/>
          <w:szCs w:val="21"/>
        </w:rPr>
        <w:t>。</w:t>
      </w:r>
    </w:p>
    <w:p w14:paraId="4B4CC56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评标服务</w:t>
      </w:r>
      <w:r>
        <w:rPr>
          <w:rFonts w:ascii="宋体" w:hAnsi="宋体" w:eastAsia="宋体" w:cs="宋体"/>
          <w:szCs w:val="21"/>
        </w:rPr>
        <w:t>：实现评标流程的管理，支持多种评标方式。</w:t>
      </w:r>
    </w:p>
    <w:p w14:paraId="5B3D351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定标服务</w:t>
      </w:r>
      <w:r>
        <w:rPr>
          <w:rFonts w:ascii="宋体" w:hAnsi="宋体" w:eastAsia="宋体" w:cs="宋体"/>
          <w:szCs w:val="21"/>
        </w:rPr>
        <w:t>：负责定标结果的确认和通知。</w:t>
      </w:r>
    </w:p>
    <w:p w14:paraId="562B84AE">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归档服务</w:t>
      </w:r>
      <w:r>
        <w:rPr>
          <w:rFonts w:hint="eastAsia" w:ascii="宋体" w:hAnsi="宋体" w:eastAsia="宋体" w:cs="宋体"/>
          <w:szCs w:val="21"/>
        </w:rPr>
        <w:t>：负责项目的档案管理和移交等。</w:t>
      </w:r>
    </w:p>
    <w:p w14:paraId="5E8DFDAC">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公共服务</w:t>
      </w:r>
    </w:p>
    <w:p w14:paraId="08498FFF">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除了业务服务外，系统还包括一系列的公共服务，提供基础支持和通用功能：</w:t>
      </w:r>
    </w:p>
    <w:p w14:paraId="0925DB5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用户服务</w:t>
      </w:r>
      <w:r>
        <w:rPr>
          <w:rFonts w:ascii="宋体" w:hAnsi="宋体" w:eastAsia="宋体" w:cs="宋体"/>
          <w:szCs w:val="21"/>
        </w:rPr>
        <w:t>：管理用户的注册、登录、信息维护等。</w:t>
      </w:r>
    </w:p>
    <w:p w14:paraId="0C5B7650">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支付服务</w:t>
      </w:r>
      <w:r>
        <w:rPr>
          <w:rFonts w:hint="eastAsia" w:ascii="宋体" w:hAnsi="宋体" w:eastAsia="宋体" w:cs="宋体"/>
          <w:szCs w:val="21"/>
        </w:rPr>
        <w:t>：负责系统所有支付业务，提供支付渠道的统一管理和接入。</w:t>
      </w:r>
    </w:p>
    <w:p w14:paraId="2BD6A44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统一认证服务</w:t>
      </w:r>
      <w:r>
        <w:rPr>
          <w:rFonts w:ascii="宋体" w:hAnsi="宋体" w:eastAsia="宋体" w:cs="宋体"/>
          <w:szCs w:val="21"/>
        </w:rPr>
        <w:t>：提供统一的身份认证和授权功能，确保系统的安全性。</w:t>
      </w:r>
    </w:p>
    <w:p w14:paraId="6468B04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权限管理服务</w:t>
      </w:r>
      <w:r>
        <w:rPr>
          <w:rFonts w:ascii="宋体" w:hAnsi="宋体" w:eastAsia="宋体" w:cs="宋体"/>
          <w:szCs w:val="21"/>
        </w:rPr>
        <w:t>：负责用户权限的分配和管理，支持细粒度的权限控制。</w:t>
      </w:r>
    </w:p>
    <w:p w14:paraId="1F404D8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日志审计服务</w:t>
      </w:r>
      <w:r>
        <w:rPr>
          <w:rFonts w:ascii="宋体" w:hAnsi="宋体" w:eastAsia="宋体" w:cs="宋体"/>
          <w:szCs w:val="21"/>
        </w:rPr>
        <w:t>：记录系统的操作日志，提供审计和追溯功能。</w:t>
      </w:r>
    </w:p>
    <w:p w14:paraId="00EAAF1A">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配置中心</w:t>
      </w:r>
      <w:r>
        <w:rPr>
          <w:rFonts w:ascii="宋体" w:hAnsi="宋体" w:eastAsia="宋体" w:cs="宋体"/>
          <w:szCs w:val="21"/>
        </w:rPr>
        <w:t>：集中管理系统的配置项，支持配置的动态更新和推送。</w:t>
      </w:r>
    </w:p>
    <w:p w14:paraId="464C2C5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消息队列服务</w:t>
      </w:r>
      <w:r>
        <w:rPr>
          <w:rFonts w:ascii="宋体" w:hAnsi="宋体" w:eastAsia="宋体" w:cs="宋体"/>
          <w:szCs w:val="21"/>
        </w:rPr>
        <w:t>：实现服务之间的异步通信，解耦服务，提升系统的可扩展性。</w:t>
      </w:r>
    </w:p>
    <w:p w14:paraId="734F0DA1">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存储服务</w:t>
      </w:r>
      <w:r>
        <w:rPr>
          <w:rFonts w:hint="eastAsia" w:ascii="宋体" w:hAnsi="宋体" w:eastAsia="宋体" w:cs="宋体"/>
          <w:szCs w:val="21"/>
        </w:rPr>
        <w:t>：负责各个服务的持久化数据存储，为所有的应用提供基础的数据存储和管理查询服务。</w:t>
      </w:r>
    </w:p>
    <w:p w14:paraId="3ACACBFB">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微服务治理组件</w:t>
      </w:r>
    </w:p>
    <w:p w14:paraId="110024A4">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为保障微服务的稳定运行和高效管理，系统引入了一系列的微服务治理组件：</w:t>
      </w:r>
    </w:p>
    <w:p w14:paraId="4D8A73D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服务注册与发现</w:t>
      </w:r>
      <w:r>
        <w:rPr>
          <w:rFonts w:ascii="宋体" w:hAnsi="宋体" w:eastAsia="宋体" w:cs="宋体"/>
          <w:szCs w:val="21"/>
        </w:rPr>
        <w:t>：通过服务注册中心（如</w:t>
      </w:r>
      <w:r>
        <w:rPr>
          <w:rFonts w:hint="eastAsia" w:ascii="宋体" w:hAnsi="宋体" w:eastAsia="宋体" w:cs="宋体"/>
          <w:szCs w:val="21"/>
        </w:rPr>
        <w:t>Nacos</w:t>
      </w:r>
      <w:r>
        <w:rPr>
          <w:rFonts w:ascii="宋体" w:hAnsi="宋体" w:eastAsia="宋体" w:cs="宋体"/>
          <w:szCs w:val="21"/>
        </w:rPr>
        <w:t>、Eureka等），实现服务的自动注册和发现，支持负载均衡和故障转移。</w:t>
      </w:r>
    </w:p>
    <w:p w14:paraId="538B6EF3">
      <w:pPr>
        <w:snapToGrid w:val="0"/>
        <w:ind w:left="420" w:firstLine="420"/>
        <w:rPr>
          <w:rFonts w:cs="宋体"/>
          <w:szCs w:val="21"/>
        </w:rPr>
      </w:pPr>
      <w:r>
        <w:drawing>
          <wp:inline distT="0" distB="0" distL="0" distR="0">
            <wp:extent cx="1732915" cy="798195"/>
            <wp:effectExtent l="0" t="0" r="635" b="1905"/>
            <wp:docPr id="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
                    <pic:cNvPicPr>
                      <a:picLocks noChangeAspect="1"/>
                    </pic:cNvPicPr>
                  </pic:nvPicPr>
                  <pic:blipFill>
                    <a:blip r:embed="rId108"/>
                    <a:stretch>
                      <a:fillRect/>
                    </a:stretch>
                  </pic:blipFill>
                  <pic:spPr>
                    <a:xfrm>
                      <a:off x="0" y="0"/>
                      <a:ext cx="1750666" cy="806721"/>
                    </a:xfrm>
                    <a:prstGeom prst="rect">
                      <a:avLst/>
                    </a:prstGeom>
                  </pic:spPr>
                </pic:pic>
              </a:graphicData>
            </a:graphic>
          </wp:inline>
        </w:drawing>
      </w:r>
      <w:r>
        <w:rPr>
          <w:rFonts w:cs="宋体"/>
          <w:szCs w:val="21"/>
        </w:rPr>
        <w:drawing>
          <wp:inline distT="0" distB="0" distL="0" distR="0">
            <wp:extent cx="3593465" cy="770255"/>
            <wp:effectExtent l="0" t="0" r="6985" b="10795"/>
            <wp:docPr id="2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3612234" cy="774582"/>
                    </a:xfrm>
                    <a:prstGeom prst="rect">
                      <a:avLst/>
                    </a:prstGeom>
                    <a:noFill/>
                  </pic:spPr>
                </pic:pic>
              </a:graphicData>
            </a:graphic>
          </wp:inline>
        </w:drawing>
      </w:r>
    </w:p>
    <w:p w14:paraId="272C4AAD">
      <w:pPr>
        <w:snapToGrid w:val="0"/>
        <w:ind w:left="420" w:firstLine="420"/>
        <w:jc w:val="center"/>
        <w:rPr>
          <w:rFonts w:cs="宋体"/>
          <w:sz w:val="15"/>
          <w:szCs w:val="15"/>
        </w:rPr>
      </w:pPr>
    </w:p>
    <w:p w14:paraId="6939A5F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网关服务</w:t>
      </w:r>
      <w:r>
        <w:rPr>
          <w:rFonts w:ascii="宋体" w:hAnsi="宋体" w:eastAsia="宋体" w:cs="宋体"/>
          <w:szCs w:val="21"/>
        </w:rPr>
        <w:t>：统一对外提供API接口，实现路由、负载均衡、协议转换、限流、鉴权等功能。</w:t>
      </w:r>
    </w:p>
    <w:p w14:paraId="63A1BE4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熔断和限流</w:t>
      </w:r>
      <w:r>
        <w:rPr>
          <w:rFonts w:ascii="宋体" w:hAnsi="宋体" w:eastAsia="宋体" w:cs="宋体"/>
          <w:szCs w:val="21"/>
        </w:rPr>
        <w:t>：通过熔断器（如Hystrix）和限流器，防止服务雪崩，保障系统的稳定性。</w:t>
      </w:r>
    </w:p>
    <w:p w14:paraId="4F0D0AF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分布式追踪</w:t>
      </w:r>
      <w:r>
        <w:rPr>
          <w:rFonts w:ascii="宋体" w:hAnsi="宋体" w:eastAsia="宋体" w:cs="宋体"/>
          <w:szCs w:val="21"/>
        </w:rPr>
        <w:t>：使用Zipkin、Jaeger等工具，实现服务调用链的跟踪，方便故障排查。</w:t>
      </w:r>
    </w:p>
    <w:p w14:paraId="426BBFB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监控和报警</w:t>
      </w:r>
      <w:r>
        <w:rPr>
          <w:rFonts w:ascii="宋体" w:hAnsi="宋体" w:eastAsia="宋体" w:cs="宋体"/>
          <w:szCs w:val="21"/>
        </w:rPr>
        <w:t>：引入Prometheus、Grafana等监控工具，实时监控系统的性能指标，设置报警规则，及时发现并处理异常。</w:t>
      </w:r>
    </w:p>
    <w:p w14:paraId="3AA78D1A">
      <w:pPr>
        <w:pStyle w:val="6"/>
        <w:widowControl/>
        <w:spacing w:before="260" w:after="260"/>
        <w:ind w:left="0" w:firstLine="0"/>
        <w:rPr>
          <w:rFonts w:hint="eastAsia" w:ascii="宋体" w:hAnsi="宋体"/>
        </w:rPr>
      </w:pPr>
      <w:bookmarkStart w:id="131" w:name="_Toc180265601"/>
      <w:r>
        <w:rPr>
          <w:rFonts w:hint="eastAsia" w:ascii="宋体" w:hAnsi="宋体"/>
        </w:rPr>
        <w:t>自动伸缩机制设计</w:t>
      </w:r>
      <w:bookmarkEnd w:id="131"/>
    </w:p>
    <w:p w14:paraId="48DCF74F">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为了应对业务量的动态变化，系统需要具备自动伸缩的能力。通过容器编排技术和自动伸缩策略的结合，实现根据实时负载情况，对服务实例进行自动的扩容或缩容，达到“削峰填谷”的效果。</w:t>
      </w:r>
    </w:p>
    <w:p w14:paraId="60087BDF">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负载监控</w:t>
      </w:r>
    </w:p>
    <w:p w14:paraId="4085029D">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系统持续监控各个服务的运行指标，包括CPU使用率、内存占用、网络流量、请求响应时间、队列长度等。通过Prometheus等监控工具，收集和分析实时的性能数据，为自动伸缩策略提供数据支持。</w:t>
      </w:r>
    </w:p>
    <w:p w14:paraId="49C20A64">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自动伸缩策略</w:t>
      </w:r>
    </w:p>
    <w:p w14:paraId="34157180">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根据业务需求和服务特点，预先设定自动伸缩的触发阈值和规则。例如：</w:t>
      </w:r>
    </w:p>
    <w:p w14:paraId="35B006CE">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当某个服务的CPU使用率持续超过80%时，自动增加1个实例。</w:t>
      </w:r>
    </w:p>
    <w:p w14:paraId="3D01D55E">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当请求响应时间超过设定的阈值时，触发扩容操作。</w:t>
      </w:r>
    </w:p>
    <w:p w14:paraId="0A634A66">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当队列长度超过设定值时，增加消费者实例数。</w:t>
      </w:r>
    </w:p>
    <w:p w14:paraId="1E29D6F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自动伸缩策略可以是基于单一指标的简单规则，也可以是基于多指标的复杂策略，甚至利用机器学习算法进行预测性伸缩。</w:t>
      </w:r>
      <w:r>
        <w:rPr>
          <w:rFonts w:hint="eastAsia" w:ascii="宋体" w:hAnsi="宋体" w:eastAsia="宋体" w:cs="宋体"/>
          <w:szCs w:val="21"/>
        </w:rPr>
        <w:t>系统将会结合招标人实际的用量需求来设计自动伸缩策略，保证系统的负载可以满足招标人的系统性能要求。</w:t>
      </w:r>
    </w:p>
    <w:p w14:paraId="46288624">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伸缩执行</w:t>
      </w:r>
    </w:p>
    <w:p w14:paraId="1BAEE6B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当监控系统检测到触发条件满足时，容器编排平台自动执行伸缩操作：</w:t>
      </w:r>
    </w:p>
    <w:p w14:paraId="1FD52FC7">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扩容</w:t>
      </w:r>
      <w:r>
        <w:rPr>
          <w:rFonts w:ascii="宋体" w:hAnsi="宋体" w:eastAsia="宋体" w:cs="宋体"/>
          <w:szCs w:val="21"/>
        </w:rPr>
        <w:t>：启动新的容器实例，加入到服务集群中，均衡分担负载。</w:t>
      </w:r>
    </w:p>
    <w:p w14:paraId="5096BB7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缩容</w:t>
      </w:r>
      <w:r>
        <w:rPr>
          <w:rFonts w:ascii="宋体" w:hAnsi="宋体" w:eastAsia="宋体" w:cs="宋体"/>
          <w:szCs w:val="21"/>
        </w:rPr>
        <w:t>：当负载降低时，自动停止多余的容器实例，释放资源。</w:t>
      </w:r>
    </w:p>
    <w:p w14:paraId="41A2735C">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通过自动伸缩机制，系统能够在业务高峰期快速响应，提供足够的处理能力；在业务低谷期，减少资源占用，降低运营成本。</w:t>
      </w:r>
    </w:p>
    <w:p w14:paraId="103073EE">
      <w:pPr>
        <w:pStyle w:val="6"/>
        <w:widowControl/>
        <w:spacing w:before="260" w:after="260"/>
        <w:ind w:left="0" w:firstLine="0"/>
        <w:rPr>
          <w:rFonts w:hint="eastAsia" w:ascii="宋体" w:hAnsi="宋体"/>
        </w:rPr>
      </w:pPr>
      <w:bookmarkStart w:id="132" w:name="_Toc180265602"/>
      <w:r>
        <w:rPr>
          <w:rFonts w:hint="eastAsia" w:ascii="宋体" w:hAnsi="宋体"/>
        </w:rPr>
        <w:t>灰度发布和持续交付</w:t>
      </w:r>
      <w:bookmarkEnd w:id="132"/>
    </w:p>
    <w:p w14:paraId="2DDC2D5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为了在不影响业务运行的情况下，平滑地进行系统更新和功能发布，系统采用灰度发布和持续交付（CI/CD）策略。</w:t>
      </w:r>
    </w:p>
    <w:p w14:paraId="72C3CE5F">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灰度发布</w:t>
      </w:r>
    </w:p>
    <w:p w14:paraId="5CD11110">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系统通过</w:t>
      </w:r>
      <w:r>
        <w:rPr>
          <w:rFonts w:ascii="宋体" w:hAnsi="宋体" w:eastAsia="宋体" w:cs="宋体"/>
          <w:szCs w:val="21"/>
        </w:rPr>
        <w:t>灰度发布</w:t>
      </w:r>
      <w:r>
        <w:rPr>
          <w:rFonts w:hint="eastAsia" w:ascii="宋体" w:hAnsi="宋体" w:eastAsia="宋体" w:cs="宋体"/>
          <w:szCs w:val="21"/>
        </w:rPr>
        <w:t>实现当</w:t>
      </w:r>
      <w:r>
        <w:rPr>
          <w:rFonts w:ascii="宋体" w:hAnsi="宋体" w:eastAsia="宋体" w:cs="宋体"/>
          <w:szCs w:val="21"/>
        </w:rPr>
        <w:t>新版本上线时，只让一部分用户访问新版本，其余用户仍然使用旧版本。通过逐步增加新版本的用户比例，验证新版本的稳定性，最终全面替换旧版本。</w:t>
      </w:r>
    </w:p>
    <w:p w14:paraId="5B888B12">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我们将支持如下方法</w:t>
      </w:r>
      <w:r>
        <w:rPr>
          <w:rFonts w:ascii="宋体" w:hAnsi="宋体" w:eastAsia="宋体" w:cs="宋体"/>
          <w:szCs w:val="21"/>
        </w:rPr>
        <w:t>实现灰度发布：</w:t>
      </w:r>
    </w:p>
    <w:p w14:paraId="204C1FD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按用户分组</w:t>
      </w:r>
      <w:r>
        <w:rPr>
          <w:rFonts w:ascii="宋体" w:hAnsi="宋体" w:eastAsia="宋体" w:cs="宋体"/>
          <w:szCs w:val="21"/>
        </w:rPr>
        <w:t>：根据用户属性（如地区、用户类型）分配不同的版本。</w:t>
      </w:r>
    </w:p>
    <w:p w14:paraId="236E169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按流量比例</w:t>
      </w:r>
      <w:r>
        <w:rPr>
          <w:rFonts w:ascii="宋体" w:hAnsi="宋体" w:eastAsia="宋体" w:cs="宋体"/>
          <w:szCs w:val="21"/>
        </w:rPr>
        <w:t>：控制新旧版本的流量占比，逐步增加新版本的流量。</w:t>
      </w:r>
    </w:p>
    <w:p w14:paraId="5166052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蓝绿部署</w:t>
      </w:r>
      <w:r>
        <w:rPr>
          <w:rFonts w:ascii="宋体" w:hAnsi="宋体" w:eastAsia="宋体" w:cs="宋体"/>
          <w:szCs w:val="21"/>
        </w:rPr>
        <w:t>：同时运行两个版本的应用，切换流量指向。</w:t>
      </w:r>
    </w:p>
    <w:p w14:paraId="51E1C3D9">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持续集成和持续交付</w:t>
      </w:r>
    </w:p>
    <w:p w14:paraId="5D234BA0">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通过建立CI/CD流水线，实现代码的自动构建、测试和部署。主要步骤包括：</w:t>
      </w:r>
    </w:p>
    <w:p w14:paraId="2E19134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代码提交</w:t>
      </w:r>
      <w:r>
        <w:rPr>
          <w:rFonts w:ascii="宋体" w:hAnsi="宋体" w:eastAsia="宋体" w:cs="宋体"/>
          <w:szCs w:val="21"/>
        </w:rPr>
        <w:t>：开发人员将代码提交到版本控制系统。</w:t>
      </w:r>
    </w:p>
    <w:p w14:paraId="1304DEE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自动构建</w:t>
      </w:r>
      <w:r>
        <w:rPr>
          <w:rFonts w:ascii="宋体" w:hAnsi="宋体" w:eastAsia="宋体" w:cs="宋体"/>
          <w:szCs w:val="21"/>
        </w:rPr>
        <w:t>：触发构建服务器（如Jenkins）进行代码编译和打包。</w:t>
      </w:r>
    </w:p>
    <w:p w14:paraId="3CE7735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自动测试</w:t>
      </w:r>
      <w:r>
        <w:rPr>
          <w:rFonts w:ascii="宋体" w:hAnsi="宋体" w:eastAsia="宋体" w:cs="宋体"/>
          <w:szCs w:val="21"/>
        </w:rPr>
        <w:t>：运行单元测试、集成测试，确保代码质量。</w:t>
      </w:r>
    </w:p>
    <w:p w14:paraId="1641D33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镜像构建</w:t>
      </w:r>
      <w:r>
        <w:rPr>
          <w:rFonts w:ascii="宋体" w:hAnsi="宋体" w:eastAsia="宋体" w:cs="宋体"/>
          <w:szCs w:val="21"/>
        </w:rPr>
        <w:t>：将应用打包为容器镜像，上传到镜像仓库。</w:t>
      </w:r>
    </w:p>
    <w:p w14:paraId="765188D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自动部署</w:t>
      </w:r>
      <w:r>
        <w:rPr>
          <w:rFonts w:ascii="宋体" w:hAnsi="宋体" w:eastAsia="宋体" w:cs="宋体"/>
          <w:szCs w:val="21"/>
        </w:rPr>
        <w:t>：容器编排平台拉取新镜像，执行部署策略。</w:t>
      </w:r>
    </w:p>
    <w:p w14:paraId="30FAF34D">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持续交付加快了新功能的上线速度，提高了开发效率，同时降低了发布风险。</w:t>
      </w:r>
    </w:p>
    <w:p w14:paraId="26549323">
      <w:pPr>
        <w:pStyle w:val="6"/>
        <w:widowControl/>
        <w:spacing w:before="260" w:after="260"/>
        <w:ind w:left="0" w:firstLine="0"/>
        <w:rPr>
          <w:rFonts w:hint="eastAsia" w:ascii="宋体" w:hAnsi="宋体"/>
        </w:rPr>
      </w:pPr>
      <w:bookmarkStart w:id="133" w:name="_Toc180265603"/>
      <w:r>
        <w:rPr>
          <w:rFonts w:hint="eastAsia" w:ascii="宋体" w:hAnsi="宋体"/>
        </w:rPr>
        <w:t>跨云平台部署和迁移</w:t>
      </w:r>
      <w:bookmarkEnd w:id="133"/>
    </w:p>
    <w:p w14:paraId="159D681B">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为了满足系统的可移植性和灵活性，系统设计支持跨云平台的部署和迁移。通过容器化和基础设施即代码（Infrastructure as Code）的实践，实现对不同云平台的支持。</w:t>
      </w:r>
    </w:p>
    <w:p w14:paraId="52AF84B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容器化的可移植性</w:t>
      </w:r>
    </w:p>
    <w:p w14:paraId="3284119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容器封装了应用和其依赖的环境，确保在不同的主机和云平台上运行一致。无论是在公有云、私有云还是混合云环境下，容器都能保证应用的可移植性。</w:t>
      </w:r>
    </w:p>
    <w:p w14:paraId="0FA399E9">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（2）</w:t>
      </w:r>
      <w:r>
        <w:rPr>
          <w:rFonts w:ascii="宋体" w:hAnsi="宋体" w:eastAsia="宋体" w:cs="宋体"/>
          <w:b/>
          <w:bCs/>
          <w:szCs w:val="21"/>
        </w:rPr>
        <w:t>基础设施即代码</w:t>
      </w:r>
    </w:p>
    <w:p w14:paraId="1254412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通过将基础设施配置为代码，统一管理和部署云资源。这样可以在不同的云平台上快速搭建相同的基础设施环境，方便应用的部署和迁移。</w:t>
      </w:r>
    </w:p>
    <w:p w14:paraId="455385C0">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云平台适配</w:t>
      </w:r>
    </w:p>
    <w:p w14:paraId="303EECC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在设计中考虑到云平台的差异，抽象出通用的接口和适配层，屏蔽底层差异，确保应用能够在不同的云环境中无缝运行。</w:t>
      </w:r>
    </w:p>
    <w:p w14:paraId="790E091F">
      <w:pPr>
        <w:pStyle w:val="6"/>
        <w:widowControl/>
        <w:spacing w:before="260" w:after="260"/>
        <w:ind w:left="0" w:firstLine="0"/>
        <w:rPr>
          <w:rFonts w:hint="eastAsia" w:ascii="宋体" w:hAnsi="宋体"/>
        </w:rPr>
      </w:pPr>
      <w:bookmarkStart w:id="134" w:name="_Toc180265604"/>
      <w:r>
        <w:rPr>
          <w:rFonts w:hint="eastAsia" w:ascii="宋体" w:hAnsi="宋体"/>
        </w:rPr>
        <w:t>第三方服务集成</w:t>
      </w:r>
      <w:bookmarkEnd w:id="134"/>
    </w:p>
    <w:p w14:paraId="2A80D60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系统在运行过程中，需要依赖多种第三方API和服务，以提供丰富的功能和更好的用户体验。</w:t>
      </w:r>
    </w:p>
    <w:p w14:paraId="2B9EEC5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对比查重服务</w:t>
      </w:r>
    </w:p>
    <w:p w14:paraId="0ADE52E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用于检测文档或内容的相似度，防止重复或抄袭。集成对比查重服务，可以在招标文件、投标文件中检测重复内容，保障信息的原创性和合法性。</w:t>
      </w:r>
    </w:p>
    <w:p w14:paraId="0E1F145B">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股权穿透服务</w:t>
      </w:r>
    </w:p>
    <w:p w14:paraId="595C8F8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通过股权穿透查询，深入了解企业的股权结构和关联关系，帮助评标人员全面评估投标企业的背景和实力。</w:t>
      </w:r>
    </w:p>
    <w:p w14:paraId="4EFABE74">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SMS短信服务和邮件服务</w:t>
      </w:r>
    </w:p>
    <w:p w14:paraId="04693984">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用于发送通知、验证码、提醒等消息，提升用户的互动体验。系统通过集成第三方的短信和邮件服务，确保消息的及时发送和高到达率。</w:t>
      </w:r>
    </w:p>
    <w:p w14:paraId="53D03A78">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4</w:t>
      </w:r>
      <w:r>
        <w:rPr>
          <w:rFonts w:hint="eastAsia" w:ascii="宋体" w:hAnsi="宋体" w:eastAsia="宋体" w:cs="宋体"/>
          <w:b/>
          <w:bCs/>
          <w:szCs w:val="21"/>
        </w:rPr>
        <w:t>）</w:t>
      </w:r>
      <w:r>
        <w:rPr>
          <w:rFonts w:ascii="宋体" w:hAnsi="宋体" w:eastAsia="宋体" w:cs="宋体"/>
          <w:b/>
          <w:bCs/>
          <w:szCs w:val="21"/>
        </w:rPr>
        <w:t xml:space="preserve"> 企业信息查询服务</w:t>
      </w:r>
    </w:p>
    <w:p w14:paraId="765FEC4D">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提供企业的工商注册信息、信用信息等查询功能，帮助招标方和投标方获取权威的企业信息，支持业务决策。</w:t>
      </w:r>
    </w:p>
    <w:p w14:paraId="58F93697">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5</w:t>
      </w:r>
      <w:r>
        <w:rPr>
          <w:rFonts w:hint="eastAsia" w:ascii="宋体" w:hAnsi="宋体" w:eastAsia="宋体" w:cs="宋体"/>
          <w:b/>
          <w:bCs/>
          <w:szCs w:val="21"/>
        </w:rPr>
        <w:t>）</w:t>
      </w:r>
      <w:r>
        <w:rPr>
          <w:rFonts w:ascii="宋体" w:hAnsi="宋体" w:eastAsia="宋体" w:cs="宋体"/>
          <w:b/>
          <w:bCs/>
          <w:szCs w:val="21"/>
        </w:rPr>
        <w:t xml:space="preserve"> 第三方服务的集成方式</w:t>
      </w:r>
    </w:p>
    <w:p w14:paraId="6BB018FE">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API接口调用</w:t>
      </w:r>
      <w:r>
        <w:rPr>
          <w:rFonts w:ascii="宋体" w:hAnsi="宋体" w:eastAsia="宋体" w:cs="宋体"/>
          <w:szCs w:val="21"/>
        </w:rPr>
        <w:t>：通过标准的HTTP/HTTPS协议，按照第三方服务提供的API文档，进行接口对接</w:t>
      </w:r>
      <w:r>
        <w:rPr>
          <w:rFonts w:hint="eastAsia" w:ascii="宋体" w:hAnsi="宋体" w:eastAsia="宋体" w:cs="宋体"/>
          <w:szCs w:val="21"/>
        </w:rPr>
        <w:t>。</w:t>
      </w:r>
    </w:p>
    <w:p w14:paraId="5DBBB5D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SDK集成</w:t>
      </w:r>
      <w:r>
        <w:rPr>
          <w:rFonts w:ascii="宋体" w:hAnsi="宋体" w:eastAsia="宋体" w:cs="宋体"/>
          <w:szCs w:val="21"/>
        </w:rPr>
        <w:t>：如果第三方提供了SDK，可以直接集成到系统中，简化开发工作。</w:t>
      </w:r>
    </w:p>
    <w:p w14:paraId="053B025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安全性考虑</w:t>
      </w:r>
      <w:r>
        <w:rPr>
          <w:rFonts w:ascii="宋体" w:hAnsi="宋体" w:eastAsia="宋体" w:cs="宋体"/>
          <w:szCs w:val="21"/>
        </w:rPr>
        <w:t>：在调用第三方API时，注意鉴权、数据加密等安全措施，保护敏感信息。</w:t>
      </w:r>
    </w:p>
    <w:p w14:paraId="43D5C7A1">
      <w:pPr>
        <w:pStyle w:val="6"/>
        <w:widowControl/>
        <w:spacing w:before="260" w:after="260"/>
        <w:ind w:left="0" w:firstLine="0"/>
        <w:rPr>
          <w:rFonts w:hint="eastAsia" w:ascii="宋体" w:hAnsi="宋体"/>
        </w:rPr>
      </w:pPr>
      <w:bookmarkStart w:id="135" w:name="_Toc180265605"/>
      <w:r>
        <w:rPr>
          <w:rFonts w:hint="eastAsia" w:ascii="宋体" w:hAnsi="宋体"/>
        </w:rPr>
        <w:t>私有化部署和安全防护</w:t>
      </w:r>
      <w:bookmarkEnd w:id="135"/>
    </w:p>
    <w:p w14:paraId="7B58474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为了满足数据安全和合规性的要求，系统</w:t>
      </w:r>
      <w:r>
        <w:rPr>
          <w:rFonts w:hint="eastAsia" w:ascii="宋体" w:hAnsi="宋体" w:eastAsia="宋体" w:cs="宋体"/>
          <w:szCs w:val="21"/>
        </w:rPr>
        <w:t>将根据实际情况和招标人的要求</w:t>
      </w:r>
      <w:r>
        <w:rPr>
          <w:rFonts w:ascii="宋体" w:hAnsi="宋体" w:eastAsia="宋体" w:cs="宋体"/>
          <w:szCs w:val="21"/>
        </w:rPr>
        <w:t>进行私有化部署，并加强安全防护措施。</w:t>
      </w:r>
    </w:p>
    <w:p w14:paraId="04B335D4">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私有化部署</w:t>
      </w:r>
    </w:p>
    <w:p w14:paraId="6A24C0FB">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对于系统依赖的第三方服务或PaaS服务，以及招标人要求私有化部署的服务，我们将在部署过程中按照要求，在本地或指定环境中进行私有化部署。私有化部署的优势在于：</w:t>
      </w:r>
    </w:p>
    <w:p w14:paraId="1F0C5B8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数据安全</w:t>
      </w:r>
      <w:r>
        <w:rPr>
          <w:rFonts w:ascii="宋体" w:hAnsi="宋体" w:eastAsia="宋体" w:cs="宋体"/>
          <w:szCs w:val="21"/>
        </w:rPr>
        <w:t>：数据存储和处理都在受控环境下，防止数据泄露。</w:t>
      </w:r>
    </w:p>
    <w:p w14:paraId="381F93D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性能优化</w:t>
      </w:r>
      <w:r>
        <w:rPr>
          <w:rFonts w:ascii="宋体" w:hAnsi="宋体" w:eastAsia="宋体" w:cs="宋体"/>
          <w:szCs w:val="21"/>
        </w:rPr>
        <w:t>：本地部署可以降低网络延迟，提高服务响应速度。</w:t>
      </w:r>
    </w:p>
    <w:p w14:paraId="2E789F57">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合规性</w:t>
      </w:r>
      <w:r>
        <w:rPr>
          <w:rFonts w:ascii="宋体" w:hAnsi="宋体" w:eastAsia="宋体" w:cs="宋体"/>
          <w:szCs w:val="21"/>
        </w:rPr>
        <w:t>：满足行业法规和政策的要求，避免法律风险。</w:t>
      </w:r>
    </w:p>
    <w:p w14:paraId="6485917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安全防护措施</w:t>
      </w:r>
    </w:p>
    <w:p w14:paraId="732A594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网络隔离</w:t>
      </w:r>
      <w:r>
        <w:rPr>
          <w:rFonts w:ascii="宋体" w:hAnsi="宋体" w:eastAsia="宋体" w:cs="宋体"/>
          <w:szCs w:val="21"/>
        </w:rPr>
        <w:t>：通过VLAN、子网划分等手段，隔离不同的网络区域，防止未经授权的访问。</w:t>
      </w:r>
    </w:p>
    <w:p w14:paraId="3AB094F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防火墙和安全组</w:t>
      </w:r>
      <w:r>
        <w:rPr>
          <w:rFonts w:ascii="宋体" w:hAnsi="宋体" w:eastAsia="宋体" w:cs="宋体"/>
          <w:szCs w:val="21"/>
        </w:rPr>
        <w:t>：配置防火墙策略和安全组，限制端口和IP的访问权限。</w:t>
      </w:r>
    </w:p>
    <w:p w14:paraId="2350D32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身份认证和授权</w:t>
      </w:r>
      <w:r>
        <w:rPr>
          <w:rFonts w:ascii="宋体" w:hAnsi="宋体" w:eastAsia="宋体" w:cs="宋体"/>
          <w:szCs w:val="21"/>
        </w:rPr>
        <w:t>：采用强制的身份认证机制，使用OAuth2.0、JWT等技术，确保只有合法用户才能访问系统。</w:t>
      </w:r>
    </w:p>
    <w:p w14:paraId="6EC0605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数据加密</w:t>
      </w:r>
      <w:r>
        <w:rPr>
          <w:rFonts w:ascii="宋体" w:hAnsi="宋体" w:eastAsia="宋体" w:cs="宋体"/>
          <w:szCs w:val="21"/>
        </w:rPr>
        <w:t>：对敏感数据进行传输加密和存储加密，防止数据被窃取或篡改。</w:t>
      </w:r>
    </w:p>
    <w:p w14:paraId="653C00A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入侵检测和防御</w:t>
      </w:r>
      <w:r>
        <w:rPr>
          <w:rFonts w:ascii="宋体" w:hAnsi="宋体" w:eastAsia="宋体" w:cs="宋体"/>
          <w:szCs w:val="21"/>
        </w:rPr>
        <w:t>：部署IDS/IPS系统，实时监控网络流量，及时发现和阻止异常行为。</w:t>
      </w:r>
    </w:p>
    <w:p w14:paraId="49F10E68">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安全审计</w:t>
      </w:r>
      <w:r>
        <w:rPr>
          <w:rFonts w:ascii="宋体" w:hAnsi="宋体" w:eastAsia="宋体" w:cs="宋体"/>
          <w:szCs w:val="21"/>
        </w:rPr>
        <w:t>：记录系统的操作日志，定期进行安全审计，发现和整改安全隐患。</w:t>
      </w:r>
    </w:p>
    <w:p w14:paraId="3FC29787">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外部服务隔离</w:t>
      </w:r>
    </w:p>
    <w:p w14:paraId="273BF78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对于涉及互联网或政府专网接入的外部数据推送、媒体内容推送等情况，我们将部署独立的Web服务，通过安全组件实现与平台核心服务的隔离。</w:t>
      </w:r>
    </w:p>
    <w:p w14:paraId="4293B59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DMZ区域部署</w:t>
      </w:r>
      <w:r>
        <w:rPr>
          <w:rFonts w:ascii="宋体" w:hAnsi="宋体" w:eastAsia="宋体" w:cs="宋体"/>
          <w:szCs w:val="21"/>
        </w:rPr>
        <w:t>：将外部服务部署在DMZ区域，与内部网络隔离，防止外部攻击直接影响内部系统。</w:t>
      </w:r>
    </w:p>
    <w:p w14:paraId="37A9F02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反向代理和负载均衡</w:t>
      </w:r>
      <w:r>
        <w:rPr>
          <w:rFonts w:ascii="宋体" w:hAnsi="宋体" w:eastAsia="宋体" w:cs="宋体"/>
          <w:szCs w:val="21"/>
        </w:rPr>
        <w:t>：使用Nginx等反向代理和负载均衡器，控制外部请求的入口，隐藏内部网络结构。</w:t>
      </w:r>
    </w:p>
    <w:p w14:paraId="0D6F6FB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应用防火墙（WAF）</w:t>
      </w:r>
      <w:r>
        <w:rPr>
          <w:rFonts w:ascii="宋体" w:hAnsi="宋体" w:eastAsia="宋体" w:cs="宋体"/>
          <w:szCs w:val="21"/>
        </w:rPr>
        <w:t>：部署WAF，对HTTP/HTTPS流量进行深度检测，防御SQL注入、XSS等常见Web攻击。</w:t>
      </w:r>
    </w:p>
    <w:p w14:paraId="071CE3D9">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访问控制列表（ACL）</w:t>
      </w:r>
      <w:r>
        <w:rPr>
          <w:rFonts w:ascii="宋体" w:hAnsi="宋体" w:eastAsia="宋体" w:cs="宋体"/>
          <w:szCs w:val="21"/>
        </w:rPr>
        <w:t>：配置ACL，限制外部服务只能访问特定的资源和端口。</w:t>
      </w:r>
    </w:p>
    <w:p w14:paraId="7A5DA9AF">
      <w:pPr>
        <w:pStyle w:val="6"/>
        <w:widowControl/>
        <w:spacing w:before="260" w:after="260"/>
        <w:ind w:left="0" w:firstLine="0"/>
        <w:rPr>
          <w:rFonts w:hint="eastAsia" w:ascii="宋体" w:hAnsi="宋体"/>
        </w:rPr>
      </w:pPr>
      <w:bookmarkStart w:id="136" w:name="_Toc180265606"/>
      <w:r>
        <w:rPr>
          <w:rFonts w:hint="eastAsia" w:ascii="宋体" w:hAnsi="宋体"/>
        </w:rPr>
        <w:t>生产环境和开发/测试环境的部署</w:t>
      </w:r>
      <w:bookmarkEnd w:id="136"/>
    </w:p>
    <w:p w14:paraId="7643A511">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为了确保系统的稳定性和可维护性，我们将分别部署生产环境和开发/测试环境，各自独立运行。</w:t>
      </w:r>
    </w:p>
    <w:p w14:paraId="1C207F2E">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环境隔离</w:t>
      </w:r>
    </w:p>
    <w:p w14:paraId="25BBC0E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物理隔离或逻辑隔离</w:t>
      </w:r>
      <w:r>
        <w:rPr>
          <w:rFonts w:ascii="宋体" w:hAnsi="宋体" w:eastAsia="宋体" w:cs="宋体"/>
          <w:szCs w:val="21"/>
        </w:rPr>
        <w:t>：通过不同的物理服务器或虚拟网络，实现环境的完全隔离，防止测试操作影响生产系统。</w:t>
      </w:r>
    </w:p>
    <w:p w14:paraId="2EE36848">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独立的数据库和存储</w:t>
      </w:r>
      <w:r>
        <w:rPr>
          <w:rFonts w:ascii="宋体" w:hAnsi="宋体" w:eastAsia="宋体" w:cs="宋体"/>
          <w:szCs w:val="21"/>
        </w:rPr>
        <w:t>：各环境使用独立的数据库和存储资源，防止数据混淆和泄露。</w:t>
      </w:r>
    </w:p>
    <w:p w14:paraId="6524654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独立的配置和参数</w:t>
      </w:r>
      <w:r>
        <w:rPr>
          <w:rFonts w:ascii="宋体" w:hAnsi="宋体" w:eastAsia="宋体" w:cs="宋体"/>
          <w:szCs w:val="21"/>
        </w:rPr>
        <w:t>：各环境的配置项、参数设置独立管理，避免配置冲突。</w:t>
      </w:r>
    </w:p>
    <w:p w14:paraId="404D32F3">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数据安全</w:t>
      </w:r>
    </w:p>
    <w:p w14:paraId="6CA860E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数据脱敏</w:t>
      </w:r>
      <w:r>
        <w:rPr>
          <w:rFonts w:ascii="宋体" w:hAnsi="宋体" w:eastAsia="宋体" w:cs="宋体"/>
          <w:szCs w:val="21"/>
        </w:rPr>
        <w:t>：在开发/测试环境中使用脱敏的数据，保护真实的生产数据不被泄露。</w:t>
      </w:r>
    </w:p>
    <w:p w14:paraId="129B5D5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权限控制</w:t>
      </w:r>
      <w:r>
        <w:rPr>
          <w:rFonts w:ascii="宋体" w:hAnsi="宋体" w:eastAsia="宋体" w:cs="宋体"/>
          <w:szCs w:val="21"/>
        </w:rPr>
        <w:t>：严格控制各环境的访问权限，确保只有授权人员才能访问相应的环境。</w:t>
      </w:r>
    </w:p>
    <w:p w14:paraId="6D585BD2">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部署流程</w:t>
      </w:r>
    </w:p>
    <w:p w14:paraId="71C76E3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自动化部署</w:t>
      </w:r>
      <w:r>
        <w:rPr>
          <w:rFonts w:ascii="宋体" w:hAnsi="宋体" w:eastAsia="宋体" w:cs="宋体"/>
          <w:szCs w:val="21"/>
        </w:rPr>
        <w:t>：使用CI/CD流水线，实现各环境的自动化部署，减少人工操作带来的错误。</w:t>
      </w:r>
    </w:p>
    <w:p w14:paraId="0ADD0A2E">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版本控制</w:t>
      </w:r>
      <w:r>
        <w:rPr>
          <w:rFonts w:ascii="宋体" w:hAnsi="宋体" w:eastAsia="宋体" w:cs="宋体"/>
          <w:szCs w:val="21"/>
        </w:rPr>
        <w:t>：对应用版本进行严格的管理和跟踪，确保各环境的代码版本可控。</w:t>
      </w:r>
    </w:p>
    <w:p w14:paraId="5CDC4F77">
      <w:pPr>
        <w:pStyle w:val="6"/>
        <w:widowControl/>
        <w:spacing w:before="260" w:after="260"/>
        <w:ind w:left="0" w:firstLine="0"/>
        <w:rPr>
          <w:rFonts w:hint="eastAsia" w:ascii="宋体" w:hAnsi="宋体"/>
        </w:rPr>
      </w:pPr>
      <w:bookmarkStart w:id="137" w:name="_Toc180265607"/>
      <w:r>
        <w:rPr>
          <w:rFonts w:hint="eastAsia" w:ascii="宋体" w:hAnsi="宋体"/>
        </w:rPr>
        <w:t>系统运维和监控</w:t>
      </w:r>
      <w:bookmarkEnd w:id="137"/>
    </w:p>
    <w:p w14:paraId="0AE17062">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为了保障系统的稳定运行，我们将建立完善的运维和监控机制。</w:t>
      </w:r>
    </w:p>
    <w:p w14:paraId="05A12583">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统一的运维平台</w:t>
      </w:r>
    </w:p>
    <w:p w14:paraId="1228D82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容器管理平台</w:t>
      </w:r>
      <w:r>
        <w:rPr>
          <w:rFonts w:ascii="宋体" w:hAnsi="宋体" w:eastAsia="宋体" w:cs="宋体"/>
          <w:szCs w:val="21"/>
        </w:rPr>
        <w:t>：提供可视化的容器管理界面，方便对容器的启动、停止、扩容、缩容等操作。</w:t>
      </w:r>
    </w:p>
    <w:p w14:paraId="43F80CAE">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日志管理</w:t>
      </w:r>
      <w:r>
        <w:rPr>
          <w:rFonts w:ascii="宋体" w:hAnsi="宋体" w:eastAsia="宋体" w:cs="宋体"/>
          <w:szCs w:val="21"/>
        </w:rPr>
        <w:t>：集中收集和管理系统日志，支持日志的查询、分析和告警。</w:t>
      </w:r>
    </w:p>
    <w:p w14:paraId="1E0B4CE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配置管理</w:t>
      </w:r>
      <w:r>
        <w:rPr>
          <w:rFonts w:ascii="宋体" w:hAnsi="宋体" w:eastAsia="宋体" w:cs="宋体"/>
          <w:szCs w:val="21"/>
        </w:rPr>
        <w:t>：通过配置中心，统一管理系统的配置项，实现配置的动态更新。</w:t>
      </w:r>
    </w:p>
    <w:p w14:paraId="3290E2CD">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系统监控</w:t>
      </w:r>
    </w:p>
    <w:p w14:paraId="7B59998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性能监控</w:t>
      </w:r>
      <w:r>
        <w:rPr>
          <w:rFonts w:ascii="宋体" w:hAnsi="宋体" w:eastAsia="宋体" w:cs="宋体"/>
          <w:szCs w:val="21"/>
        </w:rPr>
        <w:t>：实时监控系统的CPU、内存、磁盘、网络等资源使用情况。</w:t>
      </w:r>
    </w:p>
    <w:p w14:paraId="3762CB3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应用监控</w:t>
      </w:r>
      <w:r>
        <w:rPr>
          <w:rFonts w:ascii="宋体" w:hAnsi="宋体" w:eastAsia="宋体" w:cs="宋体"/>
          <w:szCs w:val="21"/>
        </w:rPr>
        <w:t>：监控应用的请求量、响应时间、错误率等指标，及时发现性能瓶颈。</w:t>
      </w:r>
    </w:p>
    <w:p w14:paraId="641A153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业务监控</w:t>
      </w:r>
      <w:r>
        <w:rPr>
          <w:rFonts w:ascii="宋体" w:hAnsi="宋体" w:eastAsia="宋体" w:cs="宋体"/>
          <w:szCs w:val="21"/>
        </w:rPr>
        <w:t>：根据业务特点，监控关键业务指标，如订单数量、交易金额等。</w:t>
      </w:r>
    </w:p>
    <w:p w14:paraId="57AC5623">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告警和应急响应</w:t>
      </w:r>
    </w:p>
    <w:p w14:paraId="09716C4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多渠道告警</w:t>
      </w:r>
      <w:r>
        <w:rPr>
          <w:rFonts w:ascii="宋体" w:hAnsi="宋体" w:eastAsia="宋体" w:cs="宋体"/>
          <w:szCs w:val="21"/>
        </w:rPr>
        <w:t>：当系统出现异常时，通过短信、邮件、微信等渠道及时通知运维人员。</w:t>
      </w:r>
    </w:p>
    <w:p w14:paraId="5F53F1C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应急预案</w:t>
      </w:r>
      <w:r>
        <w:rPr>
          <w:rFonts w:ascii="宋体" w:hAnsi="宋体" w:eastAsia="宋体" w:cs="宋体"/>
          <w:szCs w:val="21"/>
        </w:rPr>
        <w:t>：制定详细的应急预案，包含常见故障的处理流程和联系方式，确保问题能够迅速解决。</w:t>
      </w:r>
    </w:p>
    <w:p w14:paraId="326E4CA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故障演练</w:t>
      </w:r>
      <w:r>
        <w:rPr>
          <w:rFonts w:ascii="宋体" w:hAnsi="宋体" w:eastAsia="宋体" w:cs="宋体"/>
          <w:szCs w:val="21"/>
        </w:rPr>
        <w:t>：定期进行故障模拟和演练，提高运维团队的应急响应能力。</w:t>
      </w:r>
    </w:p>
    <w:p w14:paraId="4C7FB72D">
      <w:pPr>
        <w:snapToGrid w:val="0"/>
        <w:spacing w:line="360" w:lineRule="auto"/>
        <w:ind w:left="420" w:firstLine="420"/>
        <w:rPr>
          <w:rFonts w:hint="eastAsia" w:ascii="宋体" w:hAnsi="宋体" w:eastAsia="宋体" w:cs="宋体"/>
          <w:szCs w:val="21"/>
        </w:rPr>
      </w:pPr>
    </w:p>
    <w:p w14:paraId="5AA313A3">
      <w:pPr>
        <w:snapToGrid w:val="0"/>
        <w:spacing w:line="360" w:lineRule="auto"/>
        <w:ind w:left="420" w:firstLine="420"/>
        <w:rPr>
          <w:rFonts w:hint="eastAsia" w:ascii="宋体" w:hAnsi="宋体" w:eastAsia="宋体" w:cs="宋体"/>
          <w:szCs w:val="21"/>
        </w:rPr>
      </w:pPr>
      <w:r>
        <w:rPr>
          <w:rFonts w:ascii="宋体" w:hAnsi="宋体" w:eastAsia="宋体" w:cs="宋体"/>
          <w:szCs w:val="21"/>
        </w:rPr>
        <w:t>本系统的部署架构充分利用了云原生技术的优势，通过容器化、微服务、自动伸缩、灰度发布等技术手段，构建了一个高效、灵活、可扩展的应用平台。系统设计注重安全性、稳定性和可维护性，满足了对高性能、高可靠性的要求。</w:t>
      </w:r>
    </w:p>
    <w:p w14:paraId="3D35295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通过对容器编排技术的合理选择和应用，系统实现了跨云平台的部署和迁移能力，支持一站式的部署和运维。自动伸缩机制确保了系统能够根据业务负载的变化，灵活调整资源配置，实现了资源的优化利用。</w:t>
      </w:r>
    </w:p>
    <w:p w14:paraId="3B7F88E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在安全防护方面，系统采用了多层次的安全措施，保障了数据和服务的安全性。对于第三方服务的集成，我们严格遵循安全规范，确保系统的整体安全。</w:t>
      </w:r>
    </w:p>
    <w:p w14:paraId="26B3FCC2">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本方案充分满足了项目的各项要求，为后续的系统实施和运营提供了坚实的基础。</w:t>
      </w:r>
    </w:p>
    <w:p w14:paraId="61F45519">
      <w:pPr>
        <w:pStyle w:val="5"/>
        <w:widowControl/>
        <w:spacing w:before="260" w:after="260"/>
        <w:ind w:left="0" w:firstLine="0"/>
        <w:rPr>
          <w:rFonts w:hint="eastAsia" w:ascii="宋体" w:hAnsi="宋体"/>
        </w:rPr>
      </w:pPr>
      <w:r>
        <w:rPr>
          <w:rFonts w:hint="eastAsia" w:ascii="宋体" w:hAnsi="宋体"/>
        </w:rPr>
        <w:t xml:space="preserve"> </w:t>
      </w:r>
      <w:bookmarkStart w:id="138" w:name="_Toc180265608"/>
      <w:r>
        <w:rPr>
          <w:rFonts w:hint="eastAsia" w:ascii="宋体" w:hAnsi="宋体"/>
        </w:rPr>
        <w:t>系统架构设计方案</w:t>
      </w:r>
      <w:bookmarkEnd w:id="138"/>
    </w:p>
    <w:p w14:paraId="757189E1">
      <w:pPr>
        <w:pStyle w:val="6"/>
        <w:widowControl/>
        <w:spacing w:before="260" w:after="260"/>
        <w:ind w:left="0" w:firstLine="0"/>
        <w:rPr>
          <w:rFonts w:hint="eastAsia" w:ascii="宋体" w:hAnsi="宋体"/>
        </w:rPr>
      </w:pPr>
      <w:bookmarkStart w:id="139" w:name="_Toc180265609"/>
      <w:r>
        <w:rPr>
          <w:rFonts w:hint="eastAsia" w:ascii="宋体" w:hAnsi="宋体"/>
        </w:rPr>
        <w:t>总体架构</w:t>
      </w:r>
      <w:bookmarkEnd w:id="139"/>
    </w:p>
    <w:p w14:paraId="1FC368DD">
      <w:pPr>
        <w:spacing w:line="360" w:lineRule="auto"/>
        <w:ind w:left="420" w:firstLine="420" w:firstLineChars="200"/>
        <w:rPr>
          <w:rFonts w:hint="eastAsia" w:ascii="宋体" w:hAnsi="宋体" w:eastAsia="宋体"/>
          <w:szCs w:val="21"/>
        </w:rPr>
      </w:pPr>
      <w:r>
        <w:rPr>
          <w:rFonts w:hint="eastAsia" w:ascii="宋体" w:hAnsi="宋体" w:eastAsia="宋体"/>
          <w:szCs w:val="21"/>
        </w:rPr>
        <w:t>根据招标文件要求，将在烟草局当前的信息化基础上建设行业采购交易监管平台。</w:t>
      </w:r>
    </w:p>
    <w:p w14:paraId="269A9DF5">
      <w:pPr>
        <w:spacing w:line="360" w:lineRule="auto"/>
        <w:ind w:left="420" w:firstLine="420" w:firstLineChars="200"/>
        <w:rPr>
          <w:rFonts w:hint="eastAsia" w:ascii="宋体" w:hAnsi="宋体" w:eastAsia="宋体"/>
          <w:szCs w:val="21"/>
        </w:rPr>
      </w:pPr>
      <w:r>
        <w:rPr>
          <w:rFonts w:hint="eastAsia" w:ascii="宋体" w:hAnsi="宋体" w:eastAsia="宋体"/>
          <w:szCs w:val="21"/>
        </w:rPr>
        <w:t>一是遵循《电子招标投标办法》《电子采购交易规范非招标方式》等国家标准及规范，搭建行业电子采购系统，推进采购交易管理的全覆盖、流程化、系统化和实时化，实现招标类、非招标类项目的电子全流程线上交易管理。</w:t>
      </w:r>
    </w:p>
    <w:p w14:paraId="14AA9846">
      <w:pPr>
        <w:spacing w:line="360" w:lineRule="auto"/>
        <w:ind w:left="420" w:firstLine="420" w:firstLineChars="200"/>
        <w:rPr>
          <w:rFonts w:hint="eastAsia" w:ascii="宋体" w:hAnsi="宋体" w:eastAsia="宋体"/>
          <w:szCs w:val="21"/>
        </w:rPr>
      </w:pPr>
      <w:r>
        <w:rPr>
          <w:rFonts w:hint="eastAsia" w:ascii="宋体" w:hAnsi="宋体" w:eastAsia="宋体"/>
          <w:szCs w:val="21"/>
        </w:rPr>
        <w:t>二是依据《国有企业网上商城采购规范》等标准，按照阳光、高效、安全的原则，搭建行业电子商城系统。商城建设集成供应商管理、商品管理、交易管理等功能。依托电子商城系统，逐步推动行业“小零散”和通用大宗物资等的集中采购，实现采购集约化，提升行业集中采购效能与透明度。</w:t>
      </w:r>
    </w:p>
    <w:p w14:paraId="6FA067DB">
      <w:pPr>
        <w:spacing w:line="360" w:lineRule="auto"/>
        <w:ind w:left="420" w:firstLine="420" w:firstLineChars="200"/>
        <w:rPr>
          <w:rFonts w:hint="eastAsia" w:ascii="宋体" w:hAnsi="宋体" w:eastAsia="宋体"/>
          <w:sz w:val="24"/>
        </w:rPr>
      </w:pPr>
      <w:r>
        <w:rPr>
          <w:rFonts w:hint="eastAsia" w:ascii="宋体" w:hAnsi="宋体" w:eastAsia="宋体"/>
          <w:szCs w:val="21"/>
        </w:rPr>
        <w:t>系统的总体架构如下：</w:t>
      </w:r>
    </w:p>
    <w:p w14:paraId="77BD1FC3">
      <w:pPr>
        <w:rPr>
          <w:sz w:val="24"/>
        </w:rPr>
      </w:pPr>
      <w:r>
        <w:drawing>
          <wp:inline distT="0" distB="0" distL="114300" distR="114300">
            <wp:extent cx="5930265" cy="2635250"/>
            <wp:effectExtent l="0" t="0" r="13335" b="12700"/>
            <wp:docPr id="2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
                    <pic:cNvPicPr>
                      <a:picLocks noChangeAspect="1"/>
                    </pic:cNvPicPr>
                  </pic:nvPicPr>
                  <pic:blipFill>
                    <a:blip r:embed="rId110"/>
                    <a:stretch>
                      <a:fillRect/>
                    </a:stretch>
                  </pic:blipFill>
                  <pic:spPr>
                    <a:xfrm>
                      <a:off x="0" y="0"/>
                      <a:ext cx="5930265" cy="2635250"/>
                    </a:xfrm>
                    <a:prstGeom prst="rect">
                      <a:avLst/>
                    </a:prstGeom>
                    <a:noFill/>
                    <a:ln>
                      <a:noFill/>
                    </a:ln>
                  </pic:spPr>
                </pic:pic>
              </a:graphicData>
            </a:graphic>
          </wp:inline>
        </w:drawing>
      </w:r>
    </w:p>
    <w:p w14:paraId="2D786890">
      <w:pPr>
        <w:spacing w:line="360" w:lineRule="auto"/>
        <w:ind w:left="420" w:firstLine="420" w:firstLineChars="200"/>
        <w:rPr>
          <w:rFonts w:hint="eastAsia" w:ascii="宋体" w:hAnsi="宋体" w:eastAsia="宋体"/>
          <w:szCs w:val="21"/>
        </w:rPr>
      </w:pPr>
      <w:r>
        <w:rPr>
          <w:rFonts w:hint="eastAsia" w:ascii="宋体" w:hAnsi="宋体" w:eastAsia="宋体"/>
          <w:szCs w:val="21"/>
        </w:rPr>
        <w:t>以上架构中，行业采购交易监管平台属于本次建设内容。随着烟草行业实施数字化转型发展战略，全国烟草生产经营管理一体化平台（以下简称行业一体化平台）已建成包括统一门户在内的多个一体化应用系统。作为行业一体化平台重要底座的烟草行业新型数字基础设施体系（以下简称新数基体系)也已基本形成，新数基体系技术架构基于行业云平台、行业数字中台、行业工业互联网平台、行业标识解析体系等共同构建，分为基础资源层、技术中间层、数据资源层和应用服务层四部分。其中行业云平台由行业主中心节点、行业副中心节点和若干省级工商企业节点（企业云平台）组成；行业数字中台包括业务中台、数据中台等。业务中台包括用户中心、消息中心等8大中心；数据中台包括信息分类与编码、数据集成汇聚、数据资产管理、数据服务及两级数据传输等。</w:t>
      </w:r>
    </w:p>
    <w:p w14:paraId="7F50255D">
      <w:pPr>
        <w:spacing w:line="360" w:lineRule="auto"/>
        <w:ind w:left="420" w:firstLine="420" w:firstLineChars="200"/>
        <w:rPr>
          <w:rFonts w:hint="eastAsia" w:ascii="宋体" w:hAnsi="宋体" w:eastAsia="宋体"/>
          <w:sz w:val="24"/>
        </w:rPr>
      </w:pPr>
      <w:r>
        <w:rPr>
          <w:rFonts w:hint="eastAsia" w:ascii="宋体" w:hAnsi="宋体" w:eastAsia="宋体"/>
          <w:szCs w:val="21"/>
        </w:rPr>
        <w:t>作为行业采购交易监管平台的重要一部分，电子采购系统将在烟草行业一体化平台重要底座的烟草行业新型数字基础设施体系之上建设，利用行业云平台提供的容器集群、云数据库、中间件、API网关等IaaS层及PaaS层组件进行行业集中部署，通过数字中台及其他相关系统进行业务衔接和数据交互；同时改造现有的国家局规范管理信息系统，实现与行业采购交易监管平台的功能与数据对接；并通过行业数据传输通道，统一的数据接口标准与有需要的省级单位系统进行对接。</w:t>
      </w:r>
    </w:p>
    <w:p w14:paraId="40B664CF">
      <w:pPr>
        <w:pStyle w:val="6"/>
        <w:widowControl/>
        <w:spacing w:before="260" w:after="260"/>
        <w:ind w:left="0" w:firstLine="0"/>
        <w:rPr>
          <w:rFonts w:hint="eastAsia" w:ascii="宋体" w:hAnsi="宋体"/>
        </w:rPr>
      </w:pPr>
      <w:bookmarkStart w:id="140" w:name="_Toc180265610"/>
      <w:r>
        <w:rPr>
          <w:rFonts w:hint="eastAsia" w:ascii="宋体" w:hAnsi="宋体"/>
        </w:rPr>
        <w:t>集成架构</w:t>
      </w:r>
      <w:bookmarkEnd w:id="140"/>
    </w:p>
    <w:p w14:paraId="30463523">
      <w:pPr>
        <w:pStyle w:val="7"/>
        <w:widowControl/>
        <w:spacing w:before="280" w:after="290"/>
        <w:ind w:left="0" w:firstLine="0"/>
        <w:rPr>
          <w:rFonts w:hint="eastAsia" w:ascii="宋体" w:hAnsi="宋体"/>
        </w:rPr>
      </w:pPr>
      <w:r>
        <w:rPr>
          <w:rFonts w:hint="eastAsia" w:ascii="宋体" w:hAnsi="宋体"/>
        </w:rPr>
        <w:t>集成内容</w:t>
      </w:r>
    </w:p>
    <w:p w14:paraId="107154B0">
      <w:pPr>
        <w:spacing w:line="360" w:lineRule="auto"/>
        <w:ind w:left="420"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根据对招标文件的理解，在内部，系统需要与总公司一体化平台统一门户、规范管理系统、数据中台、业务中台、以及其他相关系统实现集成。在外部，根据业务需求，需要与外部服务平台的CA认证、公共信息（如天眼查）、语音、短信、第三方支付等多个服务商实现集成。</w:t>
      </w:r>
    </w:p>
    <w:p w14:paraId="66CA96A9">
      <w:pPr>
        <w:pStyle w:val="7"/>
        <w:widowControl/>
        <w:spacing w:before="280" w:after="290"/>
        <w:ind w:left="0" w:firstLine="0"/>
        <w:rPr>
          <w:rFonts w:hint="eastAsia" w:ascii="宋体" w:hAnsi="宋体"/>
        </w:rPr>
      </w:pPr>
      <w:r>
        <w:rPr>
          <w:rFonts w:hint="eastAsia" w:ascii="宋体" w:hAnsi="宋体"/>
        </w:rPr>
        <w:t>集成方式</w:t>
      </w:r>
    </w:p>
    <w:p w14:paraId="0502D07A">
      <w:pPr>
        <w:spacing w:line="360" w:lineRule="auto"/>
        <w:ind w:left="420" w:firstLine="42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集成原则：</w:t>
      </w:r>
      <w:r>
        <w:rPr>
          <w:rFonts w:hint="eastAsia" w:ascii="宋体" w:hAnsi="宋体" w:eastAsia="宋体" w:cs="宋体"/>
          <w:color w:val="000000" w:themeColor="text1"/>
          <w:szCs w:val="21"/>
          <w14:textFill>
            <w14:solidFill>
              <w14:schemeClr w14:val="tx1"/>
            </w14:solidFill>
          </w14:textFill>
        </w:rPr>
        <w:t>根据招标文件要求，内部服务集成时，系统间流程衔接基于云服务总线、API网关等实现，获取其他系统数据基于烟草行业数字中台、行业多级数据传输通道等途径获取。在与外部服务进行交互的过程中，为了确保数据传输的安全性和隐私性，优先考虑使用安全的HTTPS协议来调用第三方服务。</w:t>
      </w:r>
    </w:p>
    <w:p w14:paraId="58048E31">
      <w:pPr>
        <w:jc w:val="center"/>
      </w:pPr>
      <w:r>
        <w:drawing>
          <wp:inline distT="0" distB="0" distL="114300" distR="114300">
            <wp:extent cx="5647055" cy="2667000"/>
            <wp:effectExtent l="0" t="0" r="10795" b="0"/>
            <wp:docPr id="2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4"/>
                    <pic:cNvPicPr>
                      <a:picLocks noChangeAspect="1"/>
                    </pic:cNvPicPr>
                  </pic:nvPicPr>
                  <pic:blipFill>
                    <a:blip r:embed="rId111"/>
                    <a:stretch>
                      <a:fillRect/>
                    </a:stretch>
                  </pic:blipFill>
                  <pic:spPr>
                    <a:xfrm>
                      <a:off x="0" y="0"/>
                      <a:ext cx="5647055" cy="2667000"/>
                    </a:xfrm>
                    <a:prstGeom prst="rect">
                      <a:avLst/>
                    </a:prstGeom>
                    <a:noFill/>
                    <a:ln>
                      <a:noFill/>
                    </a:ln>
                  </pic:spPr>
                </pic:pic>
              </a:graphicData>
            </a:graphic>
          </wp:inline>
        </w:drawing>
      </w:r>
    </w:p>
    <w:p w14:paraId="41CFDEA5">
      <w:pPr>
        <w:spacing w:line="360" w:lineRule="auto"/>
        <w:ind w:left="420" w:firstLine="42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统一接口平台：</w:t>
      </w:r>
      <w:r>
        <w:rPr>
          <w:rFonts w:hint="eastAsia" w:ascii="宋体" w:hAnsi="宋体" w:eastAsia="宋体" w:cs="宋体"/>
          <w:color w:val="000000" w:themeColor="text1"/>
          <w:szCs w:val="21"/>
          <w14:textFill>
            <w14:solidFill>
              <w14:schemeClr w14:val="tx1"/>
            </w14:solidFill>
          </w14:textFill>
        </w:rPr>
        <w:t>设计并构建全网络统一的接口平台服务，该服务兼容SOAP与REST接口方式，旨在无缝对接建设单位内外各系统。作为系统数据交换的核心枢纽，本服务采用标准化且普适性强的集成方式，为系统集成工作奠定坚实基础，并为后续的运维管理带来极大便利。</w:t>
      </w:r>
    </w:p>
    <w:p w14:paraId="5E9D288C">
      <w:pPr>
        <w:jc w:val="center"/>
      </w:pPr>
      <w:r>
        <w:drawing>
          <wp:inline distT="0" distB="0" distL="114300" distR="114300">
            <wp:extent cx="5271770" cy="2864485"/>
            <wp:effectExtent l="0" t="0" r="5080" b="12065"/>
            <wp:docPr id="2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5"/>
                    <pic:cNvPicPr>
                      <a:picLocks noChangeAspect="1"/>
                    </pic:cNvPicPr>
                  </pic:nvPicPr>
                  <pic:blipFill>
                    <a:blip r:embed="rId112"/>
                    <a:stretch>
                      <a:fillRect/>
                    </a:stretch>
                  </pic:blipFill>
                  <pic:spPr>
                    <a:xfrm>
                      <a:off x="0" y="0"/>
                      <a:ext cx="5271770" cy="2864485"/>
                    </a:xfrm>
                    <a:prstGeom prst="rect">
                      <a:avLst/>
                    </a:prstGeom>
                    <a:noFill/>
                    <a:ln>
                      <a:noFill/>
                    </a:ln>
                  </pic:spPr>
                </pic:pic>
              </a:graphicData>
            </a:graphic>
          </wp:inline>
        </w:drawing>
      </w:r>
    </w:p>
    <w:p w14:paraId="4E295D13">
      <w:pPr>
        <w:pStyle w:val="7"/>
        <w:widowControl/>
        <w:spacing w:before="280" w:after="290" w:line="376" w:lineRule="auto"/>
        <w:ind w:left="0" w:firstLine="0"/>
      </w:pPr>
      <w:bookmarkStart w:id="141" w:name="_Toc496690501"/>
      <w:bookmarkStart w:id="142" w:name="_Toc496621132"/>
      <w:bookmarkStart w:id="143" w:name="_Toc495732424"/>
      <w:bookmarkStart w:id="144" w:name="_Toc361243023"/>
      <w:bookmarkStart w:id="145" w:name="_Toc361321681"/>
      <w:bookmarkStart w:id="146" w:name="_Toc361402587"/>
      <w:r>
        <w:rPr>
          <w:rFonts w:hint="eastAsia"/>
        </w:rPr>
        <w:t>接口设计</w:t>
      </w:r>
    </w:p>
    <w:p w14:paraId="23E4700E">
      <w:pPr>
        <w:autoSpaceDE w:val="0"/>
        <w:autoSpaceDN w:val="0"/>
        <w:ind w:left="420" w:firstLine="422" w:firstLineChars="200"/>
        <w:rPr>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（1）接口设计原则与目标</w:t>
      </w:r>
      <w:bookmarkEnd w:id="141"/>
      <w:bookmarkEnd w:id="142"/>
      <w:bookmarkEnd w:id="143"/>
    </w:p>
    <w:p w14:paraId="0DAB8DE0">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对数据交互提供企业级的支持，在系统高并发和大容量的基础上提供安全可靠的交互。</w:t>
      </w:r>
    </w:p>
    <w:p w14:paraId="096E741D">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提供完善的信息安全机制，实现对信息的全面保护，保证系统的正常运行.防止大量访问以及大量占用资源的情况发生，保证系统的健壮性。</w:t>
      </w:r>
    </w:p>
    <w:p w14:paraId="6D6936AD">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提供有效的、系统的可监控机制，使接口的运行情况可监控，以便及时发现错误及排除故障。</w:t>
      </w:r>
    </w:p>
    <w:p w14:paraId="78638940">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在充分利用系统资源的前提下，实现系统平滑的移植和扩展，同时在系统并发增加时提供系统资源的动态扩展，保证系统的稳定性。</w:t>
      </w:r>
    </w:p>
    <w:p w14:paraId="1D954693">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在进行扩容、新业务扩展时，提供快速、方便和准确的实现方式。</w:t>
      </w:r>
    </w:p>
    <w:p w14:paraId="02C145A8">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接口技术实现方式保持中立性。</w:t>
      </w:r>
    </w:p>
    <w:p w14:paraId="4B99DFC0">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提供信息交换中自动标记输入和输出来源出处的功能。</w:t>
      </w:r>
    </w:p>
    <w:p w14:paraId="6929988C">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信息交换方式符合XML数据交换标准。</w:t>
      </w:r>
    </w:p>
    <w:p w14:paraId="7BCE34DB">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交互操作服务接口符合Web Services（SOAP + REST）标准。</w:t>
      </w:r>
    </w:p>
    <w:p w14:paraId="30CEBB62">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系统交互模式支持同步与异步方式。</w:t>
      </w:r>
    </w:p>
    <w:p w14:paraId="05F761F7">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交互数据支持各种数据类型。</w:t>
      </w:r>
    </w:p>
    <w:bookmarkEnd w:id="144"/>
    <w:bookmarkEnd w:id="145"/>
    <w:bookmarkEnd w:id="146"/>
    <w:p w14:paraId="7E75FF84">
      <w:pPr>
        <w:autoSpaceDE w:val="0"/>
        <w:autoSpaceDN w:val="0"/>
        <w:ind w:left="420" w:firstLine="422" w:firstLineChars="200"/>
        <w:rPr>
          <w:b/>
          <w:bCs/>
          <w:color w:val="000000" w:themeColor="text1"/>
          <w:szCs w:val="21"/>
          <w14:textFill>
            <w14:solidFill>
              <w14:schemeClr w14:val="tx1"/>
            </w14:solidFill>
          </w14:textFill>
        </w:rPr>
      </w:pPr>
      <w:bookmarkStart w:id="147" w:name="_Toc361402592"/>
      <w:bookmarkStart w:id="148" w:name="_Toc361321683"/>
      <w:bookmarkStart w:id="149" w:name="_Toc496690503"/>
      <w:bookmarkStart w:id="150" w:name="_Toc495732429"/>
      <w:bookmarkStart w:id="151" w:name="_Toc496621134"/>
      <w:r>
        <w:rPr>
          <w:rFonts w:hint="eastAsia" w:cs="宋体"/>
          <w:b/>
          <w:bCs/>
          <w:color w:val="000000" w:themeColor="text1"/>
          <w:szCs w:val="21"/>
          <w14:textFill>
            <w14:solidFill>
              <w14:schemeClr w14:val="tx1"/>
            </w14:solidFill>
          </w14:textFill>
        </w:rPr>
        <w:t>（2） 对本项目接口需求的建议</w:t>
      </w:r>
      <w:bookmarkEnd w:id="147"/>
      <w:bookmarkEnd w:id="148"/>
      <w:bookmarkEnd w:id="149"/>
      <w:bookmarkEnd w:id="150"/>
      <w:bookmarkEnd w:id="151"/>
    </w:p>
    <w:p w14:paraId="0FD87367">
      <w:pPr>
        <w:pStyle w:val="114"/>
        <w:spacing w:beforeLines="0" w:afterLines="0"/>
        <w:ind w:left="420" w:firstLine="420"/>
        <w:rPr>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电子化采购属于交易平台与相关业务管理系统，如电子审批系统、统一身份认证系统、音视频服务、短信服务等系统结合紧密，接口特点有以下几个方面：</w:t>
      </w:r>
    </w:p>
    <w:p w14:paraId="7DCFE10C">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涉及相关管理系统多、数据接口多</w:t>
      </w:r>
    </w:p>
    <w:p w14:paraId="2AF99720">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数据交换频繁</w:t>
      </w:r>
    </w:p>
    <w:p w14:paraId="44277394">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交互数据量大</w:t>
      </w:r>
    </w:p>
    <w:p w14:paraId="3889BD26">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信息安全要求高</w:t>
      </w:r>
    </w:p>
    <w:p w14:paraId="172A201E">
      <w:pPr>
        <w:ind w:left="420" w:firstLine="435"/>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根据我们在该行业领域的实施经验及本项目特点，提出以下几个方面的建议：</w:t>
      </w:r>
    </w:p>
    <w:p w14:paraId="461ED30C">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制定统一的技术标准和接口规范，各系统</w:t>
      </w:r>
      <w:r>
        <w:rPr>
          <w:rFonts w:hint="eastAsia" w:cs="宋体"/>
          <w:color w:val="000000" w:themeColor="text1"/>
          <w:szCs w:val="21"/>
          <w14:textFill>
            <w14:solidFill>
              <w14:schemeClr w14:val="tx1"/>
            </w14:solidFill>
          </w14:textFill>
        </w:rPr>
        <w:t>对外服务接口</w:t>
      </w:r>
      <w:r>
        <w:rPr>
          <w:rFonts w:hint="eastAsia" w:cs="宋体"/>
          <w:color w:val="000000" w:themeColor="text1"/>
          <w:szCs w:val="21"/>
          <w:lang w:val="zh-CN"/>
          <w14:textFill>
            <w14:solidFill>
              <w14:schemeClr w14:val="tx1"/>
            </w14:solidFill>
          </w14:textFill>
        </w:rPr>
        <w:t>必须符合接口标准，这样就可以和已有系统实现对接；我们已经有相应的接口标准方案，在随后的项目实施过程中，可以根据本项目的需求特点细化；</w:t>
      </w:r>
    </w:p>
    <w:p w14:paraId="27935D62">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lang w:val="zh-CN"/>
          <w14:textFill>
            <w14:solidFill>
              <w14:schemeClr w14:val="tx1"/>
            </w14:solidFill>
          </w14:textFill>
        </w:rPr>
        <w:t>有标准的接口文档，以确保未来系统扩展能够有完善的帮助文档。</w:t>
      </w:r>
    </w:p>
    <w:p w14:paraId="5B725343">
      <w:pPr>
        <w:pStyle w:val="73"/>
        <w:widowControl/>
        <w:numPr>
          <w:ilvl w:val="0"/>
          <w:numId w:val="18"/>
        </w:numPr>
        <w:autoSpaceDE w:val="0"/>
        <w:autoSpaceDN w:val="0"/>
        <w:spacing w:line="360" w:lineRule="auto"/>
        <w:ind w:left="420" w:leftChars="200" w:firstLine="480" w:firstLineChars="0"/>
        <w:jc w:val="left"/>
        <w:rPr>
          <w:color w:val="000000" w:themeColor="text1"/>
          <w:szCs w:val="21"/>
          <w:lang w:val="zh-CN"/>
          <w14:textFill>
            <w14:solidFill>
              <w14:schemeClr w14:val="tx1"/>
            </w14:solidFill>
          </w14:textFill>
        </w:rPr>
      </w:pPr>
      <w:r>
        <w:rPr>
          <w:rFonts w:hint="eastAsia" w:cs="宋体"/>
          <w:color w:val="000000" w:themeColor="text1"/>
          <w:szCs w:val="21"/>
          <w14:textFill>
            <w14:solidFill>
              <w14:schemeClr w14:val="tx1"/>
            </w14:solidFill>
          </w14:textFill>
        </w:rPr>
        <w:t>有详细的对接时间表，便于各方协调资源，按计划时间完成对接。</w:t>
      </w:r>
    </w:p>
    <w:p w14:paraId="4BF1294D">
      <w:pPr>
        <w:autoSpaceDE w:val="0"/>
        <w:autoSpaceDN w:val="0"/>
        <w:ind w:left="420" w:firstLine="422" w:firstLineChars="200"/>
        <w:rPr>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（3）接口安全设计</w:t>
      </w:r>
    </w:p>
    <w:p w14:paraId="7DCA4164">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为接口请求方分配账号密码，通过调用获取token接口返回生成的token</w:t>
      </w:r>
    </w:p>
    <w:p w14:paraId="533B9209">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每次请求接口的时候请求头携带申请的token访问</w:t>
      </w:r>
    </w:p>
    <w:p w14:paraId="2F5E5516">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token设置有效期，过期需要重新申请</w:t>
      </w:r>
    </w:p>
    <w:p w14:paraId="50F30375">
      <w:pPr>
        <w:autoSpaceDE w:val="0"/>
        <w:autoSpaceDN w:val="0"/>
        <w:ind w:left="420" w:firstLine="422" w:firstLineChars="200"/>
        <w:rPr>
          <w:b/>
          <w:bCs/>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（4）大文件交互方案</w:t>
      </w:r>
    </w:p>
    <w:p w14:paraId="15D890E0">
      <w:pPr>
        <w:ind w:left="420" w:firstLine="420" w:firstLineChars="200"/>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鉴于http文件传输不稳定性，不推荐使用打包传输，目前提供两种交换方案：</w:t>
      </w:r>
    </w:p>
    <w:p w14:paraId="303A8E09">
      <w:pPr>
        <w:pStyle w:val="73"/>
        <w:widowControl/>
        <w:numPr>
          <w:ilvl w:val="0"/>
          <w:numId w:val="18"/>
        </w:numPr>
        <w:autoSpaceDE w:val="0"/>
        <w:autoSpaceDN w:val="0"/>
        <w:spacing w:line="360" w:lineRule="auto"/>
        <w:ind w:left="420" w:leftChars="200" w:firstLine="480" w:firstLineChars="0"/>
        <w:jc w:val="left"/>
        <w:rPr>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对象存储（OSS）外链方式：根据非结构化数据接口得到的单个文件ID，请求获取文件地址接口得到一个有时效性的OSS外链，可直接查看也可下载到本地存储，自由选择。</w:t>
      </w:r>
    </w:p>
    <w:p w14:paraId="5167ACA3">
      <w:pPr>
        <w:pStyle w:val="73"/>
        <w:widowControl/>
        <w:numPr>
          <w:ilvl w:val="0"/>
          <w:numId w:val="18"/>
        </w:numPr>
        <w:autoSpaceDE w:val="0"/>
        <w:autoSpaceDN w:val="0"/>
        <w:spacing w:line="360" w:lineRule="auto"/>
        <w:ind w:left="420" w:leftChars="200" w:firstLine="480" w:firstLineChars="0"/>
        <w:jc w:val="left"/>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SFTP文件传输：如果文件接收方有SFTP服务器，可以通过SFTP协议对大文件进行传输交互。</w:t>
      </w:r>
    </w:p>
    <w:p w14:paraId="1156B9FE">
      <w:pPr>
        <w:snapToGrid w:val="0"/>
        <w:ind w:left="420"/>
        <w:rPr>
          <w:rFonts w:cs="宋体"/>
          <w:sz w:val="20"/>
          <w:szCs w:val="20"/>
        </w:rPr>
      </w:pPr>
    </w:p>
    <w:p w14:paraId="4729F168">
      <w:pPr>
        <w:pStyle w:val="6"/>
        <w:widowControl/>
        <w:spacing w:before="260" w:after="260" w:line="416" w:lineRule="auto"/>
        <w:ind w:left="0" w:firstLine="0"/>
      </w:pPr>
      <w:bookmarkStart w:id="152" w:name="_Toc180265611"/>
      <w:r>
        <w:rPr>
          <w:rFonts w:hint="eastAsia"/>
        </w:rPr>
        <w:t>技术架构</w:t>
      </w:r>
      <w:bookmarkEnd w:id="152"/>
    </w:p>
    <w:p w14:paraId="2F1EFC19">
      <w:pPr>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在系统技术路线的选择上，我们首选成熟可靠，技术先进且已经得到较广泛应用的技术方案，所以，对于本次项目，除了采用以Java技术为主，J2EE架构开发的先进的自主组件平台之外，还结合了微服务架构和容器化技术，以实现系统的灵活性和可扩展性。</w:t>
      </w:r>
    </w:p>
    <w:p w14:paraId="52BA1257">
      <w:pPr>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Java技术由于其跨平台特性、面向对象特性和安全特性等，已经成为构建各类企业应用的标准。J2EE则把数据库访问、Java组件和WEB技术等有机地集成在一起，使之特别适合于构建复杂的大中型应用，更好支持B/S结构，保证系统具有很好的可扩展性和可维护性。</w:t>
      </w:r>
    </w:p>
    <w:p w14:paraId="475E637B">
      <w:pPr>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同时，我们采用了微服务架构，将系统划分为多个独立的服务，每个服务都可以独立地运行和更新，从而提高了系统的可维护性和可扩展性。此外，我们还采用了容器化技术，使每个服务都可以独立地运行在容器中，进一步提高了系统的灵活性和可扩展性。</w:t>
      </w:r>
    </w:p>
    <w:p w14:paraId="0B1B314A">
      <w:pPr>
        <w:spacing w:line="360" w:lineRule="auto"/>
        <w:ind w:left="420" w:firstLine="420" w:firstLineChars="200"/>
        <w:rPr>
          <w:rFonts w:hint="eastAsia"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通过这些成熟先进技术的结合，我们相信本次项目能够构建出一个稳定、安全、可扩展的系统，更好地满足用户的需求。此外，我们还将持续监控系统的运行状态，收集系统运行过程中的各类数据，包括系统性能、用户行为、业务数据等，以便及时发现问题、优化系统性能、提升用户体验。</w:t>
      </w:r>
    </w:p>
    <w:p w14:paraId="2D3EA1ED">
      <w:pPr>
        <w:spacing w:line="360" w:lineRule="auto"/>
        <w:ind w:left="420" w:firstLine="420" w:firstLineChars="200"/>
        <w:rPr>
          <w:rFonts w:hint="eastAsia"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系统将按照互联网系统应用建设的思维，充分运用</w:t>
      </w:r>
      <w:r>
        <w:rPr>
          <w:rFonts w:hint="eastAsia" w:cs="宋体" w:asciiTheme="minorEastAsia" w:hAnsiTheme="minorEastAsia"/>
          <w:b/>
          <w:bCs/>
          <w:color w:val="000000" w:themeColor="text1"/>
          <w:szCs w:val="21"/>
          <w14:textFill>
            <w14:solidFill>
              <w14:schemeClr w14:val="tx1"/>
            </w14:solidFill>
          </w14:textFill>
        </w:rPr>
        <w:t>微服务架构+中台策略（数据中台、技术中台、业务中台）</w:t>
      </w:r>
      <w:r>
        <w:rPr>
          <w:rFonts w:hint="eastAsia" w:cs="宋体" w:asciiTheme="minorEastAsia" w:hAnsiTheme="minorEastAsia"/>
          <w:color w:val="000000" w:themeColor="text1"/>
          <w:szCs w:val="21"/>
          <w14:textFill>
            <w14:solidFill>
              <w14:schemeClr w14:val="tx1"/>
            </w14:solidFill>
          </w14:textFill>
        </w:rPr>
        <w:t>，采用前后台分离技术，按角色解耦业务模块功能，构建完善的电子交易能力与开放平台，实现和第三方系统、公共服务平台、行政监管平台的无缝对接，总体技术框架如下：</w:t>
      </w:r>
    </w:p>
    <w:p w14:paraId="56D6C3DC">
      <w:pPr>
        <w:rPr>
          <w:rFonts w:hint="eastAsia"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drawing>
          <wp:inline distT="0" distB="0" distL="114300" distR="114300">
            <wp:extent cx="6029960" cy="3247390"/>
            <wp:effectExtent l="0" t="0" r="8890" b="10160"/>
            <wp:docPr id="2098497319" name="图片 20984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97319" name="图片 2098497319"/>
                    <pic:cNvPicPr>
                      <a:picLocks noChangeAspect="1"/>
                    </pic:cNvPicPr>
                  </pic:nvPicPr>
                  <pic:blipFill>
                    <a:blip r:embed="rId113"/>
                    <a:stretch>
                      <a:fillRect/>
                    </a:stretch>
                  </pic:blipFill>
                  <pic:spPr>
                    <a:xfrm>
                      <a:off x="0" y="0"/>
                      <a:ext cx="6029960" cy="3247390"/>
                    </a:xfrm>
                    <a:prstGeom prst="rect">
                      <a:avLst/>
                    </a:prstGeom>
                    <a:noFill/>
                    <a:ln>
                      <a:noFill/>
                    </a:ln>
                  </pic:spPr>
                </pic:pic>
              </a:graphicData>
            </a:graphic>
          </wp:inline>
        </w:drawing>
      </w:r>
    </w:p>
    <w:p w14:paraId="0824A2B2">
      <w:pPr>
        <w:spacing w:line="360" w:lineRule="auto"/>
        <w:ind w:left="420"/>
        <w:rPr>
          <w:rFonts w:hint="eastAsia" w:asciiTheme="minorEastAsia" w:hAnsiTheme="minorEastAsia"/>
          <w:color w:val="000000" w:themeColor="text1"/>
          <w:sz w:val="24"/>
          <w14:textFill>
            <w14:solidFill>
              <w14:schemeClr w14:val="tx1"/>
            </w14:solidFill>
          </w14:textFill>
        </w:rPr>
      </w:pPr>
    </w:p>
    <w:p w14:paraId="00823CFE">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系统建设部署的交易平台性能要求参照《电子招标投标办法》技术规范里的性能指标（包括响应时间、文件传输吞吐量、关键业务模块处理能力），以此作为基本要求进行容量规划和设计，设计上应满足建设单位自身项目规模的需求。</w:t>
      </w:r>
    </w:p>
    <w:p w14:paraId="1F6A83D7">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在并发量的设计上，满足全国19家工业公司、33个省级商业公司等内部用户以及外部代理机构、中标人（供应商）、评审专家等外部用户在线开展采购交易监管业务等要求。</w:t>
      </w:r>
    </w:p>
    <w:p w14:paraId="54507EFC">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系统吞吐量满足文件传输不低于100Mbit/S，开标解密功能每分钟文件解密处理大于300个或3GB。</w:t>
      </w:r>
    </w:p>
    <w:p w14:paraId="2F247183">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为实现以上设计目标，我们将通过以下几个方面的设计来确保目标得以实现，保障电子交易业务高峰期间的稳定顺畅运行：</w:t>
      </w:r>
    </w:p>
    <w:p w14:paraId="24237639">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一、系统架构设计，平台采用分布式架构，将系统拆分成多个模块，每个模块可以独立部署和扩展，以满足高并发和海量数据处理的需求。同时在系统中部署负载均衡器，将用户请求分发到多个服务器上，确保每台服务器都能均匀承载请求，避免单点故障和性能瓶颈。另外引入缓存机制，如Redis，缓存热点数据和常用数据，减少数据库访问压力，提高系统响应速度。</w:t>
      </w:r>
    </w:p>
    <w:p w14:paraId="7F7B350E">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二、数据库设计，根据业务特点将数据库拆分成多个子库，每个子库承载不同的业务数据，提高数据库的处理能力和扩展性。采用数据库读写分离技术，将读操作和写操作分散到不同的数据库服务器上，提高数据访问效率。</w:t>
      </w:r>
    </w:p>
    <w:p w14:paraId="34AF5DD0">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三、系统缩扩容，通过虚拟化平台提供的弹性伸缩服务，根据系统负载情况调整服务器节点数量，实现资源的动态分配和回收。</w:t>
      </w:r>
    </w:p>
    <w:p w14:paraId="46AEB4A0">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asciiTheme="minorEastAsia" w:hAnsiTheme="minorEastAsia"/>
          <w:color w:val="000000" w:themeColor="text1"/>
          <w:szCs w:val="21"/>
          <w:lang w:bidi="ar"/>
          <w14:textFill>
            <w14:solidFill>
              <w14:schemeClr w14:val="tx1"/>
            </w14:solidFill>
          </w14:textFill>
        </w:rPr>
        <w:t>四、对关键业务处理能力优化，包括文件传输优化，采用多线程和断点续传技术来加速文件传输；开标解密功能优化，采用并行处理技术，提高解密速度和吞吐量。</w:t>
      </w:r>
    </w:p>
    <w:p w14:paraId="37544394">
      <w:pPr>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具体的技术选型参数如下：</w:t>
      </w:r>
    </w:p>
    <w:p w14:paraId="36B15C5C">
      <w:pPr>
        <w:autoSpaceDE w:val="0"/>
        <w:autoSpaceDN w:val="0"/>
        <w:spacing w:line="360" w:lineRule="auto"/>
        <w:ind w:left="420" w:firstLine="420"/>
        <w:rPr>
          <w:rFonts w:hint="eastAsia" w:asciiTheme="minorEastAsia" w:hAnsiTheme="minorEastAsia"/>
          <w:color w:val="000000" w:themeColor="text1"/>
          <w:szCs w:val="21"/>
          <w14:textFill>
            <w14:solidFill>
              <w14:schemeClr w14:val="tx1"/>
            </w14:solidFill>
          </w14:textFill>
        </w:rPr>
      </w:pPr>
      <w:r>
        <w:rPr>
          <w:rFonts w:cs="宋体" w:asciiTheme="minorEastAsia" w:hAnsiTheme="minorEastAsia"/>
          <w:color w:val="000000" w:themeColor="text1"/>
          <w:szCs w:val="21"/>
          <w14:textFill>
            <w14:solidFill>
              <w14:schemeClr w14:val="tx1"/>
            </w14:solidFill>
          </w14:textFill>
        </w:rPr>
        <w:t>1.</w:t>
      </w:r>
      <w:r>
        <w:rPr>
          <w:rFonts w:hint="eastAsia" w:cs="宋体" w:asciiTheme="minorEastAsia" w:hAnsiTheme="minorEastAsia"/>
          <w:color w:val="000000" w:themeColor="text1"/>
          <w:szCs w:val="21"/>
          <w14:textFill>
            <w14:solidFill>
              <w14:schemeClr w14:val="tx1"/>
            </w14:solidFill>
          </w14:textFill>
        </w:rPr>
        <w:t>Web框架，Spring Boot + Spring MVC</w:t>
      </w:r>
    </w:p>
    <w:p w14:paraId="4D30F5DC">
      <w:pPr>
        <w:autoSpaceDE w:val="0"/>
        <w:autoSpaceDN w:val="0"/>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前端框架：Vue、Bootstrap</w:t>
      </w:r>
    </w:p>
    <w:p w14:paraId="6A54DADA">
      <w:pPr>
        <w:autoSpaceDE w:val="0"/>
        <w:autoSpaceDN w:val="0"/>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微服务框架：Spring Cloud, Dubbo</w:t>
      </w:r>
    </w:p>
    <w:p w14:paraId="545CC68B">
      <w:pPr>
        <w:autoSpaceDE w:val="0"/>
        <w:autoSpaceDN w:val="0"/>
        <w:spacing w:line="360" w:lineRule="auto"/>
        <w:ind w:left="420" w:firstLine="42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持久层，MyBatis</w:t>
      </w:r>
    </w:p>
    <w:p w14:paraId="0639AB2D">
      <w:pPr>
        <w:autoSpaceDE w:val="0"/>
        <w:autoSpaceDN w:val="0"/>
        <w:spacing w:line="360" w:lineRule="auto"/>
        <w:ind w:left="420" w:firstLine="42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关系型数据库：MySQL</w:t>
      </w:r>
    </w:p>
    <w:p w14:paraId="6D68874E">
      <w:pPr>
        <w:autoSpaceDE w:val="0"/>
        <w:autoSpaceDN w:val="0"/>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6</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数据库连接池：Druid</w:t>
      </w:r>
    </w:p>
    <w:p w14:paraId="5E1BB0BF">
      <w:pPr>
        <w:autoSpaceDE w:val="0"/>
        <w:autoSpaceDN w:val="0"/>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7</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应用服务器：Tomcat</w:t>
      </w:r>
    </w:p>
    <w:p w14:paraId="67588180">
      <w:pPr>
        <w:autoSpaceDE w:val="0"/>
        <w:autoSpaceDN w:val="0"/>
        <w:spacing w:line="360" w:lineRule="auto"/>
        <w:ind w:left="420" w:firstLine="420" w:firstLineChars="200"/>
        <w:rPr>
          <w:rFonts w:hint="eastAsia"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8</w:t>
      </w:r>
      <w:r>
        <w:rPr>
          <w:rFonts w:cs="宋体" w:asciiTheme="minorEastAsia" w:hAnsiTheme="minorEastAsia"/>
          <w:color w:val="000000" w:themeColor="text1"/>
          <w:szCs w:val="21"/>
          <w14:textFill>
            <w14:solidFill>
              <w14:schemeClr w14:val="tx1"/>
            </w14:solidFill>
          </w14:textFill>
        </w:rPr>
        <w:t>.</w:t>
      </w:r>
      <w:r>
        <w:rPr>
          <w:rFonts w:hint="eastAsia" w:cs="宋体" w:asciiTheme="minorEastAsia" w:hAnsiTheme="minorEastAsia"/>
          <w:color w:val="000000" w:themeColor="text1"/>
          <w:szCs w:val="21"/>
          <w14:textFill>
            <w14:solidFill>
              <w14:schemeClr w14:val="tx1"/>
            </w14:solidFill>
          </w14:textFill>
        </w:rPr>
        <w:t>负载均衡和反向代理：Tengine</w:t>
      </w:r>
    </w:p>
    <w:p w14:paraId="496CFDD7">
      <w:pPr>
        <w:autoSpaceDE w:val="0"/>
        <w:autoSpaceDN w:val="0"/>
        <w:spacing w:line="360" w:lineRule="auto"/>
        <w:ind w:left="420" w:firstLine="420" w:firstLineChars="20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9.缓存中间件：Redis</w:t>
      </w:r>
    </w:p>
    <w:p w14:paraId="755301FC">
      <w:pPr>
        <w:autoSpaceDE w:val="0"/>
        <w:autoSpaceDN w:val="0"/>
        <w:spacing w:line="360" w:lineRule="auto"/>
        <w:ind w:left="420" w:firstLine="420"/>
        <w:rPr>
          <w:rFonts w:hint="eastAsia"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w:t>
      </w:r>
      <w:r>
        <w:rPr>
          <w:rFonts w:cs="宋体" w:asciiTheme="minorEastAsia" w:hAnsiTheme="minorEastAsia"/>
          <w:color w:val="000000" w:themeColor="text1"/>
          <w:szCs w:val="21"/>
          <w14:textFill>
            <w14:solidFill>
              <w14:schemeClr w14:val="tx1"/>
            </w14:solidFill>
          </w14:textFill>
        </w:rPr>
        <w:t>0.</w:t>
      </w:r>
      <w:r>
        <w:rPr>
          <w:rFonts w:hint="eastAsia" w:cs="宋体" w:asciiTheme="minorEastAsia" w:hAnsiTheme="minorEastAsia"/>
          <w:color w:val="000000" w:themeColor="text1"/>
          <w:szCs w:val="21"/>
          <w14:textFill>
            <w14:solidFill>
              <w14:schemeClr w14:val="tx1"/>
            </w14:solidFill>
          </w14:textFill>
        </w:rPr>
        <w:t>消息服务中间件：RocketMQ</w:t>
      </w:r>
    </w:p>
    <w:p w14:paraId="0C801B6F">
      <w:pPr>
        <w:autoSpaceDE w:val="0"/>
        <w:autoSpaceDN w:val="0"/>
        <w:spacing w:line="360" w:lineRule="auto"/>
        <w:ind w:left="420" w:firstLine="420" w:firstLineChars="200"/>
        <w:rPr>
          <w:rFonts w:hint="eastAsia"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w:t>
      </w:r>
      <w:r>
        <w:rPr>
          <w:rFonts w:cs="宋体" w:asciiTheme="minorEastAsia" w:hAnsiTheme="minorEastAsia"/>
          <w:color w:val="000000" w:themeColor="text1"/>
          <w:szCs w:val="21"/>
          <w14:textFill>
            <w14:solidFill>
              <w14:schemeClr w14:val="tx1"/>
            </w14:solidFill>
          </w14:textFill>
        </w:rPr>
        <w:t>1.</w:t>
      </w:r>
      <w:r>
        <w:rPr>
          <w:rFonts w:hint="eastAsia" w:cs="宋体" w:asciiTheme="minorEastAsia" w:hAnsiTheme="minorEastAsia"/>
          <w:color w:val="000000" w:themeColor="text1"/>
          <w:szCs w:val="21"/>
          <w14:textFill>
            <w14:solidFill>
              <w14:schemeClr w14:val="tx1"/>
            </w14:solidFill>
          </w14:textFill>
        </w:rPr>
        <w:t>安全框架：Spring Security + CAS单点登录</w:t>
      </w:r>
    </w:p>
    <w:p w14:paraId="29A9209B">
      <w:pPr>
        <w:autoSpaceDE w:val="0"/>
        <w:autoSpaceDN w:val="0"/>
        <w:spacing w:line="360" w:lineRule="auto"/>
        <w:ind w:left="420" w:firstLine="420" w:firstLineChars="200"/>
        <w:rPr>
          <w:rFonts w:hint="eastAsia" w:asciiTheme="minorEastAsia" w:hAnsiTheme="minorEastAsia"/>
          <w:color w:val="000000" w:themeColor="text1"/>
          <w:szCs w:val="21"/>
          <w:lang w:bidi="ar"/>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w:t>
      </w:r>
      <w:r>
        <w:rPr>
          <w:rFonts w:cs="宋体" w:asciiTheme="minorEastAsia" w:hAnsiTheme="minorEastAsia"/>
          <w:color w:val="000000" w:themeColor="text1"/>
          <w:szCs w:val="21"/>
          <w14:textFill>
            <w14:solidFill>
              <w14:schemeClr w14:val="tx1"/>
            </w14:solidFill>
          </w14:textFill>
        </w:rPr>
        <w:t>2.</w:t>
      </w:r>
      <w:r>
        <w:rPr>
          <w:rFonts w:hint="eastAsia" w:cs="宋体" w:asciiTheme="minorEastAsia" w:hAnsiTheme="minorEastAsia"/>
          <w:color w:val="000000" w:themeColor="text1"/>
          <w:szCs w:val="21"/>
          <w14:textFill>
            <w14:solidFill>
              <w14:schemeClr w14:val="tx1"/>
            </w14:solidFill>
          </w14:textFill>
        </w:rPr>
        <w:t>容器化技术：Docker、Kubernetes</w:t>
      </w:r>
    </w:p>
    <w:p w14:paraId="5854A563">
      <w:pPr>
        <w:pStyle w:val="7"/>
        <w:widowControl/>
        <w:spacing w:before="280" w:after="290" w:line="376" w:lineRule="auto"/>
        <w:ind w:left="0" w:firstLine="0"/>
      </w:pPr>
      <w:r>
        <w:rPr>
          <w:rFonts w:hint="eastAsia"/>
        </w:rPr>
        <w:t>前端框架</w:t>
      </w:r>
    </w:p>
    <w:p w14:paraId="4259A0F4">
      <w:pPr>
        <w:pStyle w:val="2"/>
        <w:ind w:firstLine="480"/>
      </w:pPr>
      <w:r>
        <w:rPr>
          <w:rFonts w:ascii="宋体" w:hAnsi="宋体" w:cs="宋体"/>
          <w:sz w:val="24"/>
        </w:rPr>
        <w:drawing>
          <wp:inline distT="0" distB="0" distL="114300" distR="114300">
            <wp:extent cx="1713865" cy="871220"/>
            <wp:effectExtent l="0" t="0" r="635" b="5080"/>
            <wp:docPr id="26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9" descr="IMG_256"/>
                    <pic:cNvPicPr>
                      <a:picLocks noChangeAspect="1"/>
                    </pic:cNvPicPr>
                  </pic:nvPicPr>
                  <pic:blipFill>
                    <a:blip r:embed="rId114"/>
                    <a:stretch>
                      <a:fillRect/>
                    </a:stretch>
                  </pic:blipFill>
                  <pic:spPr>
                    <a:xfrm>
                      <a:off x="0" y="0"/>
                      <a:ext cx="1713865" cy="871220"/>
                    </a:xfrm>
                    <a:prstGeom prst="rect">
                      <a:avLst/>
                    </a:prstGeom>
                    <a:noFill/>
                    <a:ln w="9525">
                      <a:noFill/>
                    </a:ln>
                  </pic:spPr>
                </pic:pic>
              </a:graphicData>
            </a:graphic>
          </wp:inline>
        </w:drawing>
      </w:r>
      <w:r>
        <w:rPr>
          <w:rFonts w:ascii="宋体" w:hAnsi="宋体" w:cs="宋体"/>
          <w:sz w:val="24"/>
        </w:rPr>
        <w:drawing>
          <wp:inline distT="0" distB="0" distL="114300" distR="114300">
            <wp:extent cx="2364105" cy="615950"/>
            <wp:effectExtent l="0" t="0" r="17145" b="12700"/>
            <wp:docPr id="270"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8" descr="IMG_256"/>
                    <pic:cNvPicPr>
                      <a:picLocks noChangeAspect="1"/>
                    </pic:cNvPicPr>
                  </pic:nvPicPr>
                  <pic:blipFill>
                    <a:blip r:embed="rId115"/>
                    <a:stretch>
                      <a:fillRect/>
                    </a:stretch>
                  </pic:blipFill>
                  <pic:spPr>
                    <a:xfrm>
                      <a:off x="0" y="0"/>
                      <a:ext cx="2364105" cy="615950"/>
                    </a:xfrm>
                    <a:prstGeom prst="rect">
                      <a:avLst/>
                    </a:prstGeom>
                    <a:noFill/>
                    <a:ln w="9525">
                      <a:noFill/>
                    </a:ln>
                  </pic:spPr>
                </pic:pic>
              </a:graphicData>
            </a:graphic>
          </wp:inline>
        </w:drawing>
      </w:r>
    </w:p>
    <w:p w14:paraId="03809041">
      <w:pPr>
        <w:pStyle w:val="2"/>
        <w:spacing w:line="360" w:lineRule="auto"/>
        <w:rPr>
          <w:rFonts w:hint="eastAsia" w:ascii="宋体" w:hAnsi="宋体" w:cs="宋体"/>
          <w:szCs w:val="21"/>
        </w:rPr>
      </w:pPr>
      <w:r>
        <w:rPr>
          <w:rFonts w:hint="eastAsia" w:ascii="宋体" w:hAnsi="宋体" w:cs="宋体"/>
          <w:szCs w:val="21"/>
        </w:rPr>
        <w:t>Vue.js 是一个渐进式 JavaScript 框架，用于构建用户界面。它采用自底向上增量开发的设计，易于上手，同时也可以与其他库或现有项目集成。Vue.js 的核心库只关注视图层，具有响应式数据绑定和组件化开发的特点。</w:t>
      </w:r>
    </w:p>
    <w:p w14:paraId="762AB865">
      <w:pPr>
        <w:pStyle w:val="2"/>
        <w:spacing w:line="360" w:lineRule="auto"/>
        <w:rPr>
          <w:rFonts w:hint="eastAsia" w:ascii="宋体" w:hAnsi="宋体" w:cs="宋体"/>
          <w:szCs w:val="21"/>
        </w:rPr>
      </w:pPr>
      <w:r>
        <w:rPr>
          <w:rFonts w:hint="eastAsia" w:ascii="宋体" w:hAnsi="宋体" w:cs="宋体"/>
          <w:szCs w:val="21"/>
        </w:rPr>
        <w:t>Element UI 是一套基于 Vue.js 的桌面端组件库，提供了丰富的 UI 组件和交互效果，帮助开发者快速构建美观、易用的用户界面。Element UI 遵循了 Material Design 设计规范，具有简洁、大气的风格。</w:t>
      </w:r>
    </w:p>
    <w:p w14:paraId="5FF0F007">
      <w:pPr>
        <w:pStyle w:val="2"/>
        <w:spacing w:line="360" w:lineRule="auto"/>
        <w:rPr>
          <w:rFonts w:hint="eastAsia" w:ascii="宋体" w:hAnsi="宋体" w:cs="宋体"/>
          <w:szCs w:val="21"/>
          <w:shd w:val="clear" w:color="auto" w:fill="FFFFFF"/>
        </w:rPr>
      </w:pPr>
      <w:r>
        <w:rPr>
          <w:rFonts w:hint="eastAsia" w:ascii="宋体" w:hAnsi="宋体" w:cs="宋体"/>
          <w:szCs w:val="21"/>
          <w:shd w:val="clear" w:color="auto" w:fill="FFFFFF"/>
        </w:rPr>
        <w:t>Vue.js 和 Element UI 是前端开发中非常强大的组合，它们为开发者提供了高效、美观、易用的工具，适用于构建各种类型的 Web 应用程序。</w:t>
      </w:r>
    </w:p>
    <w:p w14:paraId="393527C4">
      <w:pPr>
        <w:pStyle w:val="2"/>
        <w:spacing w:line="360" w:lineRule="auto"/>
        <w:rPr>
          <w:rFonts w:hint="eastAsia" w:ascii="宋体" w:hAnsi="宋体" w:cs="宋体"/>
          <w:szCs w:val="21"/>
          <w:shd w:val="clear" w:color="auto" w:fill="FFFFFF"/>
        </w:rPr>
      </w:pPr>
      <w:r>
        <w:rPr>
          <w:rFonts w:hint="eastAsia" w:ascii="宋体" w:hAnsi="宋体" w:cs="宋体"/>
          <w:szCs w:val="21"/>
          <w:shd w:val="clear" w:color="auto" w:fill="FFFFFF"/>
        </w:rPr>
        <w:t>1．快速开发：Vue.js 的组件化开发和响应式数据绑定与 Element UI 的丰富组件相结合，可以大大提高前端开发效率。开发者可以快速构建出功能强大、界面美观的用户界面，减少了重复劳动。</w:t>
      </w:r>
    </w:p>
    <w:p w14:paraId="47436145">
      <w:pPr>
        <w:pStyle w:val="2"/>
        <w:spacing w:line="360" w:lineRule="auto"/>
        <w:rPr>
          <w:rFonts w:hint="eastAsia" w:ascii="宋体" w:hAnsi="宋体" w:cs="宋体"/>
          <w:szCs w:val="21"/>
          <w:shd w:val="clear" w:color="auto" w:fill="FFFFFF"/>
        </w:rPr>
      </w:pPr>
      <w:r>
        <w:rPr>
          <w:rFonts w:hint="eastAsia" w:ascii="宋体" w:hAnsi="宋体" w:cs="宋体"/>
          <w:szCs w:val="21"/>
          <w:shd w:val="clear" w:color="auto" w:fill="FFFFFF"/>
        </w:rPr>
        <w:t>2．统一风格：Element UI 遵循 Material Design 设计规范，具有统一的风格和交互效果。与 Vue.js 结合使用可以确保整个应用的界面风格一致，提高用户体验。</w:t>
      </w:r>
    </w:p>
    <w:p w14:paraId="7EF77073">
      <w:pPr>
        <w:pStyle w:val="2"/>
        <w:spacing w:line="360" w:lineRule="auto"/>
        <w:rPr>
          <w:rFonts w:hint="eastAsia" w:ascii="宋体" w:hAnsi="宋体" w:cs="宋体"/>
          <w:szCs w:val="21"/>
          <w:shd w:val="clear" w:color="auto" w:fill="FFFFFF"/>
        </w:rPr>
      </w:pPr>
      <w:r>
        <w:rPr>
          <w:rFonts w:hint="eastAsia" w:ascii="宋体" w:hAnsi="宋体" w:cs="宋体"/>
          <w:szCs w:val="21"/>
          <w:shd w:val="clear" w:color="auto" w:fill="FFFFFF"/>
        </w:rPr>
        <w:t>3．易于维护：组件化开发和丰富的文档使得代码易于维护和扩展。当需要修改某个组件的功能或样式时，只需要在对应的组件中进行修改，不会影响其他部分的代码。</w:t>
      </w:r>
    </w:p>
    <w:p w14:paraId="75A1EA8E">
      <w:pPr>
        <w:pStyle w:val="2"/>
        <w:spacing w:line="360" w:lineRule="auto"/>
        <w:rPr>
          <w:rFonts w:hint="eastAsia" w:ascii="宋体" w:hAnsi="宋体" w:cs="宋体"/>
          <w:szCs w:val="21"/>
          <w:shd w:val="clear" w:color="auto" w:fill="FFFFFF"/>
        </w:rPr>
      </w:pPr>
      <w:r>
        <w:rPr>
          <w:rFonts w:hint="eastAsia" w:ascii="宋体" w:hAnsi="宋体" w:cs="宋体"/>
          <w:szCs w:val="21"/>
          <w:shd w:val="clear" w:color="auto" w:fill="FFFFFF"/>
        </w:rPr>
        <w:t>4．社区支持：Vue.js 和 Element UI 都有庞大的社区支持，开发者可以在社区中找到大量的解决方案和资源。这使得在开发过程中遇到问题时可以快速得到解决。</w:t>
      </w:r>
    </w:p>
    <w:p w14:paraId="5FB03050">
      <w:pPr>
        <w:pStyle w:val="7"/>
        <w:widowControl/>
        <w:spacing w:before="280" w:after="290" w:line="376" w:lineRule="auto"/>
        <w:ind w:left="0" w:firstLine="0"/>
      </w:pPr>
      <w:r>
        <w:rPr>
          <w:rFonts w:hint="eastAsia"/>
        </w:rPr>
        <w:t>后端Web框架</w:t>
      </w:r>
    </w:p>
    <w:p w14:paraId="053A481B">
      <w:pPr>
        <w:pStyle w:val="2"/>
        <w:ind w:firstLine="480"/>
      </w:pPr>
      <w:r>
        <w:rPr>
          <w:rFonts w:ascii="宋体" w:hAnsi="宋体" w:cs="宋体"/>
          <w:sz w:val="24"/>
        </w:rPr>
        <w:drawing>
          <wp:inline distT="0" distB="0" distL="114300" distR="114300">
            <wp:extent cx="1915160" cy="1141095"/>
            <wp:effectExtent l="0" t="0" r="8890" b="1905"/>
            <wp:docPr id="27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5" descr="IMG_256"/>
                    <pic:cNvPicPr>
                      <a:picLocks noChangeAspect="1"/>
                    </pic:cNvPicPr>
                  </pic:nvPicPr>
                  <pic:blipFill>
                    <a:blip r:embed="rId116"/>
                    <a:stretch>
                      <a:fillRect/>
                    </a:stretch>
                  </pic:blipFill>
                  <pic:spPr>
                    <a:xfrm>
                      <a:off x="0" y="0"/>
                      <a:ext cx="1915160" cy="1141095"/>
                    </a:xfrm>
                    <a:prstGeom prst="rect">
                      <a:avLst/>
                    </a:prstGeom>
                    <a:noFill/>
                    <a:ln w="9525">
                      <a:noFill/>
                    </a:ln>
                  </pic:spPr>
                </pic:pic>
              </a:graphicData>
            </a:graphic>
          </wp:inline>
        </w:drawing>
      </w:r>
      <w:r>
        <w:rPr>
          <w:rFonts w:ascii="宋体" w:hAnsi="宋体" w:cs="宋体"/>
          <w:sz w:val="24"/>
        </w:rPr>
        <w:drawing>
          <wp:inline distT="0" distB="0" distL="114300" distR="114300">
            <wp:extent cx="1925955" cy="1130300"/>
            <wp:effectExtent l="0" t="0" r="17145" b="12700"/>
            <wp:docPr id="27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6" descr="IMG_256"/>
                    <pic:cNvPicPr>
                      <a:picLocks noChangeAspect="1"/>
                    </pic:cNvPicPr>
                  </pic:nvPicPr>
                  <pic:blipFill>
                    <a:blip r:embed="rId117"/>
                    <a:stretch>
                      <a:fillRect/>
                    </a:stretch>
                  </pic:blipFill>
                  <pic:spPr>
                    <a:xfrm>
                      <a:off x="0" y="0"/>
                      <a:ext cx="1925955" cy="1130300"/>
                    </a:xfrm>
                    <a:prstGeom prst="rect">
                      <a:avLst/>
                    </a:prstGeom>
                    <a:noFill/>
                    <a:ln w="9525">
                      <a:noFill/>
                    </a:ln>
                  </pic:spPr>
                </pic:pic>
              </a:graphicData>
            </a:graphic>
          </wp:inline>
        </w:drawing>
      </w:r>
    </w:p>
    <w:p w14:paraId="27ECDB86">
      <w:pPr>
        <w:pStyle w:val="2"/>
        <w:spacing w:line="360" w:lineRule="auto"/>
        <w:rPr>
          <w:rFonts w:hint="eastAsia" w:ascii="宋体" w:hAnsi="宋体" w:cs="宋体"/>
          <w:szCs w:val="21"/>
        </w:rPr>
      </w:pPr>
      <w:r>
        <w:rPr>
          <w:rFonts w:hint="eastAsia" w:ascii="宋体" w:hAnsi="宋体" w:cs="宋体"/>
          <w:szCs w:val="21"/>
        </w:rPr>
        <w:t>Spring Boot 是一个基于 Spring 框架的快速开发框架，它简化了 Spring 应用的搭建和部署过程。通过自动配置和约定大于配置的理念，开发者可以快速创建独立运行的、生产级别的 Spring 应用。</w:t>
      </w:r>
    </w:p>
    <w:p w14:paraId="44AE617F">
      <w:pPr>
        <w:pStyle w:val="2"/>
        <w:spacing w:line="360" w:lineRule="auto"/>
        <w:rPr>
          <w:rFonts w:hint="eastAsia" w:ascii="宋体" w:hAnsi="宋体" w:cs="宋体"/>
          <w:szCs w:val="21"/>
        </w:rPr>
      </w:pPr>
      <w:r>
        <w:rPr>
          <w:rFonts w:hint="eastAsia" w:ascii="宋体" w:hAnsi="宋体" w:cs="宋体"/>
          <w:szCs w:val="21"/>
        </w:rPr>
        <w:t>Spring MVC 是 Spring 框架中的一个模块，用于构建 Web 应用程序。它实现了模型 - 视图 - 控制器（MVC）设计模式，将应用程序的业务逻辑、数据展示和用户交互分离开来，提高了代码的可维护性和可扩展性。</w:t>
      </w:r>
    </w:p>
    <w:p w14:paraId="70DF195A">
      <w:pPr>
        <w:pStyle w:val="2"/>
        <w:spacing w:line="360" w:lineRule="auto"/>
        <w:rPr>
          <w:rFonts w:hint="eastAsia" w:ascii="宋体" w:hAnsi="宋体" w:cs="宋体"/>
          <w:szCs w:val="21"/>
        </w:rPr>
      </w:pPr>
      <w:r>
        <w:rPr>
          <w:rFonts w:hint="eastAsia" w:ascii="宋体" w:hAnsi="宋体" w:cs="宋体"/>
          <w:szCs w:val="21"/>
        </w:rPr>
        <w:t>Spring Boot 和 Spring MVC 是一对强大的组合，为 Java 开发人员提供了高效、简洁、可维护的开发框架，适用于构建各种类型的企业级 Web 应用程序。</w:t>
      </w:r>
    </w:p>
    <w:p w14:paraId="39DC9831">
      <w:pPr>
        <w:pStyle w:val="2"/>
        <w:spacing w:line="360" w:lineRule="auto"/>
        <w:rPr>
          <w:rFonts w:hint="eastAsia" w:ascii="宋体" w:hAnsi="宋体" w:cs="宋体"/>
          <w:szCs w:val="21"/>
        </w:rPr>
      </w:pPr>
      <w:r>
        <w:rPr>
          <w:rFonts w:hint="eastAsia" w:ascii="宋体" w:hAnsi="宋体" w:cs="宋体"/>
          <w:szCs w:val="21"/>
        </w:rPr>
        <w:t>1．快速构建 Web 应用：Spring Boot 的快速启动和自动化配置功能与 Spring MVC 的强大 Web 开发功能相结合，可以快速构建出功能丰富的 Web 应用程序。开发者只需关注业务逻辑的实现，无需花费大量时间在配置和部署上。</w:t>
      </w:r>
    </w:p>
    <w:p w14:paraId="5EC76B70">
      <w:pPr>
        <w:pStyle w:val="2"/>
        <w:spacing w:line="360" w:lineRule="auto"/>
        <w:rPr>
          <w:rFonts w:hint="eastAsia" w:ascii="宋体" w:hAnsi="宋体" w:cs="宋体"/>
          <w:szCs w:val="21"/>
        </w:rPr>
      </w:pPr>
      <w:r>
        <w:rPr>
          <w:rFonts w:hint="eastAsia" w:ascii="宋体" w:hAnsi="宋体" w:cs="宋体"/>
          <w:szCs w:val="21"/>
        </w:rPr>
        <w:t>2．简化开发流程：Spring Boot 提供了很多默认配置和起步依赖，使得在使用 Spring MVC 时无需手动配置很多常见的功能，如数据库连接、日志记录等。同时，Spring Boot 的开发工具（如 Spring Tool Suite、IntelliJ IDEA 等）提供了良好的开发体验，进一步简化了开发流程。</w:t>
      </w:r>
    </w:p>
    <w:p w14:paraId="23718726">
      <w:pPr>
        <w:pStyle w:val="2"/>
        <w:spacing w:line="360" w:lineRule="auto"/>
        <w:rPr>
          <w:rFonts w:hint="eastAsia" w:ascii="宋体" w:hAnsi="宋体" w:cs="宋体"/>
          <w:szCs w:val="21"/>
        </w:rPr>
      </w:pPr>
      <w:r>
        <w:rPr>
          <w:rFonts w:hint="eastAsia" w:ascii="宋体" w:hAnsi="宋体" w:cs="宋体"/>
          <w:szCs w:val="21"/>
        </w:rPr>
        <w:t>3．易于部署和扩展：Spring Boot 生成的可执行 JAR 包或 WAR 包可以方便地部署到各种环境中，如服务器、云平台等。同时，Spring Boot 和 Spring MVC 的可扩展性非常强，可以方便地集成其他框架和库，满足不同的业务需求。</w:t>
      </w:r>
    </w:p>
    <w:p w14:paraId="555A8004">
      <w:pPr>
        <w:pStyle w:val="7"/>
        <w:widowControl/>
        <w:spacing w:before="280" w:after="290" w:line="376" w:lineRule="auto"/>
        <w:ind w:left="0" w:firstLine="0"/>
      </w:pPr>
      <w:r>
        <w:rPr>
          <w:rFonts w:hint="eastAsia"/>
        </w:rPr>
        <w:t>微服务框架</w:t>
      </w:r>
    </w:p>
    <w:p w14:paraId="0BEDF0AC">
      <w:pPr>
        <w:ind w:left="420"/>
        <w:jc w:val="center"/>
      </w:pPr>
      <w:r>
        <w:rPr>
          <w:rFonts w:cs="宋体"/>
          <w:sz w:val="24"/>
        </w:rPr>
        <w:drawing>
          <wp:inline distT="0" distB="0" distL="114300" distR="114300">
            <wp:extent cx="3171825" cy="1066800"/>
            <wp:effectExtent l="0" t="0" r="9525" b="0"/>
            <wp:docPr id="27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2" descr="IMG_256"/>
                    <pic:cNvPicPr>
                      <a:picLocks noChangeAspect="1"/>
                    </pic:cNvPicPr>
                  </pic:nvPicPr>
                  <pic:blipFill>
                    <a:blip r:embed="rId118"/>
                    <a:stretch>
                      <a:fillRect/>
                    </a:stretch>
                  </pic:blipFill>
                  <pic:spPr>
                    <a:xfrm>
                      <a:off x="0" y="0"/>
                      <a:ext cx="3171825" cy="1066800"/>
                    </a:xfrm>
                    <a:prstGeom prst="rect">
                      <a:avLst/>
                    </a:prstGeom>
                    <a:noFill/>
                    <a:ln w="9525">
                      <a:noFill/>
                    </a:ln>
                  </pic:spPr>
                </pic:pic>
              </a:graphicData>
            </a:graphic>
          </wp:inline>
        </w:drawing>
      </w:r>
    </w:p>
    <w:p w14:paraId="4236BA72">
      <w:pPr>
        <w:spacing w:line="360" w:lineRule="auto"/>
        <w:ind w:left="420" w:firstLine="420" w:firstLineChars="200"/>
        <w:rPr>
          <w:rFonts w:hint="eastAsia" w:ascii="宋体" w:hAnsi="宋体" w:eastAsia="宋体"/>
        </w:rPr>
      </w:pPr>
      <w:r>
        <w:rPr>
          <w:rFonts w:hint="eastAsia" w:ascii="宋体" w:hAnsi="宋体" w:eastAsia="宋体"/>
        </w:rPr>
        <w:t>Spring Cloud 是一个基于 Spring Boot 的微服务开发框架，它为构建分布式系统提供了一系列的工具和组件：</w:t>
      </w:r>
    </w:p>
    <w:p w14:paraId="489B7796">
      <w:pPr>
        <w:widowControl/>
        <w:numPr>
          <w:ilvl w:val="0"/>
          <w:numId w:val="19"/>
        </w:numPr>
        <w:spacing w:line="360" w:lineRule="auto"/>
        <w:ind w:left="420" w:firstLine="420" w:firstLineChars="200"/>
        <w:jc w:val="left"/>
        <w:rPr>
          <w:rFonts w:hint="eastAsia" w:ascii="宋体" w:hAnsi="宋体" w:eastAsia="宋体"/>
        </w:rPr>
      </w:pPr>
      <w:r>
        <w:rPr>
          <w:rFonts w:hint="eastAsia" w:ascii="宋体" w:hAnsi="宋体" w:eastAsia="宋体"/>
        </w:rPr>
        <w:t>简化微服务开发Spring Cloud 基于 Spring Boot，继承了 Spring Boot 的快速开发、自动配置等优点，同时提供了一系列的工具和组件，简化了微服务的开发过程。开发者可以专注于业务逻辑的实现，而无需关心分布式系统中的复杂问题。</w:t>
      </w:r>
    </w:p>
    <w:p w14:paraId="0F479CF9">
      <w:pPr>
        <w:widowControl/>
        <w:numPr>
          <w:ilvl w:val="0"/>
          <w:numId w:val="19"/>
        </w:numPr>
        <w:spacing w:line="360" w:lineRule="auto"/>
        <w:ind w:left="420" w:firstLine="420" w:firstLineChars="200"/>
        <w:jc w:val="left"/>
        <w:rPr>
          <w:rFonts w:hint="eastAsia" w:ascii="宋体" w:hAnsi="宋体" w:eastAsia="宋体"/>
        </w:rPr>
      </w:pPr>
      <w:r>
        <w:rPr>
          <w:rFonts w:hint="eastAsia" w:ascii="宋体" w:hAnsi="宋体" w:eastAsia="宋体"/>
        </w:rPr>
        <w:t>提高系统的可扩展性和可用性，通过服务发现、负载均衡、断路器等功能，Spring Cloud 可以实现微服务的动态扩展和故障恢复，提高系统的可用性和性能。同时，微服务架构可以根据业务需求进行灵活的扩展和收缩，满足不同的业务场景。</w:t>
      </w:r>
    </w:p>
    <w:p w14:paraId="495DAA03">
      <w:pPr>
        <w:widowControl/>
        <w:numPr>
          <w:ilvl w:val="0"/>
          <w:numId w:val="19"/>
        </w:numPr>
        <w:spacing w:line="360" w:lineRule="auto"/>
        <w:ind w:left="420" w:firstLine="420" w:firstLineChars="200"/>
        <w:jc w:val="left"/>
        <w:rPr>
          <w:rFonts w:hint="eastAsia" w:ascii="宋体" w:hAnsi="宋体" w:eastAsia="宋体"/>
        </w:rPr>
      </w:pPr>
      <w:r>
        <w:rPr>
          <w:rFonts w:hint="eastAsia" w:ascii="宋体" w:hAnsi="宋体" w:eastAsia="宋体"/>
        </w:rPr>
        <w:t>促进团队协作，Spring Cloud 的标准化和规范化的开发方式可以促进团队协作。不同的开发者可以独立开发和维护自己的微服务，通过服务注册中心和配置中心进行集成和管理，提高开发效率和代码质量。</w:t>
      </w:r>
    </w:p>
    <w:p w14:paraId="29501FB7">
      <w:pPr>
        <w:widowControl/>
        <w:numPr>
          <w:ilvl w:val="0"/>
          <w:numId w:val="19"/>
        </w:numPr>
        <w:spacing w:line="360" w:lineRule="auto"/>
        <w:ind w:left="420" w:firstLine="420" w:firstLineChars="200"/>
        <w:jc w:val="left"/>
        <w:rPr>
          <w:rFonts w:hint="eastAsia" w:ascii="宋体" w:hAnsi="宋体" w:eastAsia="宋体"/>
        </w:rPr>
      </w:pPr>
      <w:r>
        <w:rPr>
          <w:rFonts w:hint="eastAsia" w:ascii="宋体" w:hAnsi="宋体" w:eastAsia="宋体"/>
        </w:rPr>
        <w:t>支持云原生应用开发，Spring Cloud 与云平台（如 Kubernetes、Docker 等）具有良好的兼容性，可以支持云原生应用的开发和部署。它可以实现服务的自动部署、扩缩容、故障恢复等功能，提高应用的可靠性和可维护性。</w:t>
      </w:r>
    </w:p>
    <w:p w14:paraId="01DD752B">
      <w:pPr>
        <w:pStyle w:val="7"/>
        <w:widowControl/>
        <w:spacing w:before="280" w:after="290" w:line="376" w:lineRule="auto"/>
        <w:ind w:left="0" w:firstLine="0"/>
      </w:pPr>
      <w:r>
        <w:rPr>
          <w:rFonts w:hint="eastAsia"/>
        </w:rPr>
        <w:t>数据持久层</w:t>
      </w:r>
    </w:p>
    <w:p w14:paraId="27E4A340">
      <w:pPr>
        <w:ind w:left="420"/>
        <w:jc w:val="center"/>
        <w:rPr>
          <w:rFonts w:cs="宋体"/>
          <w:sz w:val="24"/>
        </w:rPr>
      </w:pPr>
      <w:r>
        <w:rPr>
          <w:rFonts w:cs="宋体"/>
          <w:sz w:val="24"/>
        </w:rPr>
        <w:drawing>
          <wp:inline distT="0" distB="0" distL="114300" distR="114300">
            <wp:extent cx="2286000" cy="1885950"/>
            <wp:effectExtent l="0" t="0" r="0" b="0"/>
            <wp:docPr id="275"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3" descr="IMG_256"/>
                    <pic:cNvPicPr>
                      <a:picLocks noChangeAspect="1"/>
                    </pic:cNvPicPr>
                  </pic:nvPicPr>
                  <pic:blipFill>
                    <a:blip r:embed="rId119"/>
                    <a:stretch>
                      <a:fillRect/>
                    </a:stretch>
                  </pic:blipFill>
                  <pic:spPr>
                    <a:xfrm>
                      <a:off x="0" y="0"/>
                      <a:ext cx="2286000" cy="1885950"/>
                    </a:xfrm>
                    <a:prstGeom prst="rect">
                      <a:avLst/>
                    </a:prstGeom>
                    <a:noFill/>
                    <a:ln w="9525">
                      <a:noFill/>
                    </a:ln>
                  </pic:spPr>
                </pic:pic>
              </a:graphicData>
            </a:graphic>
          </wp:inline>
        </w:drawing>
      </w:r>
    </w:p>
    <w:p w14:paraId="0957A3AD">
      <w:pPr>
        <w:pStyle w:val="2"/>
        <w:ind w:left="0" w:leftChars="0" w:firstLine="0" w:firstLineChars="0"/>
        <w:rPr>
          <w:rFonts w:hint="eastAsia" w:ascii="宋体" w:hAnsi="宋体" w:cs="宋体"/>
          <w:szCs w:val="21"/>
        </w:rPr>
      </w:pPr>
      <w:r>
        <w:rPr>
          <w:rFonts w:hint="eastAsia" w:ascii="宋体" w:hAnsi="宋体" w:cs="宋体"/>
          <w:szCs w:val="21"/>
        </w:rPr>
        <w:t>MyBatis 是一个支持普通 SQL 查询、存储过程和高级映射的优秀持久层框架。</w:t>
      </w:r>
    </w:p>
    <w:p w14:paraId="022ECAAA">
      <w:pPr>
        <w:pStyle w:val="2"/>
        <w:widowControl/>
        <w:numPr>
          <w:ilvl w:val="0"/>
          <w:numId w:val="20"/>
        </w:numPr>
        <w:spacing w:line="360" w:lineRule="auto"/>
        <w:ind w:left="0" w:leftChars="0" w:firstLine="0" w:firstLineChars="0"/>
        <w:jc w:val="left"/>
        <w:rPr>
          <w:rFonts w:hint="eastAsia" w:ascii="宋体" w:hAnsi="宋体" w:cs="宋体"/>
          <w:szCs w:val="21"/>
        </w:rPr>
      </w:pPr>
      <w:r>
        <w:rPr>
          <w:rFonts w:hint="eastAsia" w:ascii="宋体" w:hAnsi="宋体" w:cs="宋体"/>
          <w:szCs w:val="21"/>
        </w:rPr>
        <w:t>简单易用，MyBatis 的配置文件和映射文件都采用 XML 格式，易于理解和维护。同时，MyBatis 提供了丰富的 API，可以方便地进行数据库操作。</w:t>
      </w:r>
    </w:p>
    <w:p w14:paraId="582192AE">
      <w:pPr>
        <w:pStyle w:val="2"/>
        <w:widowControl/>
        <w:numPr>
          <w:ilvl w:val="0"/>
          <w:numId w:val="20"/>
        </w:numPr>
        <w:spacing w:line="360" w:lineRule="auto"/>
        <w:ind w:left="0" w:leftChars="0" w:firstLine="0" w:firstLineChars="0"/>
        <w:jc w:val="left"/>
        <w:rPr>
          <w:rFonts w:hint="eastAsia" w:ascii="宋体" w:hAnsi="宋体" w:cs="宋体"/>
          <w:szCs w:val="21"/>
        </w:rPr>
      </w:pPr>
      <w:r>
        <w:rPr>
          <w:rFonts w:hint="eastAsia" w:ascii="宋体" w:hAnsi="宋体" w:cs="宋体"/>
          <w:szCs w:val="21"/>
        </w:rPr>
        <w:t>性能高效，MyBatis 直接使用 SQL 语句进行数据库操作，避免了像 Hibernate 那样的对象关系映射（ORM）框架带来的性能损失。同时，MyBatis 的缓存机制和插件机制可以进一步提高数据库查询的性能。</w:t>
      </w:r>
    </w:p>
    <w:p w14:paraId="1B04FC86">
      <w:pPr>
        <w:pStyle w:val="2"/>
        <w:widowControl/>
        <w:numPr>
          <w:ilvl w:val="0"/>
          <w:numId w:val="20"/>
        </w:numPr>
        <w:spacing w:line="360" w:lineRule="auto"/>
        <w:ind w:left="0" w:leftChars="0" w:firstLine="0" w:firstLineChars="0"/>
        <w:jc w:val="left"/>
        <w:rPr>
          <w:rFonts w:hint="eastAsia" w:ascii="宋体" w:hAnsi="宋体" w:cs="宋体"/>
          <w:szCs w:val="21"/>
        </w:rPr>
      </w:pPr>
      <w:r>
        <w:rPr>
          <w:rFonts w:hint="eastAsia" w:ascii="宋体" w:hAnsi="宋体" w:cs="宋体"/>
          <w:szCs w:val="21"/>
        </w:rPr>
        <w:t>可扩展性强，MyBatis 的插件机制和动态 SQL 功能使得开发者可以根据自己的需求进行扩展和定制。同时，MyBatis 支持多种数据库，可以方便地进行数据库切换。</w:t>
      </w:r>
    </w:p>
    <w:p w14:paraId="29586CF5">
      <w:pPr>
        <w:pStyle w:val="7"/>
        <w:widowControl/>
        <w:spacing w:before="280" w:after="290" w:line="376" w:lineRule="auto"/>
        <w:ind w:left="0" w:firstLine="0"/>
      </w:pPr>
      <w:r>
        <w:rPr>
          <w:rFonts w:hint="eastAsia"/>
        </w:rPr>
        <w:t>关系型数据库</w:t>
      </w:r>
    </w:p>
    <w:p w14:paraId="4058C966">
      <w:pPr>
        <w:pStyle w:val="2"/>
        <w:ind w:firstLine="480"/>
        <w:jc w:val="center"/>
      </w:pPr>
      <w:r>
        <w:rPr>
          <w:rFonts w:ascii="宋体" w:hAnsi="宋体" w:cs="宋体"/>
          <w:sz w:val="24"/>
        </w:rPr>
        <w:drawing>
          <wp:inline distT="0" distB="0" distL="114300" distR="114300">
            <wp:extent cx="2686050" cy="1885950"/>
            <wp:effectExtent l="0" t="0" r="0" b="0"/>
            <wp:docPr id="277"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5" descr="IMG_256"/>
                    <pic:cNvPicPr>
                      <a:picLocks noChangeAspect="1"/>
                    </pic:cNvPicPr>
                  </pic:nvPicPr>
                  <pic:blipFill>
                    <a:blip r:embed="rId120"/>
                    <a:stretch>
                      <a:fillRect/>
                    </a:stretch>
                  </pic:blipFill>
                  <pic:spPr>
                    <a:xfrm>
                      <a:off x="0" y="0"/>
                      <a:ext cx="2686050" cy="1885950"/>
                    </a:xfrm>
                    <a:prstGeom prst="rect">
                      <a:avLst/>
                    </a:prstGeom>
                    <a:noFill/>
                    <a:ln w="9525">
                      <a:noFill/>
                    </a:ln>
                  </pic:spPr>
                </pic:pic>
              </a:graphicData>
            </a:graphic>
          </wp:inline>
        </w:drawing>
      </w:r>
    </w:p>
    <w:p w14:paraId="29331217">
      <w:pPr>
        <w:pStyle w:val="2"/>
        <w:ind w:left="0" w:leftChars="0" w:firstLine="0" w:firstLineChars="0"/>
        <w:rPr>
          <w:rFonts w:hint="eastAsia" w:ascii="宋体" w:hAnsi="宋体" w:cs="宋体"/>
        </w:rPr>
      </w:pPr>
      <w:r>
        <w:rPr>
          <w:rFonts w:hint="eastAsia" w:ascii="宋体" w:hAnsi="宋体" w:cs="宋体"/>
        </w:rPr>
        <w:t>MySQL 是一种广泛使用的开源关系型数据库管理系统。</w:t>
      </w:r>
    </w:p>
    <w:p w14:paraId="2749D380">
      <w:pPr>
        <w:pStyle w:val="2"/>
        <w:widowControl/>
        <w:numPr>
          <w:ilvl w:val="0"/>
          <w:numId w:val="21"/>
        </w:numPr>
        <w:spacing w:line="360" w:lineRule="auto"/>
        <w:ind w:left="0" w:leftChars="0" w:firstLine="0" w:firstLineChars="0"/>
        <w:jc w:val="left"/>
        <w:rPr>
          <w:rFonts w:hint="eastAsia" w:ascii="宋体" w:hAnsi="宋体" w:cs="宋体"/>
        </w:rPr>
      </w:pPr>
      <w:r>
        <w:rPr>
          <w:rFonts w:hint="eastAsia" w:ascii="宋体" w:hAnsi="宋体" w:cs="宋体"/>
        </w:rPr>
        <w:t>成本低，开源免费的特性使得 MySQL 在成本方面具有很大的优势。企业和个人可以在不花费大量资金的情况下使用 MySQL 来构建自己的数据库系统。</w:t>
      </w:r>
    </w:p>
    <w:p w14:paraId="5643927E">
      <w:pPr>
        <w:pStyle w:val="2"/>
        <w:widowControl/>
        <w:numPr>
          <w:ilvl w:val="0"/>
          <w:numId w:val="21"/>
        </w:numPr>
        <w:spacing w:line="360" w:lineRule="auto"/>
        <w:ind w:left="0" w:leftChars="0" w:firstLine="0" w:firstLineChars="0"/>
        <w:jc w:val="left"/>
        <w:rPr>
          <w:rFonts w:hint="eastAsia" w:ascii="宋体" w:hAnsi="宋体" w:cs="宋体"/>
        </w:rPr>
      </w:pPr>
      <w:r>
        <w:rPr>
          <w:rFonts w:hint="eastAsia" w:ascii="宋体" w:hAnsi="宋体" w:cs="宋体"/>
        </w:rPr>
        <w:t>性能高，MySQL 在处理大量数据和高并发访问时表现出色，可以满足企业级应用的需求。同时，MySQL 还支持分布式部署，可以通过水平扩展来提高系统的性能。</w:t>
      </w:r>
    </w:p>
    <w:p w14:paraId="7957C011">
      <w:pPr>
        <w:pStyle w:val="2"/>
        <w:widowControl/>
        <w:numPr>
          <w:ilvl w:val="0"/>
          <w:numId w:val="21"/>
        </w:numPr>
        <w:spacing w:line="360" w:lineRule="auto"/>
        <w:ind w:left="0" w:leftChars="0" w:firstLine="0" w:firstLineChars="0"/>
        <w:jc w:val="left"/>
        <w:rPr>
          <w:rFonts w:hint="eastAsia" w:ascii="宋体" w:hAnsi="宋体" w:cs="宋体"/>
        </w:rPr>
      </w:pPr>
      <w:r>
        <w:rPr>
          <w:rFonts w:hint="eastAsia" w:ascii="宋体" w:hAnsi="宋体" w:cs="宋体"/>
        </w:rPr>
        <w:t>可靠性强，MySQL 提供了多种备份和恢复机制，以及事务处理功能，可以保证数据的安全性和完整性。这使得 MySQL 成为企业级应用中可靠的数据库选择。</w:t>
      </w:r>
    </w:p>
    <w:p w14:paraId="36703347">
      <w:pPr>
        <w:pStyle w:val="2"/>
        <w:widowControl/>
        <w:numPr>
          <w:ilvl w:val="0"/>
          <w:numId w:val="21"/>
        </w:numPr>
        <w:spacing w:line="360" w:lineRule="auto"/>
        <w:ind w:left="0" w:leftChars="0" w:firstLine="0" w:firstLineChars="0"/>
        <w:jc w:val="left"/>
        <w:rPr>
          <w:rFonts w:hint="eastAsia" w:ascii="宋体" w:hAnsi="宋体" w:cs="宋体"/>
        </w:rPr>
      </w:pPr>
      <w:r>
        <w:rPr>
          <w:rFonts w:hint="eastAsia" w:ascii="宋体" w:hAnsi="宋体" w:cs="宋体"/>
        </w:rPr>
        <w:t>易于使用和管理，MySQL 的安装和配置相对简单，并且提供了丰富的文档和社区支持。用户可以通过命令行界面或图形化管理工具来进行数据库管理和操作，非常方便。</w:t>
      </w:r>
    </w:p>
    <w:p w14:paraId="096C023D">
      <w:pPr>
        <w:pStyle w:val="2"/>
        <w:widowControl/>
        <w:numPr>
          <w:ilvl w:val="0"/>
          <w:numId w:val="21"/>
        </w:numPr>
        <w:spacing w:line="360" w:lineRule="auto"/>
        <w:ind w:left="0" w:leftChars="0" w:firstLine="0" w:firstLineChars="0"/>
        <w:jc w:val="left"/>
        <w:rPr>
          <w:rFonts w:hint="eastAsia" w:ascii="宋体" w:hAnsi="宋体" w:cs="宋体"/>
        </w:rPr>
      </w:pPr>
      <w:r>
        <w:rPr>
          <w:rFonts w:hint="eastAsia" w:ascii="宋体" w:hAnsi="宋体" w:cs="宋体"/>
        </w:rPr>
        <w:t>支持多种编程语言，MySQL 支持多种编程语言的接口，如 Java、Python、PHP 等。这使得开发人员可以使用自己熟悉的编程语言来进行应用开发，提高开发效率。</w:t>
      </w:r>
    </w:p>
    <w:p w14:paraId="0F9E90AA">
      <w:pPr>
        <w:pStyle w:val="7"/>
        <w:widowControl/>
        <w:spacing w:before="280" w:after="290" w:line="376" w:lineRule="auto"/>
        <w:ind w:left="0" w:firstLine="0"/>
      </w:pPr>
      <w:r>
        <w:rPr>
          <w:rFonts w:hint="eastAsia"/>
        </w:rPr>
        <w:t>数据库连接池</w:t>
      </w:r>
    </w:p>
    <w:p w14:paraId="51208D91">
      <w:pPr>
        <w:pStyle w:val="2"/>
        <w:ind w:left="0" w:leftChars="0"/>
        <w:rPr>
          <w:rFonts w:hint="eastAsia" w:ascii="宋体" w:hAnsi="宋体" w:cs="宋体"/>
        </w:rPr>
      </w:pPr>
      <w:r>
        <w:rPr>
          <w:rFonts w:hint="eastAsia" w:ascii="宋体" w:hAnsi="宋体" w:cs="宋体"/>
        </w:rPr>
        <w:t>Druid是一款高性能的Java数据库连接池产品，能够提供强大的监控和扩展功能。</w:t>
      </w:r>
    </w:p>
    <w:p w14:paraId="68E3DC46">
      <w:pPr>
        <w:pStyle w:val="7"/>
        <w:widowControl/>
        <w:spacing w:before="280" w:after="290" w:line="376" w:lineRule="auto"/>
        <w:ind w:left="0" w:firstLine="0"/>
      </w:pPr>
      <w:r>
        <w:rPr>
          <w:rFonts w:hint="eastAsia"/>
        </w:rPr>
        <w:t>应用中间件服务器</w:t>
      </w:r>
    </w:p>
    <w:p w14:paraId="08865927">
      <w:pPr>
        <w:ind w:left="420"/>
        <w:jc w:val="center"/>
      </w:pPr>
      <w:r>
        <w:rPr>
          <w:rFonts w:cs="宋体"/>
          <w:sz w:val="24"/>
        </w:rPr>
        <w:drawing>
          <wp:inline distT="0" distB="0" distL="114300" distR="114300">
            <wp:extent cx="1657350" cy="1581150"/>
            <wp:effectExtent l="0" t="0" r="0" b="0"/>
            <wp:docPr id="278"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7" descr="IMG_256"/>
                    <pic:cNvPicPr>
                      <a:picLocks noChangeAspect="1"/>
                    </pic:cNvPicPr>
                  </pic:nvPicPr>
                  <pic:blipFill>
                    <a:blip r:embed="rId121"/>
                    <a:stretch>
                      <a:fillRect/>
                    </a:stretch>
                  </pic:blipFill>
                  <pic:spPr>
                    <a:xfrm>
                      <a:off x="0" y="0"/>
                      <a:ext cx="1657350" cy="1581150"/>
                    </a:xfrm>
                    <a:prstGeom prst="rect">
                      <a:avLst/>
                    </a:prstGeom>
                    <a:noFill/>
                    <a:ln w="9525">
                      <a:noFill/>
                    </a:ln>
                  </pic:spPr>
                </pic:pic>
              </a:graphicData>
            </a:graphic>
          </wp:inline>
        </w:drawing>
      </w:r>
    </w:p>
    <w:p w14:paraId="2516D9FA">
      <w:pPr>
        <w:pStyle w:val="2"/>
        <w:spacing w:line="360" w:lineRule="auto"/>
        <w:ind w:left="0" w:leftChars="0"/>
        <w:rPr>
          <w:rFonts w:hint="eastAsia" w:ascii="宋体" w:hAnsi="宋体" w:cs="宋体"/>
        </w:rPr>
      </w:pPr>
      <w:r>
        <w:rPr>
          <w:rFonts w:hint="eastAsia" w:ascii="宋体" w:hAnsi="宋体" w:cs="宋体"/>
        </w:rPr>
        <w:t>Apache Tomcat 是一个开源的 Web 应用服务器。作为Spring boot内置的Java应用的</w:t>
      </w:r>
      <w:r>
        <w:rPr>
          <w:rFonts w:hint="eastAsia" w:ascii="宋体" w:hAnsi="宋体" w:cs="宋体"/>
          <w:spacing w:val="-56"/>
        </w:rPr>
        <w:t xml:space="preserve"> </w:t>
      </w:r>
      <w:r>
        <w:rPr>
          <w:rFonts w:hint="eastAsia" w:ascii="宋体" w:hAnsi="宋体" w:cs="宋体"/>
        </w:rPr>
        <w:t>Web容器，其轻量级、高性能、安全可靠的特性，</w:t>
      </w:r>
      <w:r>
        <w:rPr>
          <w:rFonts w:hint="eastAsia" w:ascii="宋体" w:hAnsi="宋体" w:cs="宋体"/>
          <w:spacing w:val="-1"/>
        </w:rPr>
        <w:t>能更好的发挥微服务架</w:t>
      </w:r>
      <w:r>
        <w:rPr>
          <w:rFonts w:hint="eastAsia" w:ascii="宋体" w:hAnsi="宋体" w:cs="宋体"/>
          <w:spacing w:val="-7"/>
        </w:rPr>
        <w:t>构的特性。</w:t>
      </w:r>
    </w:p>
    <w:p w14:paraId="78B5171F">
      <w:pPr>
        <w:pStyle w:val="7"/>
        <w:widowControl/>
        <w:spacing w:before="280" w:after="290" w:line="376" w:lineRule="auto"/>
        <w:ind w:left="0" w:firstLine="0"/>
      </w:pPr>
      <w:r>
        <w:rPr>
          <w:rFonts w:hint="eastAsia"/>
        </w:rPr>
        <w:t>负载均衡和反向代理</w:t>
      </w:r>
    </w:p>
    <w:p w14:paraId="5644EF28">
      <w:pPr>
        <w:ind w:left="420"/>
        <w:jc w:val="center"/>
      </w:pPr>
      <w:r>
        <w:drawing>
          <wp:inline distT="0" distB="0" distL="114300" distR="114300">
            <wp:extent cx="2038350" cy="609600"/>
            <wp:effectExtent l="0" t="0" r="0" b="0"/>
            <wp:docPr id="28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0"/>
                    <pic:cNvPicPr>
                      <a:picLocks noChangeAspect="1"/>
                    </pic:cNvPicPr>
                  </pic:nvPicPr>
                  <pic:blipFill>
                    <a:blip r:embed="rId122"/>
                    <a:stretch>
                      <a:fillRect/>
                    </a:stretch>
                  </pic:blipFill>
                  <pic:spPr>
                    <a:xfrm>
                      <a:off x="0" y="0"/>
                      <a:ext cx="2038350" cy="609600"/>
                    </a:xfrm>
                    <a:prstGeom prst="rect">
                      <a:avLst/>
                    </a:prstGeom>
                    <a:noFill/>
                    <a:ln>
                      <a:noFill/>
                    </a:ln>
                  </pic:spPr>
                </pic:pic>
              </a:graphicData>
            </a:graphic>
          </wp:inline>
        </w:drawing>
      </w:r>
    </w:p>
    <w:p w14:paraId="2D97A4C7">
      <w:pPr>
        <w:pStyle w:val="2"/>
        <w:spacing w:line="360" w:lineRule="auto"/>
        <w:ind w:left="0" w:leftChars="0"/>
        <w:rPr>
          <w:rFonts w:hint="eastAsia" w:ascii="宋体" w:hAnsi="宋体" w:cs="宋体"/>
          <w:szCs w:val="21"/>
        </w:rPr>
      </w:pPr>
      <w:r>
        <w:rPr>
          <w:rFonts w:hint="eastAsia" w:ascii="宋体" w:hAnsi="宋体" w:cs="宋体"/>
        </w:rPr>
        <w:t>Tengine是由淘宝发起的Web服务器项目。它在Nginx的基础上，针对大访问量网站的需求，添加了很多高级功能和特性</w:t>
      </w:r>
      <w:r>
        <w:rPr>
          <w:rFonts w:hint="eastAsia" w:ascii="宋体" w:hAnsi="宋体" w:cs="宋体"/>
          <w:szCs w:val="21"/>
        </w:rPr>
        <w:t>。Tengine的性能和稳定性已经在大型的网站如淘宝，天猫，优酷，全球速卖通，Lazada，阿里云等得到了很好的检验。Tengine将向通用API网关方向持续演进和发展，在HTTP应用流量入口网关的基础上，逐步支持4/7层TLS，TCP，UDP和GRPC多协议路由能力，适配不同终端和不同应用，打造全场景通用网关，持续保持Tengine业界领先地位。</w:t>
      </w:r>
    </w:p>
    <w:p w14:paraId="2D993891">
      <w:pPr>
        <w:pStyle w:val="7"/>
        <w:widowControl/>
        <w:spacing w:before="280" w:after="290" w:line="376" w:lineRule="auto"/>
        <w:ind w:left="0" w:firstLine="0"/>
      </w:pPr>
      <w:r>
        <w:rPr>
          <w:rFonts w:hint="eastAsia"/>
        </w:rPr>
        <w:t>缓存中间件</w:t>
      </w:r>
    </w:p>
    <w:p w14:paraId="6A1BD715">
      <w:pPr>
        <w:ind w:left="420"/>
        <w:jc w:val="center"/>
        <w:rPr>
          <w:szCs w:val="21"/>
        </w:rPr>
      </w:pPr>
      <w:r>
        <w:rPr>
          <w:rFonts w:cs="宋体"/>
          <w:szCs w:val="21"/>
        </w:rPr>
        <w:drawing>
          <wp:inline distT="0" distB="0" distL="114300" distR="114300">
            <wp:extent cx="3629025" cy="1162050"/>
            <wp:effectExtent l="0" t="0" r="9525" b="0"/>
            <wp:docPr id="28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1" descr="IMG_256"/>
                    <pic:cNvPicPr>
                      <a:picLocks noChangeAspect="1"/>
                    </pic:cNvPicPr>
                  </pic:nvPicPr>
                  <pic:blipFill>
                    <a:blip r:embed="rId123"/>
                    <a:stretch>
                      <a:fillRect/>
                    </a:stretch>
                  </pic:blipFill>
                  <pic:spPr>
                    <a:xfrm>
                      <a:off x="0" y="0"/>
                      <a:ext cx="3629025" cy="1162050"/>
                    </a:xfrm>
                    <a:prstGeom prst="rect">
                      <a:avLst/>
                    </a:prstGeom>
                    <a:noFill/>
                    <a:ln w="9525">
                      <a:noFill/>
                    </a:ln>
                  </pic:spPr>
                </pic:pic>
              </a:graphicData>
            </a:graphic>
          </wp:inline>
        </w:drawing>
      </w:r>
    </w:p>
    <w:p w14:paraId="49173A9D">
      <w:pPr>
        <w:pStyle w:val="2"/>
        <w:rPr>
          <w:szCs w:val="21"/>
        </w:rPr>
      </w:pPr>
    </w:p>
    <w:p w14:paraId="1B3067CA">
      <w:pPr>
        <w:pStyle w:val="2"/>
        <w:ind w:left="0" w:leftChars="0"/>
        <w:rPr>
          <w:rFonts w:hint="eastAsia" w:ascii="宋体" w:hAnsi="宋体" w:cs="宋体"/>
          <w:szCs w:val="21"/>
        </w:rPr>
      </w:pPr>
      <w:r>
        <w:rPr>
          <w:rFonts w:hint="eastAsia" w:ascii="宋体" w:hAnsi="宋体" w:cs="宋体"/>
          <w:szCs w:val="21"/>
        </w:rPr>
        <w:t>Redis 是一个开源的内存数据结构存储系统，用作数据库、缓存和消息中间件。</w:t>
      </w:r>
    </w:p>
    <w:p w14:paraId="2B0A6030">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高性能，Redis 是内存数据库，数据存储在内存中，读写速度非常快。它可以支持每秒数十万次的读写操作，适用于对性能要求较高的场景。</w:t>
      </w:r>
    </w:p>
    <w:p w14:paraId="4818E6EE">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丰富的数据结构，Redis 支持多种数据结构，如字符串、哈希表、列表、集合、有序集合等。这使得开发者可以根据不同的需求选择合适的数据结构来存储和操作数据。</w:t>
      </w:r>
    </w:p>
    <w:p w14:paraId="7E601BF6">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持久化，Redis 支持两种持久化方式：RDB（快照）和 AOF（只追加文件）。RDB 方式将内存中的数据以快照的形式保存到磁盘上，AOF 方式则将所有的写操作记录到日志文件中。通过持久化，Redis 可以在服务器重启后恢复数据。</w:t>
      </w:r>
    </w:p>
    <w:p w14:paraId="481DB4F6">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主从复制，Redis 支持主从复制功能，可以将一个 Redis 服务器的数据复制到多个从服务器上。主从复制可以实现数据的备份和高可用性，当主服务器出现故障时，从服务器可以接管服务。</w:t>
      </w:r>
    </w:p>
    <w:p w14:paraId="36B4204D">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事务支持，Redis 支持事务功能，可以将多个命令打包成一个事务，一次性执行。事务可以保证多个命令的原子性、一致性和隔离性。</w:t>
      </w:r>
    </w:p>
    <w:p w14:paraId="37480922">
      <w:pPr>
        <w:pStyle w:val="2"/>
        <w:widowControl/>
        <w:numPr>
          <w:ilvl w:val="0"/>
          <w:numId w:val="22"/>
        </w:numPr>
        <w:spacing w:line="360" w:lineRule="auto"/>
        <w:ind w:left="0" w:leftChars="0" w:firstLine="0" w:firstLineChars="0"/>
        <w:jc w:val="left"/>
        <w:rPr>
          <w:rFonts w:hint="eastAsia" w:ascii="宋体" w:hAnsi="宋体" w:cs="宋体"/>
          <w:szCs w:val="21"/>
        </w:rPr>
      </w:pPr>
      <w:r>
        <w:rPr>
          <w:rFonts w:hint="eastAsia" w:ascii="宋体" w:hAnsi="宋体" w:cs="宋体"/>
          <w:szCs w:val="21"/>
        </w:rPr>
        <w:t>发布 / 订阅模式，Redis 支持发布 / 订阅模式，可以实现消息的实时推送。发布者将消息发布到特定的频道上，订阅者可以订阅这些频道，接收发布者发布的消息。</w:t>
      </w:r>
    </w:p>
    <w:p w14:paraId="61932B0D">
      <w:pPr>
        <w:pStyle w:val="2"/>
        <w:ind w:left="0" w:leftChars="0" w:firstLine="0" w:firstLineChars="0"/>
        <w:rPr>
          <w:rFonts w:hint="eastAsia" w:ascii="宋体" w:hAnsi="宋体" w:cs="宋体"/>
          <w:szCs w:val="21"/>
        </w:rPr>
      </w:pPr>
      <w:r>
        <w:rPr>
          <w:rFonts w:hint="eastAsia" w:ascii="宋体" w:hAnsi="宋体" w:cs="宋体"/>
          <w:szCs w:val="21"/>
        </w:rPr>
        <w:t>Redis的以上特性，广泛用于分布式应用中，提供基础的分布式功能支持，如分布式锁。</w:t>
      </w:r>
    </w:p>
    <w:p w14:paraId="65E7796C">
      <w:pPr>
        <w:pStyle w:val="7"/>
        <w:widowControl/>
        <w:spacing w:before="280" w:after="290" w:line="376" w:lineRule="auto"/>
        <w:ind w:left="0" w:firstLine="0"/>
      </w:pPr>
      <w:r>
        <w:rPr>
          <w:rFonts w:hint="eastAsia"/>
        </w:rPr>
        <w:t>消息服务</w:t>
      </w:r>
    </w:p>
    <w:p w14:paraId="7C2A0D0E">
      <w:pPr>
        <w:autoSpaceDE w:val="0"/>
        <w:autoSpaceDN w:val="0"/>
        <w:ind w:left="420"/>
        <w:jc w:val="center"/>
        <w:rPr>
          <w:rFonts w:cs="宋体"/>
          <w:szCs w:val="21"/>
        </w:rPr>
      </w:pPr>
      <w:r>
        <w:rPr>
          <w:rFonts w:cs="宋体"/>
          <w:szCs w:val="21"/>
        </w:rPr>
        <w:drawing>
          <wp:inline distT="0" distB="0" distL="114300" distR="114300">
            <wp:extent cx="3305175" cy="1323975"/>
            <wp:effectExtent l="0" t="0" r="9525" b="9525"/>
            <wp:docPr id="282"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5" descr="IMG_256"/>
                    <pic:cNvPicPr>
                      <a:picLocks noChangeAspect="1"/>
                    </pic:cNvPicPr>
                  </pic:nvPicPr>
                  <pic:blipFill>
                    <a:blip r:embed="rId124"/>
                    <a:stretch>
                      <a:fillRect/>
                    </a:stretch>
                  </pic:blipFill>
                  <pic:spPr>
                    <a:xfrm>
                      <a:off x="0" y="0"/>
                      <a:ext cx="3305175" cy="1323975"/>
                    </a:xfrm>
                    <a:prstGeom prst="rect">
                      <a:avLst/>
                    </a:prstGeom>
                    <a:noFill/>
                    <a:ln w="9525">
                      <a:noFill/>
                    </a:ln>
                  </pic:spPr>
                </pic:pic>
              </a:graphicData>
            </a:graphic>
          </wp:inline>
        </w:drawing>
      </w:r>
    </w:p>
    <w:p w14:paraId="7443D6B5">
      <w:pPr>
        <w:pStyle w:val="2"/>
        <w:ind w:left="0" w:leftChars="0"/>
        <w:rPr>
          <w:rFonts w:hint="eastAsia" w:ascii="宋体" w:hAnsi="宋体" w:cs="宋体"/>
          <w:szCs w:val="21"/>
        </w:rPr>
      </w:pPr>
      <w:r>
        <w:rPr>
          <w:rFonts w:hint="eastAsia" w:ascii="宋体" w:hAnsi="宋体" w:cs="宋体"/>
          <w:szCs w:val="21"/>
        </w:rPr>
        <w:t>RocketMQ 是一个开源的分布式消息中间件。</w:t>
      </w:r>
    </w:p>
    <w:p w14:paraId="6990CB12">
      <w:pPr>
        <w:pStyle w:val="2"/>
        <w:widowControl/>
        <w:numPr>
          <w:ilvl w:val="0"/>
          <w:numId w:val="23"/>
        </w:numPr>
        <w:spacing w:line="360" w:lineRule="auto"/>
        <w:ind w:left="0" w:leftChars="0" w:firstLine="0" w:firstLineChars="0"/>
        <w:jc w:val="left"/>
        <w:rPr>
          <w:rFonts w:hint="eastAsia" w:ascii="宋体" w:hAnsi="宋体" w:cs="宋体"/>
          <w:szCs w:val="21"/>
        </w:rPr>
      </w:pPr>
      <w:r>
        <w:rPr>
          <w:rFonts w:hint="eastAsia" w:ascii="宋体" w:hAnsi="宋体" w:cs="宋体"/>
          <w:szCs w:val="21"/>
        </w:rPr>
        <w:t>性能卓越，RocketMQ 在高吞吐量和低延迟方面表现出色，能够满足大规模分布式系统的消息处理需求。它的高效性能可以提高系统的响应速度和整体效率。</w:t>
      </w:r>
    </w:p>
    <w:p w14:paraId="72CB7257">
      <w:pPr>
        <w:pStyle w:val="2"/>
        <w:widowControl/>
        <w:numPr>
          <w:ilvl w:val="0"/>
          <w:numId w:val="23"/>
        </w:numPr>
        <w:spacing w:line="360" w:lineRule="auto"/>
        <w:ind w:left="0" w:leftChars="0" w:firstLine="0" w:firstLineChars="0"/>
        <w:jc w:val="left"/>
        <w:rPr>
          <w:rFonts w:hint="eastAsia" w:ascii="宋体" w:hAnsi="宋体" w:cs="宋体"/>
          <w:szCs w:val="21"/>
        </w:rPr>
      </w:pPr>
      <w:r>
        <w:rPr>
          <w:rFonts w:hint="eastAsia" w:ascii="宋体" w:hAnsi="宋体" w:cs="宋体"/>
          <w:szCs w:val="21"/>
        </w:rPr>
        <w:t>功能丰富，提供了多种强大的功能，如事务消息、顺序消息、消息过滤等。这些功能可以满足不同场景下的复杂业务需求，提高系统的灵活性和可扩展性。</w:t>
      </w:r>
    </w:p>
    <w:p w14:paraId="01EE56AA">
      <w:pPr>
        <w:pStyle w:val="2"/>
        <w:widowControl/>
        <w:numPr>
          <w:ilvl w:val="0"/>
          <w:numId w:val="23"/>
        </w:numPr>
        <w:spacing w:line="360" w:lineRule="auto"/>
        <w:ind w:left="0" w:leftChars="0" w:firstLine="0" w:firstLineChars="0"/>
        <w:jc w:val="left"/>
        <w:rPr>
          <w:rFonts w:hint="eastAsia" w:ascii="宋体" w:hAnsi="宋体" w:cs="宋体"/>
          <w:szCs w:val="21"/>
        </w:rPr>
      </w:pPr>
      <w:r>
        <w:rPr>
          <w:rFonts w:hint="eastAsia" w:ascii="宋体" w:hAnsi="宋体" w:cs="宋体"/>
          <w:szCs w:val="21"/>
        </w:rPr>
        <w:t>高可靠性，通过分布式架构和多副本机制，保证了消息的可靠存储和传输。在关键业务系统中，能够确保消息不丢失、不重复，提高系统的稳定性和可靠性。</w:t>
      </w:r>
    </w:p>
    <w:p w14:paraId="2F7F7054">
      <w:pPr>
        <w:pStyle w:val="2"/>
        <w:widowControl/>
        <w:numPr>
          <w:ilvl w:val="0"/>
          <w:numId w:val="23"/>
        </w:numPr>
        <w:spacing w:line="360" w:lineRule="auto"/>
        <w:ind w:left="0" w:leftChars="0" w:firstLine="0" w:firstLineChars="0"/>
        <w:jc w:val="left"/>
        <w:rPr>
          <w:rFonts w:hint="eastAsia" w:ascii="宋体" w:hAnsi="宋体" w:cs="宋体"/>
          <w:szCs w:val="21"/>
        </w:rPr>
      </w:pPr>
      <w:r>
        <w:rPr>
          <w:rFonts w:hint="eastAsia" w:ascii="宋体" w:hAnsi="宋体" w:cs="宋体"/>
          <w:szCs w:val="21"/>
        </w:rPr>
        <w:t>易于使用和管理，RocketMQ 提供了简洁的 API 和丰富的文档，方便开发者快速上手。同时，它还提供了可视化的管理控制台，方便管理员对消息系统进行监控和管理。</w:t>
      </w:r>
    </w:p>
    <w:p w14:paraId="470525AD">
      <w:pPr>
        <w:pStyle w:val="2"/>
        <w:widowControl/>
        <w:numPr>
          <w:ilvl w:val="0"/>
          <w:numId w:val="23"/>
        </w:numPr>
        <w:spacing w:line="360" w:lineRule="auto"/>
        <w:ind w:left="0" w:leftChars="0" w:firstLine="0" w:firstLineChars="0"/>
        <w:jc w:val="left"/>
        <w:rPr>
          <w:rFonts w:hint="eastAsia" w:ascii="宋体" w:hAnsi="宋体" w:cs="宋体"/>
          <w:szCs w:val="21"/>
        </w:rPr>
      </w:pPr>
      <w:r>
        <w:rPr>
          <w:rFonts w:hint="eastAsia" w:ascii="宋体" w:hAnsi="宋体" w:cs="宋体"/>
          <w:szCs w:val="21"/>
        </w:rPr>
        <w:t>活跃的社区和良好的生态，RocketMQ 拥有活跃的开源社区，不断有新的功能和优化被贡献出来。同时，它与其他开源技术（如 Spring Boot、Dubbo 等）有良好的集成生态，方便在不同的技术栈中使用。</w:t>
      </w:r>
    </w:p>
    <w:p w14:paraId="2B83428E">
      <w:pPr>
        <w:pStyle w:val="7"/>
        <w:widowControl/>
        <w:spacing w:before="280" w:after="290" w:line="376" w:lineRule="auto"/>
        <w:ind w:left="0" w:firstLine="0"/>
      </w:pPr>
      <w:r>
        <w:rPr>
          <w:rFonts w:hint="eastAsia"/>
        </w:rPr>
        <w:t>容器化技术</w:t>
      </w:r>
    </w:p>
    <w:p w14:paraId="659CF9DB">
      <w:pPr>
        <w:ind w:left="420"/>
        <w:jc w:val="center"/>
        <w:rPr>
          <w:rFonts w:cs="宋体"/>
          <w:szCs w:val="21"/>
        </w:rPr>
      </w:pPr>
      <w:r>
        <w:rPr>
          <w:rFonts w:cs="宋体"/>
          <w:szCs w:val="21"/>
        </w:rPr>
        <w:drawing>
          <wp:inline distT="0" distB="0" distL="114300" distR="114300">
            <wp:extent cx="2143125" cy="1885950"/>
            <wp:effectExtent l="0" t="0" r="9525" b="0"/>
            <wp:docPr id="283"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6" descr="IMG_256"/>
                    <pic:cNvPicPr>
                      <a:picLocks noChangeAspect="1"/>
                    </pic:cNvPicPr>
                  </pic:nvPicPr>
                  <pic:blipFill>
                    <a:blip r:embed="rId125"/>
                    <a:stretch>
                      <a:fillRect/>
                    </a:stretch>
                  </pic:blipFill>
                  <pic:spPr>
                    <a:xfrm>
                      <a:off x="0" y="0"/>
                      <a:ext cx="2143125" cy="1885950"/>
                    </a:xfrm>
                    <a:prstGeom prst="rect">
                      <a:avLst/>
                    </a:prstGeom>
                    <a:noFill/>
                    <a:ln w="9525">
                      <a:noFill/>
                    </a:ln>
                  </pic:spPr>
                </pic:pic>
              </a:graphicData>
            </a:graphic>
          </wp:inline>
        </w:drawing>
      </w:r>
      <w:r>
        <w:rPr>
          <w:rFonts w:cs="宋体"/>
          <w:szCs w:val="21"/>
        </w:rPr>
        <w:drawing>
          <wp:inline distT="0" distB="0" distL="114300" distR="114300">
            <wp:extent cx="2990850" cy="1885950"/>
            <wp:effectExtent l="0" t="0" r="0" b="0"/>
            <wp:docPr id="284"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 descr="IMG_256"/>
                    <pic:cNvPicPr>
                      <a:picLocks noChangeAspect="1"/>
                    </pic:cNvPicPr>
                  </pic:nvPicPr>
                  <pic:blipFill>
                    <a:blip r:embed="rId126"/>
                    <a:stretch>
                      <a:fillRect/>
                    </a:stretch>
                  </pic:blipFill>
                  <pic:spPr>
                    <a:xfrm>
                      <a:off x="0" y="0"/>
                      <a:ext cx="2990850" cy="1885950"/>
                    </a:xfrm>
                    <a:prstGeom prst="rect">
                      <a:avLst/>
                    </a:prstGeom>
                    <a:noFill/>
                    <a:ln w="9525">
                      <a:noFill/>
                    </a:ln>
                  </pic:spPr>
                </pic:pic>
              </a:graphicData>
            </a:graphic>
          </wp:inline>
        </w:drawing>
      </w:r>
    </w:p>
    <w:p w14:paraId="522A3035">
      <w:pPr>
        <w:pStyle w:val="2"/>
        <w:spacing w:line="360" w:lineRule="auto"/>
        <w:rPr>
          <w:rFonts w:hint="eastAsia" w:ascii="宋体" w:hAnsi="宋体" w:cs="宋体"/>
          <w:szCs w:val="21"/>
        </w:rPr>
      </w:pPr>
    </w:p>
    <w:p w14:paraId="37883F71">
      <w:pPr>
        <w:pStyle w:val="2"/>
        <w:spacing w:line="360" w:lineRule="auto"/>
        <w:ind w:left="0" w:leftChars="0"/>
        <w:rPr>
          <w:rFonts w:hint="eastAsia" w:ascii="宋体" w:hAnsi="宋体" w:cs="宋体"/>
          <w:szCs w:val="21"/>
        </w:rPr>
      </w:pPr>
      <w:r>
        <w:rPr>
          <w:rFonts w:hint="eastAsia" w:ascii="宋体" w:hAnsi="宋体" w:cs="宋体"/>
          <w:szCs w:val="21"/>
        </w:rPr>
        <w:t>Docker 和 Kubernetes（K8s）是在容器化和容器编排领域广泛使用的技术。</w:t>
      </w:r>
    </w:p>
    <w:p w14:paraId="00F691E5">
      <w:pPr>
        <w:pStyle w:val="2"/>
        <w:spacing w:line="360" w:lineRule="auto"/>
        <w:ind w:left="0" w:leftChars="0" w:firstLine="0" w:firstLineChars="0"/>
        <w:rPr>
          <w:rFonts w:hint="eastAsia" w:ascii="宋体" w:hAnsi="宋体" w:cs="宋体"/>
          <w:szCs w:val="21"/>
        </w:rPr>
      </w:pPr>
      <w:r>
        <w:rPr>
          <w:rFonts w:hint="eastAsia" w:ascii="宋体" w:hAnsi="宋体" w:cs="宋体"/>
          <w:szCs w:val="21"/>
        </w:rPr>
        <w:t>1.Docker 为 Kubernetes 提供了容器运行时环境：Kubernetes 使用 Docker 作为默认的容器运行时，Docker 负责创建、运行和管理容器。</w:t>
      </w:r>
    </w:p>
    <w:p w14:paraId="0E47A861">
      <w:pPr>
        <w:pStyle w:val="2"/>
        <w:spacing w:line="360" w:lineRule="auto"/>
        <w:ind w:left="0" w:leftChars="0" w:firstLine="0" w:firstLineChars="0"/>
        <w:rPr>
          <w:rFonts w:hint="eastAsia" w:ascii="宋体" w:hAnsi="宋体" w:cs="宋体"/>
          <w:szCs w:val="21"/>
        </w:rPr>
      </w:pPr>
      <w:r>
        <w:rPr>
          <w:rFonts w:hint="eastAsia" w:ascii="宋体" w:hAnsi="宋体" w:cs="宋体"/>
          <w:szCs w:val="21"/>
        </w:rPr>
        <w:t>2．Kubernetes 扩展了 Docker 的功能：Kubernetes 提供了更高级的容器编排和管理功能，如自动部署、弹性伸缩、服务发现等，这些功能是 Docker 本身所不具备的。</w:t>
      </w:r>
    </w:p>
    <w:p w14:paraId="6E134ED4">
      <w:pPr>
        <w:pStyle w:val="2"/>
        <w:spacing w:line="360" w:lineRule="auto"/>
        <w:ind w:left="0" w:leftChars="0" w:firstLine="0" w:firstLineChars="0"/>
        <w:rPr>
          <w:rFonts w:hint="eastAsia" w:ascii="宋体" w:hAnsi="宋体" w:cs="宋体"/>
          <w:szCs w:val="21"/>
        </w:rPr>
      </w:pPr>
      <w:r>
        <w:rPr>
          <w:rFonts w:hint="eastAsia" w:ascii="宋体" w:hAnsi="宋体" w:cs="宋体"/>
          <w:szCs w:val="21"/>
        </w:rPr>
        <w:t>3．两者结合使用可以实现高效的容器化应用管理：通过将 Docker 和 Kubernetes 结合使用，可以实现快速部署、弹性伸缩、高可用的容器化应用管理，提高开发和运维效率。</w:t>
      </w:r>
    </w:p>
    <w:p w14:paraId="75C40C31">
      <w:pPr>
        <w:pStyle w:val="6"/>
        <w:widowControl/>
        <w:spacing w:before="260" w:after="260" w:line="416" w:lineRule="auto"/>
        <w:ind w:left="0" w:firstLine="0"/>
      </w:pPr>
      <w:bookmarkStart w:id="153" w:name="_Toc180265612"/>
      <w:r>
        <w:rPr>
          <w:rFonts w:hint="eastAsia"/>
        </w:rPr>
        <w:t>功能架构</w:t>
      </w:r>
      <w:bookmarkEnd w:id="153"/>
    </w:p>
    <w:p w14:paraId="7D14AF0E">
      <w:pPr>
        <w:spacing w:line="360" w:lineRule="auto"/>
        <w:ind w:left="420" w:firstLine="412" w:firstLineChars="200"/>
        <w:rPr>
          <w:rFonts w:hint="eastAsia" w:cs="宋体" w:asciiTheme="minorEastAsia" w:hAnsiTheme="minorEastAsia"/>
          <w:color w:val="000000" w:themeColor="text1"/>
          <w:spacing w:val="-2"/>
          <w:szCs w:val="21"/>
          <w14:textFill>
            <w14:solidFill>
              <w14:schemeClr w14:val="tx1"/>
            </w14:solidFill>
          </w14:textFill>
        </w:rPr>
      </w:pPr>
      <w:r>
        <w:rPr>
          <w:rFonts w:hint="eastAsia" w:cs="宋体" w:asciiTheme="minorEastAsia" w:hAnsiTheme="minorEastAsia"/>
          <w:color w:val="000000" w:themeColor="text1"/>
          <w:spacing w:val="-2"/>
          <w:szCs w:val="21"/>
          <w14:textFill>
            <w14:solidFill>
              <w14:schemeClr w14:val="tx1"/>
            </w14:solidFill>
          </w14:textFill>
        </w:rPr>
        <w:t>按照招标文件要求，将要建设的电子采购系统包含电子招标投标和电子非招投标功能。电子招标投标功能应符合《中华人民共和国招标投标法》《中华人民共和国招标投标法实施条例》《电子招标投标办法》《电子招标投标系统技术规范》等国家法律法规及相关标准。电子招标投标应包括用户注册、招标方案、投标邀请、资格预审、发标、投标、开标、评标、定标、费用管理、异议、监督、招标异常、归档（存档）等功能；电子非招投标功能主要参考《电子采购交易规范非招标方式》（GB-T43711-2024），支持竞争谈判、询比、询价、单一来源、直接采购等几种非公开招标采购方式，并符合行业管理要求。</w:t>
      </w:r>
    </w:p>
    <w:p w14:paraId="1D8CA4A6">
      <w:pPr>
        <w:spacing w:line="360" w:lineRule="auto"/>
        <w:ind w:left="420" w:firstLine="412" w:firstLineChars="200"/>
        <w:rPr>
          <w:rFonts w:hint="eastAsia" w:cs="宋体" w:asciiTheme="minorEastAsia" w:hAnsiTheme="minorEastAsia"/>
          <w:color w:val="000000" w:themeColor="text1"/>
          <w:spacing w:val="-2"/>
          <w:szCs w:val="21"/>
          <w14:textFill>
            <w14:solidFill>
              <w14:schemeClr w14:val="tx1"/>
            </w14:solidFill>
          </w14:textFill>
        </w:rPr>
      </w:pPr>
      <w:r>
        <w:rPr>
          <w:rFonts w:hint="eastAsia" w:cs="宋体" w:asciiTheme="minorEastAsia" w:hAnsiTheme="minorEastAsia"/>
          <w:color w:val="000000" w:themeColor="text1"/>
          <w:spacing w:val="-2"/>
          <w:szCs w:val="21"/>
          <w14:textFill>
            <w14:solidFill>
              <w14:schemeClr w14:val="tx1"/>
            </w14:solidFill>
          </w14:textFill>
        </w:rPr>
        <w:t>建设的功能架构图如下：</w:t>
      </w:r>
    </w:p>
    <w:p w14:paraId="379531D2">
      <w:pPr>
        <w:rPr>
          <w:rFonts w:hint="eastAsia"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drawing>
          <wp:inline distT="0" distB="0" distL="114300" distR="114300">
            <wp:extent cx="5273675" cy="3752215"/>
            <wp:effectExtent l="0" t="0" r="3175" b="635"/>
            <wp:docPr id="2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
                    <pic:cNvPicPr>
                      <a:picLocks noChangeAspect="1"/>
                    </pic:cNvPicPr>
                  </pic:nvPicPr>
                  <pic:blipFill>
                    <a:blip r:embed="rId127"/>
                    <a:stretch>
                      <a:fillRect/>
                    </a:stretch>
                  </pic:blipFill>
                  <pic:spPr>
                    <a:xfrm>
                      <a:off x="0" y="0"/>
                      <a:ext cx="5273675" cy="3752215"/>
                    </a:xfrm>
                    <a:prstGeom prst="rect">
                      <a:avLst/>
                    </a:prstGeom>
                    <a:noFill/>
                    <a:ln>
                      <a:noFill/>
                    </a:ln>
                  </pic:spPr>
                </pic:pic>
              </a:graphicData>
            </a:graphic>
          </wp:inline>
        </w:drawing>
      </w:r>
    </w:p>
    <w:p w14:paraId="6762DE40">
      <w:pPr>
        <w:spacing w:line="360" w:lineRule="auto"/>
        <w:ind w:left="420" w:firstLine="412" w:firstLineChars="200"/>
        <w:rPr>
          <w:rFonts w:hint="eastAsia" w:cs="宋体" w:asciiTheme="minorEastAsia" w:hAnsiTheme="minorEastAsia"/>
          <w:color w:val="000000" w:themeColor="text1"/>
          <w:spacing w:val="-2"/>
          <w:szCs w:val="21"/>
          <w14:textFill>
            <w14:solidFill>
              <w14:schemeClr w14:val="tx1"/>
            </w14:solidFill>
          </w14:textFill>
        </w:rPr>
      </w:pPr>
      <w:r>
        <w:rPr>
          <w:rFonts w:hint="eastAsia" w:cs="宋体" w:asciiTheme="minorEastAsia" w:hAnsiTheme="minorEastAsia"/>
          <w:color w:val="000000" w:themeColor="text1"/>
          <w:spacing w:val="-2"/>
          <w:szCs w:val="21"/>
          <w14:textFill>
            <w14:solidFill>
              <w14:schemeClr w14:val="tx1"/>
            </w14:solidFill>
          </w14:textFill>
        </w:rPr>
        <w:t>从业务流程上划分，可以支持采购方式和业务流程的多种组合，包括全流程电子和非全流程等，全面满足烟草行业管理要求：</w:t>
      </w:r>
    </w:p>
    <w:p w14:paraId="56F53DC0">
      <w:pPr>
        <w:spacing w:line="360" w:lineRule="auto"/>
        <w:rPr>
          <w:rFonts w:hint="eastAsia" w:asciiTheme="minorEastAsia" w:hAnsiTheme="minorEastAsia"/>
          <w:color w:val="000000" w:themeColor="text1"/>
          <w:spacing w:val="-2"/>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drawing>
          <wp:inline distT="0" distB="0" distL="114300" distR="114300">
            <wp:extent cx="5271135" cy="1685925"/>
            <wp:effectExtent l="0" t="0" r="5715" b="9525"/>
            <wp:docPr id="3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5"/>
                    <pic:cNvPicPr>
                      <a:picLocks noChangeAspect="1"/>
                    </pic:cNvPicPr>
                  </pic:nvPicPr>
                  <pic:blipFill>
                    <a:blip r:embed="rId128"/>
                    <a:stretch>
                      <a:fillRect/>
                    </a:stretch>
                  </pic:blipFill>
                  <pic:spPr>
                    <a:xfrm>
                      <a:off x="0" y="0"/>
                      <a:ext cx="5271135" cy="1685925"/>
                    </a:xfrm>
                    <a:prstGeom prst="rect">
                      <a:avLst/>
                    </a:prstGeom>
                    <a:noFill/>
                    <a:ln>
                      <a:noFill/>
                    </a:ln>
                  </pic:spPr>
                </pic:pic>
              </a:graphicData>
            </a:graphic>
          </wp:inline>
        </w:drawing>
      </w:r>
    </w:p>
    <w:p w14:paraId="194EDC4C">
      <w:pPr>
        <w:ind w:left="420" w:firstLine="480" w:firstLineChars="200"/>
        <w:rPr>
          <w:rFonts w:hint="eastAsia" w:cs="宋体" w:asciiTheme="minorEastAsia" w:hAnsiTheme="minorEastAsia"/>
          <w:color w:val="000000" w:themeColor="text1"/>
          <w:sz w:val="24"/>
          <w14:textFill>
            <w14:solidFill>
              <w14:schemeClr w14:val="tx1"/>
            </w14:solidFill>
          </w14:textFill>
        </w:rPr>
      </w:pPr>
    </w:p>
    <w:p w14:paraId="01661885">
      <w:pPr>
        <w:pStyle w:val="6"/>
        <w:widowControl/>
        <w:spacing w:before="260" w:after="260" w:line="416" w:lineRule="auto"/>
        <w:ind w:left="0" w:firstLine="0"/>
      </w:pPr>
      <w:bookmarkStart w:id="154" w:name="_Toc180265613"/>
      <w:r>
        <w:rPr>
          <w:rFonts w:hint="eastAsia"/>
        </w:rPr>
        <w:t>部署架构</w:t>
      </w:r>
      <w:bookmarkEnd w:id="154"/>
    </w:p>
    <w:p w14:paraId="44C74FAD">
      <w:r>
        <w:rPr>
          <w:rFonts w:hint="eastAsia"/>
        </w:rPr>
        <w:drawing>
          <wp:inline distT="0" distB="0" distL="114300" distR="114300">
            <wp:extent cx="5930900" cy="4240530"/>
            <wp:effectExtent l="0" t="0" r="12700" b="7620"/>
            <wp:docPr id="285" name="图片 285" descr="ab5ee9ed3a827c70b6059e4ca43ab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ab5ee9ed3a827c70b6059e4ca43abb01"/>
                    <pic:cNvPicPr>
                      <a:picLocks noChangeAspect="1"/>
                    </pic:cNvPicPr>
                  </pic:nvPicPr>
                  <pic:blipFill>
                    <a:blip r:embed="rId103"/>
                    <a:stretch>
                      <a:fillRect/>
                    </a:stretch>
                  </pic:blipFill>
                  <pic:spPr>
                    <a:xfrm>
                      <a:off x="0" y="0"/>
                      <a:ext cx="5930900" cy="4240530"/>
                    </a:xfrm>
                    <a:prstGeom prst="rect">
                      <a:avLst/>
                    </a:prstGeom>
                  </pic:spPr>
                </pic:pic>
              </a:graphicData>
            </a:graphic>
          </wp:inline>
        </w:drawing>
      </w:r>
    </w:p>
    <w:p w14:paraId="2D4883E1">
      <w:pPr>
        <w:spacing w:line="360" w:lineRule="auto"/>
        <w:ind w:left="420"/>
        <w:jc w:val="center"/>
        <w:rPr>
          <w:rFonts w:hint="eastAsia" w:ascii="宋体" w:hAnsi="宋体" w:eastAsia="宋体"/>
          <w:szCs w:val="21"/>
        </w:rPr>
      </w:pPr>
      <w:r>
        <w:rPr>
          <w:rFonts w:hint="eastAsia" w:ascii="宋体" w:hAnsi="宋体" w:eastAsia="宋体"/>
          <w:szCs w:val="21"/>
        </w:rPr>
        <w:t>部署架构图</w:t>
      </w:r>
    </w:p>
    <w:p w14:paraId="51F8207C">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本系统采用先进的云原生设计理念，旨在构建一个高效、灵活、可扩展的容器化应用平台。通过容器化技术和微服务架构的结合，实现应用的模块化、组件化和服务化，提升系统的可维护性和可扩展性。以下将从系统整体架构、容器化技术选择、微服务组成、自动伸缩机制、第三方服务集成等多个方面进行详细阐述。</w:t>
      </w:r>
    </w:p>
    <w:p w14:paraId="37031568">
      <w:pPr>
        <w:pStyle w:val="7"/>
        <w:widowControl/>
        <w:spacing w:before="280" w:after="290"/>
        <w:ind w:left="0" w:firstLine="0"/>
        <w:rPr>
          <w:rFonts w:hint="eastAsia" w:ascii="宋体" w:hAnsi="宋体"/>
          <w:sz w:val="21"/>
          <w:szCs w:val="21"/>
        </w:rPr>
      </w:pPr>
      <w:r>
        <w:rPr>
          <w:rFonts w:ascii="宋体" w:hAnsi="宋体"/>
          <w:sz w:val="21"/>
          <w:szCs w:val="21"/>
        </w:rPr>
        <w:t>系统整体架构设计</w:t>
      </w:r>
    </w:p>
    <w:p w14:paraId="0C5900E4">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整体架构以云原生理念为指导，采用容器化部署方式，所有服务均运行在高可用的服务器集群上。通过容器编排技术，对应用服务进行统一的管理、调度和监控。架构设计充分考虑了系统的可移植性、可扩展性和高可用性，满足跨云平台类型的开发和部署需求。</w:t>
      </w:r>
    </w:p>
    <w:p w14:paraId="4D83D097">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容器化部署</w:t>
      </w:r>
    </w:p>
    <w:p w14:paraId="54E61FAC">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容器化技术将应用程序及其依赖的运行环境打包到一个可移植的容器中，确保应用在不同环境下的运行一致性。容器相比传统的</w:t>
      </w:r>
      <w:r>
        <w:rPr>
          <w:rFonts w:hint="eastAsia" w:ascii="宋体" w:hAnsi="宋体" w:eastAsia="宋体" w:cs="宋体"/>
          <w:szCs w:val="21"/>
        </w:rPr>
        <w:t>应用部署方案</w:t>
      </w:r>
      <w:r>
        <w:rPr>
          <w:rFonts w:ascii="宋体" w:hAnsi="宋体" w:eastAsia="宋体" w:cs="宋体"/>
          <w:szCs w:val="21"/>
        </w:rPr>
        <w:t>更加轻量级，启动速度快，占用资源少，非常适合云环境下的应用部署。</w:t>
      </w:r>
    </w:p>
    <w:p w14:paraId="1B59FC21">
      <w:pPr>
        <w:snapToGrid w:val="0"/>
        <w:rPr>
          <w:rFonts w:cs="宋体"/>
          <w:szCs w:val="21"/>
        </w:rPr>
      </w:pPr>
      <w:r>
        <w:drawing>
          <wp:inline distT="0" distB="0" distL="0" distR="0">
            <wp:extent cx="5939790" cy="3031490"/>
            <wp:effectExtent l="0" t="0" r="3810" b="16510"/>
            <wp:docPr id="2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939790" cy="3031490"/>
                    </a:xfrm>
                    <a:prstGeom prst="rect">
                      <a:avLst/>
                    </a:prstGeom>
                    <a:noFill/>
                    <a:ln>
                      <a:noFill/>
                    </a:ln>
                  </pic:spPr>
                </pic:pic>
              </a:graphicData>
            </a:graphic>
          </wp:inline>
        </w:drawing>
      </w:r>
    </w:p>
    <w:p w14:paraId="662A2E04">
      <w:pPr>
        <w:snapToGrid w:val="0"/>
        <w:spacing w:line="360" w:lineRule="auto"/>
        <w:ind w:left="420" w:firstLine="420" w:firstLineChars="200"/>
        <w:jc w:val="center"/>
        <w:rPr>
          <w:rFonts w:hint="eastAsia" w:ascii="宋体" w:hAnsi="宋体" w:eastAsia="宋体" w:cs="宋体"/>
          <w:szCs w:val="21"/>
        </w:rPr>
      </w:pPr>
      <w:r>
        <w:rPr>
          <w:rFonts w:hint="eastAsia" w:ascii="宋体" w:hAnsi="宋体" w:eastAsia="宋体" w:cs="宋体"/>
          <w:szCs w:val="21"/>
        </w:rPr>
        <w:t>虚拟化部署和容器化部署对比图</w:t>
      </w:r>
    </w:p>
    <w:p w14:paraId="7B3439D9">
      <w:pPr>
        <w:snapToGrid w:val="0"/>
        <w:spacing w:line="360" w:lineRule="auto"/>
        <w:ind w:left="420" w:firstLine="20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服务器集群</w:t>
      </w:r>
    </w:p>
    <w:p w14:paraId="1D9C3757">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系统运行在由</w:t>
      </w:r>
      <w:r>
        <w:rPr>
          <w:rFonts w:hint="eastAsia" w:ascii="宋体" w:hAnsi="宋体" w:eastAsia="宋体" w:cs="宋体"/>
          <w:szCs w:val="21"/>
        </w:rPr>
        <w:t>云平台提供的</w:t>
      </w:r>
      <w:r>
        <w:rPr>
          <w:rFonts w:ascii="宋体" w:hAnsi="宋体" w:eastAsia="宋体" w:cs="宋体"/>
          <w:szCs w:val="21"/>
        </w:rPr>
        <w:t>服务器组成的高可用集群上，利用集群的资源调度和负载均衡能力，提高系统的可靠性和可扩展性。集群内的服务器节点可以根据业务需求进行动态的增加或减少，满足系统的弹性扩展需求。</w:t>
      </w:r>
    </w:p>
    <w:p w14:paraId="0D03C1AD">
      <w:pPr>
        <w:snapToGrid w:val="0"/>
        <w:spacing w:line="360" w:lineRule="auto"/>
        <w:ind w:left="420" w:firstLine="20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容器编排技术</w:t>
      </w:r>
    </w:p>
    <w:p w14:paraId="6429BEBF">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为了对大量的容器进行有效的管理和调度，系统采用容器编排技术。目前主流的容器编排工具包括Kubernetes（K8s）、Docker Swarm等。</w:t>
      </w:r>
    </w:p>
    <w:p w14:paraId="3087885E">
      <w:pPr>
        <w:snapToGrid w:val="0"/>
        <w:ind w:left="420" w:firstLine="422" w:firstLineChars="200"/>
        <w:jc w:val="center"/>
        <w:rPr>
          <w:rFonts w:cs="宋体"/>
          <w:b/>
          <w:bCs/>
          <w:szCs w:val="21"/>
        </w:rPr>
      </w:pPr>
      <w:r>
        <w:rPr>
          <w:rFonts w:cs="宋体"/>
          <w:b/>
          <w:bCs/>
          <w:szCs w:val="21"/>
        </w:rPr>
        <w:drawing>
          <wp:inline distT="0" distB="0" distL="0" distR="0">
            <wp:extent cx="1780540" cy="993140"/>
            <wp:effectExtent l="0" t="0" r="10160" b="16510"/>
            <wp:docPr id="28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1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848780" cy="1030883"/>
                    </a:xfrm>
                    <a:prstGeom prst="rect">
                      <a:avLst/>
                    </a:prstGeom>
                    <a:noFill/>
                  </pic:spPr>
                </pic:pic>
              </a:graphicData>
            </a:graphic>
          </wp:inline>
        </w:drawing>
      </w:r>
      <w:r>
        <w:drawing>
          <wp:inline distT="0" distB="0" distL="0" distR="0">
            <wp:extent cx="1971675" cy="998220"/>
            <wp:effectExtent l="0" t="0" r="9525" b="11430"/>
            <wp:docPr id="2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012275" cy="1019045"/>
                    </a:xfrm>
                    <a:prstGeom prst="rect">
                      <a:avLst/>
                    </a:prstGeom>
                    <a:noFill/>
                    <a:ln>
                      <a:noFill/>
                    </a:ln>
                  </pic:spPr>
                </pic:pic>
              </a:graphicData>
            </a:graphic>
          </wp:inline>
        </w:drawing>
      </w:r>
    </w:p>
    <w:p w14:paraId="5A8755F7">
      <w:pPr>
        <w:snapToGrid w:val="0"/>
        <w:spacing w:line="360" w:lineRule="auto"/>
        <w:ind w:left="420" w:firstLine="420" w:firstLineChars="200"/>
        <w:rPr>
          <w:rFonts w:cs="宋体"/>
          <w:szCs w:val="21"/>
        </w:rPr>
      </w:pPr>
      <w:r>
        <w:rPr>
          <w:rFonts w:cs="宋体"/>
          <w:szCs w:val="21"/>
        </w:rPr>
        <w:t>容器编排技术是容器化部署的核心，负责容器的部署、扩展、负载均衡和更新等操作。</w:t>
      </w:r>
    </w:p>
    <w:p w14:paraId="14F9BA14">
      <w:pPr>
        <w:snapToGrid w:val="0"/>
        <w:spacing w:line="360" w:lineRule="auto"/>
        <w:ind w:left="420" w:firstLine="420" w:firstLineChars="200"/>
        <w:rPr>
          <w:rFonts w:cs="宋体"/>
          <w:szCs w:val="21"/>
        </w:rPr>
      </w:pPr>
      <w:r>
        <w:rPr>
          <w:rFonts w:cs="宋体"/>
          <w:szCs w:val="21"/>
        </w:rPr>
        <w:t>我们将综合考虑各个编排工具的特点、项目需求、技术栈和后期维护成本，最终选定最适合的容器编排方案。通过容器编排技术的应用，实现对容器化应用的自动化部署、弹性伸缩和高可用保障。</w:t>
      </w:r>
    </w:p>
    <w:p w14:paraId="4B644078">
      <w:pPr>
        <w:pStyle w:val="7"/>
        <w:widowControl/>
        <w:spacing w:before="280" w:after="290"/>
        <w:ind w:left="0" w:firstLine="0"/>
        <w:rPr>
          <w:sz w:val="21"/>
          <w:szCs w:val="21"/>
        </w:rPr>
      </w:pPr>
      <w:r>
        <w:rPr>
          <w:sz w:val="21"/>
          <w:szCs w:val="21"/>
        </w:rPr>
        <w:t>微服务架构设计</w:t>
      </w:r>
    </w:p>
    <w:p w14:paraId="600A2611">
      <w:pPr>
        <w:snapToGrid w:val="0"/>
        <w:spacing w:line="360" w:lineRule="auto"/>
        <w:ind w:left="420" w:firstLine="420" w:firstLineChars="200"/>
        <w:rPr>
          <w:rFonts w:cs="宋体"/>
          <w:szCs w:val="21"/>
        </w:rPr>
      </w:pPr>
      <w:r>
        <w:rPr>
          <w:rFonts w:cs="宋体"/>
          <w:szCs w:val="21"/>
        </w:rPr>
        <w:t>系统采用微服务架构，将整个应用拆分为多个独立的服务模块，每个模块都专注于完成特定的业务功能。微服务架构的优势在于模块之间松耦合，方便开发、部署和扩展，提高了系统的灵活性和可维护性。</w:t>
      </w:r>
    </w:p>
    <w:p w14:paraId="0063384A">
      <w:pPr>
        <w:snapToGrid w:val="0"/>
        <w:rPr>
          <w:rFonts w:cs="宋体"/>
          <w:szCs w:val="21"/>
        </w:rPr>
      </w:pPr>
      <w:r>
        <w:rPr>
          <w:rFonts w:cs="宋体"/>
          <w:szCs w:val="21"/>
        </w:rPr>
        <w:drawing>
          <wp:inline distT="0" distB="0" distL="0" distR="0">
            <wp:extent cx="5915025" cy="3248025"/>
            <wp:effectExtent l="0" t="0" r="9525" b="9525"/>
            <wp:docPr id="29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915025" cy="3248025"/>
                    </a:xfrm>
                    <a:prstGeom prst="rect">
                      <a:avLst/>
                    </a:prstGeom>
                    <a:noFill/>
                  </pic:spPr>
                </pic:pic>
              </a:graphicData>
            </a:graphic>
          </wp:inline>
        </w:drawing>
      </w:r>
    </w:p>
    <w:p w14:paraId="2DAA1CCD">
      <w:pPr>
        <w:snapToGrid w:val="0"/>
        <w:spacing w:line="360" w:lineRule="auto"/>
        <w:ind w:left="420"/>
        <w:rPr>
          <w:rFonts w:hint="eastAsia" w:ascii="宋体" w:hAnsi="宋体" w:eastAsia="宋体" w:cs="宋体"/>
          <w:b/>
          <w:bCs/>
          <w:szCs w:val="21"/>
        </w:rPr>
      </w:pPr>
    </w:p>
    <w:p w14:paraId="797327C0">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业务服务</w:t>
      </w:r>
    </w:p>
    <w:p w14:paraId="51C8EBC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业务服务是系统的核心，负责实现具体的业务功能。主要包括：</w:t>
      </w:r>
    </w:p>
    <w:p w14:paraId="240A49A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招标服务</w:t>
      </w:r>
      <w:r>
        <w:rPr>
          <w:rFonts w:ascii="宋体" w:hAnsi="宋体" w:eastAsia="宋体" w:cs="宋体"/>
          <w:szCs w:val="21"/>
        </w:rPr>
        <w:t>：负责发布</w:t>
      </w:r>
      <w:r>
        <w:rPr>
          <w:rFonts w:hint="eastAsia" w:ascii="宋体" w:hAnsi="宋体" w:eastAsia="宋体" w:cs="宋体"/>
          <w:szCs w:val="21"/>
        </w:rPr>
        <w:t>和管理</w:t>
      </w:r>
      <w:r>
        <w:rPr>
          <w:rFonts w:ascii="宋体" w:hAnsi="宋体" w:eastAsia="宋体" w:cs="宋体"/>
          <w:szCs w:val="21"/>
        </w:rPr>
        <w:t>招标信息，</w:t>
      </w:r>
      <w:r>
        <w:rPr>
          <w:rFonts w:hint="eastAsia" w:ascii="宋体" w:hAnsi="宋体" w:eastAsia="宋体" w:cs="宋体"/>
          <w:szCs w:val="21"/>
        </w:rPr>
        <w:t>覆盖整个招标过程</w:t>
      </w:r>
      <w:r>
        <w:rPr>
          <w:rFonts w:ascii="宋体" w:hAnsi="宋体" w:eastAsia="宋体" w:cs="宋体"/>
          <w:szCs w:val="21"/>
        </w:rPr>
        <w:t>。</w:t>
      </w:r>
    </w:p>
    <w:p w14:paraId="39B73D2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投标服务</w:t>
      </w:r>
      <w:r>
        <w:rPr>
          <w:rFonts w:ascii="宋体" w:hAnsi="宋体" w:eastAsia="宋体" w:cs="宋体"/>
          <w:szCs w:val="21"/>
        </w:rPr>
        <w:t>：提供投标信息的提交、查询和管理功能</w:t>
      </w:r>
      <w:r>
        <w:rPr>
          <w:rFonts w:hint="eastAsia" w:ascii="宋体" w:hAnsi="宋体" w:eastAsia="宋体" w:cs="宋体"/>
          <w:szCs w:val="21"/>
        </w:rPr>
        <w:t>，同时包括投标过程中的其他支持服务</w:t>
      </w:r>
      <w:r>
        <w:rPr>
          <w:rFonts w:ascii="宋体" w:hAnsi="宋体" w:eastAsia="宋体" w:cs="宋体"/>
          <w:szCs w:val="21"/>
        </w:rPr>
        <w:t>。</w:t>
      </w:r>
    </w:p>
    <w:p w14:paraId="45B25D6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开标服务</w:t>
      </w:r>
      <w:r>
        <w:rPr>
          <w:rFonts w:ascii="宋体" w:hAnsi="宋体" w:eastAsia="宋体" w:cs="宋体"/>
          <w:szCs w:val="21"/>
        </w:rPr>
        <w:t>：负责开标过程的管理和信息展示</w:t>
      </w:r>
      <w:r>
        <w:rPr>
          <w:rFonts w:hint="eastAsia" w:ascii="宋体" w:hAnsi="宋体" w:eastAsia="宋体" w:cs="宋体"/>
          <w:szCs w:val="21"/>
        </w:rPr>
        <w:t>，服务于开标过程中的所有角色</w:t>
      </w:r>
      <w:r>
        <w:rPr>
          <w:rFonts w:ascii="宋体" w:hAnsi="宋体" w:eastAsia="宋体" w:cs="宋体"/>
          <w:szCs w:val="21"/>
        </w:rPr>
        <w:t>。</w:t>
      </w:r>
    </w:p>
    <w:p w14:paraId="66B54C5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评标服务</w:t>
      </w:r>
      <w:r>
        <w:rPr>
          <w:rFonts w:ascii="宋体" w:hAnsi="宋体" w:eastAsia="宋体" w:cs="宋体"/>
          <w:szCs w:val="21"/>
        </w:rPr>
        <w:t>：实现评标流程的管理，支持多种评标方式。</w:t>
      </w:r>
    </w:p>
    <w:p w14:paraId="543FB53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定标服务</w:t>
      </w:r>
      <w:r>
        <w:rPr>
          <w:rFonts w:ascii="宋体" w:hAnsi="宋体" w:eastAsia="宋体" w:cs="宋体"/>
          <w:szCs w:val="21"/>
        </w:rPr>
        <w:t>：负责定标结果的确认和通知。</w:t>
      </w:r>
    </w:p>
    <w:p w14:paraId="2B173374">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归档服务</w:t>
      </w:r>
      <w:r>
        <w:rPr>
          <w:rFonts w:hint="eastAsia" w:ascii="宋体" w:hAnsi="宋体" w:eastAsia="宋体" w:cs="宋体"/>
          <w:szCs w:val="21"/>
        </w:rPr>
        <w:t>：负责项目的档案管理和移交等。</w:t>
      </w:r>
    </w:p>
    <w:p w14:paraId="341DBF62">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公共服务</w:t>
      </w:r>
    </w:p>
    <w:p w14:paraId="7443EF0F">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除了业务服务外，系统还包括一系列的公共服务，提供基础支持和通用功能：</w:t>
      </w:r>
    </w:p>
    <w:p w14:paraId="6D37183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用户服务</w:t>
      </w:r>
      <w:r>
        <w:rPr>
          <w:rFonts w:ascii="宋体" w:hAnsi="宋体" w:eastAsia="宋体" w:cs="宋体"/>
          <w:szCs w:val="21"/>
        </w:rPr>
        <w:t>：管理用户的注册、登录、信息维护等。</w:t>
      </w:r>
    </w:p>
    <w:p w14:paraId="75A818D7">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支付服务</w:t>
      </w:r>
      <w:r>
        <w:rPr>
          <w:rFonts w:hint="eastAsia" w:ascii="宋体" w:hAnsi="宋体" w:eastAsia="宋体" w:cs="宋体"/>
          <w:szCs w:val="21"/>
        </w:rPr>
        <w:t>：负责系统所有支付业务，提供支付渠道的统一管理和接入。</w:t>
      </w:r>
    </w:p>
    <w:p w14:paraId="4CCDF8D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统一认证服务</w:t>
      </w:r>
      <w:r>
        <w:rPr>
          <w:rFonts w:ascii="宋体" w:hAnsi="宋体" w:eastAsia="宋体" w:cs="宋体"/>
          <w:szCs w:val="21"/>
        </w:rPr>
        <w:t>：提供统一的身份认证和授权功能，确保系统的安全性。</w:t>
      </w:r>
    </w:p>
    <w:p w14:paraId="14D089B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权限管理服务</w:t>
      </w:r>
      <w:r>
        <w:rPr>
          <w:rFonts w:ascii="宋体" w:hAnsi="宋体" w:eastAsia="宋体" w:cs="宋体"/>
          <w:szCs w:val="21"/>
        </w:rPr>
        <w:t>：负责用户权限的分配和管理，支持细粒度的权限控制。</w:t>
      </w:r>
    </w:p>
    <w:p w14:paraId="1F3F954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日志审计服务</w:t>
      </w:r>
      <w:r>
        <w:rPr>
          <w:rFonts w:ascii="宋体" w:hAnsi="宋体" w:eastAsia="宋体" w:cs="宋体"/>
          <w:szCs w:val="21"/>
        </w:rPr>
        <w:t>：记录系统的操作日志，提供审计和追溯功能。</w:t>
      </w:r>
    </w:p>
    <w:p w14:paraId="654FC62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配置中心</w:t>
      </w:r>
      <w:r>
        <w:rPr>
          <w:rFonts w:ascii="宋体" w:hAnsi="宋体" w:eastAsia="宋体" w:cs="宋体"/>
          <w:szCs w:val="21"/>
        </w:rPr>
        <w:t>：集中管理系统的配置项，支持配置的动态更新和推送。</w:t>
      </w:r>
    </w:p>
    <w:p w14:paraId="4071807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消息队列服务</w:t>
      </w:r>
      <w:r>
        <w:rPr>
          <w:rFonts w:ascii="宋体" w:hAnsi="宋体" w:eastAsia="宋体" w:cs="宋体"/>
          <w:szCs w:val="21"/>
        </w:rPr>
        <w:t>：实现服务之间的异步通信，解耦服务，提升系统的可扩展性。</w:t>
      </w:r>
    </w:p>
    <w:p w14:paraId="5D5A14D8">
      <w:pPr>
        <w:snapToGrid w:val="0"/>
        <w:spacing w:line="360" w:lineRule="auto"/>
        <w:ind w:left="420" w:firstLine="420"/>
        <w:rPr>
          <w:rFonts w:hint="eastAsia" w:ascii="宋体" w:hAnsi="宋体" w:eastAsia="宋体" w:cs="宋体"/>
          <w:szCs w:val="21"/>
        </w:rPr>
      </w:pPr>
      <w:r>
        <w:rPr>
          <w:rFonts w:hint="eastAsia" w:ascii="宋体" w:hAnsi="宋体" w:eastAsia="宋体" w:cs="宋体"/>
          <w:b/>
          <w:bCs/>
          <w:szCs w:val="21"/>
        </w:rPr>
        <w:t>存储服务</w:t>
      </w:r>
      <w:r>
        <w:rPr>
          <w:rFonts w:hint="eastAsia" w:ascii="宋体" w:hAnsi="宋体" w:eastAsia="宋体" w:cs="宋体"/>
          <w:szCs w:val="21"/>
        </w:rPr>
        <w:t>：负责各个服务的持久化数据存储，为所有的应用提供基础的数据存储和管理查询服务。</w:t>
      </w:r>
    </w:p>
    <w:p w14:paraId="63DE8479">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微服务治理组件</w:t>
      </w:r>
    </w:p>
    <w:p w14:paraId="6A8D064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为保障微服务的稳定运行和高效管理，系统引入了一系列的微服务治理组件：</w:t>
      </w:r>
    </w:p>
    <w:p w14:paraId="3F368FF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服务注册与发现</w:t>
      </w:r>
      <w:r>
        <w:rPr>
          <w:rFonts w:ascii="宋体" w:hAnsi="宋体" w:eastAsia="宋体" w:cs="宋体"/>
          <w:szCs w:val="21"/>
        </w:rPr>
        <w:t>：通过服务注册中心（如</w:t>
      </w:r>
      <w:r>
        <w:rPr>
          <w:rFonts w:hint="eastAsia" w:ascii="宋体" w:hAnsi="宋体" w:eastAsia="宋体" w:cs="宋体"/>
          <w:szCs w:val="21"/>
        </w:rPr>
        <w:t>Nacos</w:t>
      </w:r>
      <w:r>
        <w:rPr>
          <w:rFonts w:ascii="宋体" w:hAnsi="宋体" w:eastAsia="宋体" w:cs="宋体"/>
          <w:szCs w:val="21"/>
        </w:rPr>
        <w:t>、Eureka等），实现服务的自动注册和发现，支持负载均衡和故障转移。</w:t>
      </w:r>
    </w:p>
    <w:p w14:paraId="2B3E873F">
      <w:pPr>
        <w:snapToGrid w:val="0"/>
        <w:ind w:left="420" w:firstLine="420"/>
        <w:jc w:val="center"/>
        <w:rPr>
          <w:rFonts w:cs="宋体"/>
          <w:szCs w:val="21"/>
        </w:rPr>
      </w:pPr>
      <w:r>
        <w:drawing>
          <wp:inline distT="0" distB="0" distL="0" distR="0">
            <wp:extent cx="1732915" cy="798195"/>
            <wp:effectExtent l="0" t="0" r="635" b="1905"/>
            <wp:docPr id="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
                    <pic:cNvPicPr>
                      <a:picLocks noChangeAspect="1"/>
                    </pic:cNvPicPr>
                  </pic:nvPicPr>
                  <pic:blipFill>
                    <a:blip r:embed="rId108"/>
                    <a:stretch>
                      <a:fillRect/>
                    </a:stretch>
                  </pic:blipFill>
                  <pic:spPr>
                    <a:xfrm>
                      <a:off x="0" y="0"/>
                      <a:ext cx="1750666" cy="806721"/>
                    </a:xfrm>
                    <a:prstGeom prst="rect">
                      <a:avLst/>
                    </a:prstGeom>
                  </pic:spPr>
                </pic:pic>
              </a:graphicData>
            </a:graphic>
          </wp:inline>
        </w:drawing>
      </w:r>
      <w:r>
        <w:rPr>
          <w:rFonts w:cs="宋体"/>
          <w:szCs w:val="21"/>
        </w:rPr>
        <w:drawing>
          <wp:inline distT="0" distB="0" distL="0" distR="0">
            <wp:extent cx="3593465" cy="770255"/>
            <wp:effectExtent l="0" t="0" r="6985" b="10795"/>
            <wp:docPr id="29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3612234" cy="774582"/>
                    </a:xfrm>
                    <a:prstGeom prst="rect">
                      <a:avLst/>
                    </a:prstGeom>
                    <a:noFill/>
                  </pic:spPr>
                </pic:pic>
              </a:graphicData>
            </a:graphic>
          </wp:inline>
        </w:drawing>
      </w:r>
    </w:p>
    <w:p w14:paraId="18D7476B">
      <w:pPr>
        <w:snapToGrid w:val="0"/>
        <w:spacing w:line="360" w:lineRule="auto"/>
        <w:ind w:left="420" w:firstLine="420"/>
        <w:jc w:val="center"/>
        <w:rPr>
          <w:rFonts w:hint="eastAsia" w:ascii="宋体" w:hAnsi="宋体" w:eastAsia="宋体" w:cs="宋体"/>
          <w:szCs w:val="21"/>
        </w:rPr>
      </w:pPr>
      <w:r>
        <w:rPr>
          <w:rFonts w:hint="eastAsia" w:ascii="宋体" w:hAnsi="宋体" w:eastAsia="宋体" w:cs="宋体"/>
          <w:szCs w:val="21"/>
        </w:rPr>
        <w:t>注册中心Nacos、Eureka</w:t>
      </w:r>
    </w:p>
    <w:p w14:paraId="15DB8AF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网关服务</w:t>
      </w:r>
      <w:r>
        <w:rPr>
          <w:rFonts w:ascii="宋体" w:hAnsi="宋体" w:eastAsia="宋体" w:cs="宋体"/>
          <w:szCs w:val="21"/>
        </w:rPr>
        <w:t>：统一对外提供API接口，实现路由、负载均衡、协议转换、限流、鉴权等功能。</w:t>
      </w:r>
    </w:p>
    <w:p w14:paraId="226E2CC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熔断和限流</w:t>
      </w:r>
      <w:r>
        <w:rPr>
          <w:rFonts w:ascii="宋体" w:hAnsi="宋体" w:eastAsia="宋体" w:cs="宋体"/>
          <w:szCs w:val="21"/>
        </w:rPr>
        <w:t>：通过熔断器（如Hystrix）和限流器，防止服务雪崩，保障系统的稳定性。</w:t>
      </w:r>
    </w:p>
    <w:p w14:paraId="77B9618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分布式追踪</w:t>
      </w:r>
      <w:r>
        <w:rPr>
          <w:rFonts w:ascii="宋体" w:hAnsi="宋体" w:eastAsia="宋体" w:cs="宋体"/>
          <w:szCs w:val="21"/>
        </w:rPr>
        <w:t>：使用Zipkin、Jaeger等工具，实现服务调用链的跟踪，方便故障排查。</w:t>
      </w:r>
    </w:p>
    <w:p w14:paraId="1DDE721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监控和报警</w:t>
      </w:r>
      <w:r>
        <w:rPr>
          <w:rFonts w:ascii="宋体" w:hAnsi="宋体" w:eastAsia="宋体" w:cs="宋体"/>
          <w:szCs w:val="21"/>
        </w:rPr>
        <w:t>：引入Prometheus、Grafana等监控工具，实时监控系统的性能指标，设置报警规则，及时发现并处理异常。</w:t>
      </w:r>
    </w:p>
    <w:p w14:paraId="79CAFF11">
      <w:pPr>
        <w:pStyle w:val="7"/>
        <w:widowControl/>
        <w:spacing w:before="280" w:after="290"/>
        <w:ind w:left="0" w:firstLine="0"/>
        <w:rPr>
          <w:rFonts w:hint="eastAsia" w:ascii="宋体" w:hAnsi="宋体"/>
          <w:sz w:val="21"/>
          <w:szCs w:val="21"/>
        </w:rPr>
      </w:pPr>
      <w:r>
        <w:rPr>
          <w:rFonts w:ascii="宋体" w:hAnsi="宋体"/>
          <w:sz w:val="21"/>
          <w:szCs w:val="21"/>
        </w:rPr>
        <w:t>自动伸缩机制设计</w:t>
      </w:r>
    </w:p>
    <w:p w14:paraId="7BA829E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为了应对业务量的动态变化，系统需要具备自动伸缩的能力。通过容器编排技术和自动伸缩策略的结合，实现根据实时负载情况，对服务实例进行自动的扩容或缩容，达到“削峰填谷”的效果。</w:t>
      </w:r>
    </w:p>
    <w:p w14:paraId="7D5C977F">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负载监控</w:t>
      </w:r>
    </w:p>
    <w:p w14:paraId="642CEAD4">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系统持续监控各个服务的运行指标，包括CPU使用率、内存占用、网络流量、请求响应时间、队列长度等。通过Prometheus等监控工具，收集和分析实时的性能数据，为自动伸缩策略提供数据支持。</w:t>
      </w:r>
    </w:p>
    <w:p w14:paraId="2A39C56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自动伸缩策略</w:t>
      </w:r>
    </w:p>
    <w:p w14:paraId="05578420">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根据业务需求和服务特点，预先设定自动伸缩的触发阈值和规则。例如：</w:t>
      </w:r>
    </w:p>
    <w:p w14:paraId="09746278">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当某个服务的CPU使用率持续超过80%时，自动增加1个实例。</w:t>
      </w:r>
    </w:p>
    <w:p w14:paraId="50F25AD4">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当请求响应时间超过设定的阈值时，触发扩容操作。</w:t>
      </w:r>
    </w:p>
    <w:p w14:paraId="7C934A8F">
      <w:pPr>
        <w:snapToGrid w:val="0"/>
        <w:spacing w:line="360" w:lineRule="auto"/>
        <w:ind w:left="420" w:firstLine="42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rPr>
        <w:t>当队列长度超过设定值时，增加消费者实例数。</w:t>
      </w:r>
    </w:p>
    <w:p w14:paraId="39A03E1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自动伸缩策略可以是基于单一指标的简单规则，也可以是基于多指标的复杂策略，甚至利用机器学习算法进行预测性伸缩。</w:t>
      </w:r>
      <w:r>
        <w:rPr>
          <w:rFonts w:hint="eastAsia" w:ascii="宋体" w:hAnsi="宋体" w:eastAsia="宋体" w:cs="宋体"/>
          <w:szCs w:val="21"/>
        </w:rPr>
        <w:t>系统将会结合招标人实际的用量需求来设计自动伸缩策略，保证系统的负载可以满足招标人的系统性能要求。</w:t>
      </w:r>
    </w:p>
    <w:p w14:paraId="537AF928">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伸缩执行</w:t>
      </w:r>
    </w:p>
    <w:p w14:paraId="2FB5569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当监控系统检测到触发条件满足时，容器编排平台自动执行伸缩操作：</w:t>
      </w:r>
    </w:p>
    <w:p w14:paraId="5AC7974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扩容</w:t>
      </w:r>
      <w:r>
        <w:rPr>
          <w:rFonts w:ascii="宋体" w:hAnsi="宋体" w:eastAsia="宋体" w:cs="宋体"/>
          <w:szCs w:val="21"/>
        </w:rPr>
        <w:t>：启动新的容器实例，加入到服务集群中，均衡分担负载。</w:t>
      </w:r>
    </w:p>
    <w:p w14:paraId="3603500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缩容</w:t>
      </w:r>
      <w:r>
        <w:rPr>
          <w:rFonts w:ascii="宋体" w:hAnsi="宋体" w:eastAsia="宋体" w:cs="宋体"/>
          <w:szCs w:val="21"/>
        </w:rPr>
        <w:t>：当负载降低时，自动停止多余的容器实例，释放资源。</w:t>
      </w:r>
    </w:p>
    <w:p w14:paraId="38217F6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通过自动伸缩机制，系统能够在业务高峰期快速响应，提供足够的处理能力；在业务低谷期，减少资源占用，降低运营成本。</w:t>
      </w:r>
    </w:p>
    <w:p w14:paraId="78212CA4">
      <w:pPr>
        <w:pStyle w:val="7"/>
        <w:widowControl/>
        <w:spacing w:before="280" w:after="290"/>
        <w:ind w:left="0" w:firstLine="0"/>
        <w:rPr>
          <w:rFonts w:hint="eastAsia" w:ascii="宋体" w:hAnsi="宋体"/>
          <w:sz w:val="21"/>
          <w:szCs w:val="21"/>
        </w:rPr>
      </w:pPr>
      <w:r>
        <w:rPr>
          <w:rFonts w:ascii="宋体" w:hAnsi="宋体"/>
          <w:sz w:val="21"/>
          <w:szCs w:val="21"/>
        </w:rPr>
        <w:t>灰度发布和持续交付</w:t>
      </w:r>
    </w:p>
    <w:p w14:paraId="2BBA7F7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为了在不影响业务运行的情况下，平滑地进行系统更新和功能发布，系统采用灰度发布和持续交付（CI/CD）策略。</w:t>
      </w:r>
    </w:p>
    <w:p w14:paraId="2CB81999">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灰度发布</w:t>
      </w:r>
    </w:p>
    <w:p w14:paraId="2DBACC9D">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系统通过</w:t>
      </w:r>
      <w:r>
        <w:rPr>
          <w:rFonts w:ascii="宋体" w:hAnsi="宋体" w:eastAsia="宋体" w:cs="宋体"/>
          <w:szCs w:val="21"/>
        </w:rPr>
        <w:t>灰度发布</w:t>
      </w:r>
      <w:r>
        <w:rPr>
          <w:rFonts w:hint="eastAsia" w:ascii="宋体" w:hAnsi="宋体" w:eastAsia="宋体" w:cs="宋体"/>
          <w:szCs w:val="21"/>
        </w:rPr>
        <w:t>实现当</w:t>
      </w:r>
      <w:r>
        <w:rPr>
          <w:rFonts w:ascii="宋体" w:hAnsi="宋体" w:eastAsia="宋体" w:cs="宋体"/>
          <w:szCs w:val="21"/>
        </w:rPr>
        <w:t>新版本上线时，只让一部分用户访问新版本，其余用户仍然使用旧版本。通过逐步增加新版本的用户比例，验证新版本的稳定性，最终全面替换旧版本。</w:t>
      </w:r>
    </w:p>
    <w:p w14:paraId="72486831">
      <w:pPr>
        <w:snapToGrid w:val="0"/>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我们将支持如下方法</w:t>
      </w:r>
      <w:r>
        <w:rPr>
          <w:rFonts w:ascii="宋体" w:hAnsi="宋体" w:eastAsia="宋体" w:cs="宋体"/>
          <w:szCs w:val="21"/>
        </w:rPr>
        <w:t>实现灰度发布：</w:t>
      </w:r>
    </w:p>
    <w:p w14:paraId="5ED212B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按用户分组</w:t>
      </w:r>
      <w:r>
        <w:rPr>
          <w:rFonts w:ascii="宋体" w:hAnsi="宋体" w:eastAsia="宋体" w:cs="宋体"/>
          <w:szCs w:val="21"/>
        </w:rPr>
        <w:t>：根据用户属性（如地区、用户类型）分配不同的版本。</w:t>
      </w:r>
    </w:p>
    <w:p w14:paraId="3C25CF1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按流量比例</w:t>
      </w:r>
      <w:r>
        <w:rPr>
          <w:rFonts w:ascii="宋体" w:hAnsi="宋体" w:eastAsia="宋体" w:cs="宋体"/>
          <w:szCs w:val="21"/>
        </w:rPr>
        <w:t>：控制新旧版本的流量占比，逐步增加新版本的流量。</w:t>
      </w:r>
    </w:p>
    <w:p w14:paraId="1185F3C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蓝绿部署</w:t>
      </w:r>
      <w:r>
        <w:rPr>
          <w:rFonts w:ascii="宋体" w:hAnsi="宋体" w:eastAsia="宋体" w:cs="宋体"/>
          <w:szCs w:val="21"/>
        </w:rPr>
        <w:t>：同时运行两个版本的应用，切换流量指向。</w:t>
      </w:r>
    </w:p>
    <w:p w14:paraId="5AE50383">
      <w:pPr>
        <w:snapToGrid w:val="0"/>
        <w:spacing w:line="360" w:lineRule="auto"/>
        <w:ind w:left="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持续集成和持续交付</w:t>
      </w:r>
    </w:p>
    <w:p w14:paraId="1EC48E9C">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通过建立CI/CD流水线，实现代码的自动构建、测试和部署。主要步骤包括：</w:t>
      </w:r>
    </w:p>
    <w:p w14:paraId="759FBE3A">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代码提交</w:t>
      </w:r>
      <w:r>
        <w:rPr>
          <w:rFonts w:ascii="宋体" w:hAnsi="宋体" w:eastAsia="宋体" w:cs="宋体"/>
          <w:szCs w:val="21"/>
        </w:rPr>
        <w:t>：开发人员将代码提交到版本控制系统。</w:t>
      </w:r>
    </w:p>
    <w:p w14:paraId="0C51A2D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自动构建</w:t>
      </w:r>
      <w:r>
        <w:rPr>
          <w:rFonts w:ascii="宋体" w:hAnsi="宋体" w:eastAsia="宋体" w:cs="宋体"/>
          <w:szCs w:val="21"/>
        </w:rPr>
        <w:t>：触发构建服务器（如Jenkins）进行代码编译和打包。</w:t>
      </w:r>
    </w:p>
    <w:p w14:paraId="32E00D8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自动测试</w:t>
      </w:r>
      <w:r>
        <w:rPr>
          <w:rFonts w:ascii="宋体" w:hAnsi="宋体" w:eastAsia="宋体" w:cs="宋体"/>
          <w:szCs w:val="21"/>
        </w:rPr>
        <w:t>：运行单元测试、集成测试，确保代码质量。</w:t>
      </w:r>
    </w:p>
    <w:p w14:paraId="5874F46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镜像构建</w:t>
      </w:r>
      <w:r>
        <w:rPr>
          <w:rFonts w:ascii="宋体" w:hAnsi="宋体" w:eastAsia="宋体" w:cs="宋体"/>
          <w:szCs w:val="21"/>
        </w:rPr>
        <w:t>：将应用打包为容器镜像，上传到镜像仓库。</w:t>
      </w:r>
    </w:p>
    <w:p w14:paraId="19D1CC6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自动部署</w:t>
      </w:r>
      <w:r>
        <w:rPr>
          <w:rFonts w:ascii="宋体" w:hAnsi="宋体" w:eastAsia="宋体" w:cs="宋体"/>
          <w:szCs w:val="21"/>
        </w:rPr>
        <w:t>：容器编排平台拉取新镜像，执行部署策略。</w:t>
      </w:r>
    </w:p>
    <w:p w14:paraId="209B0D85">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持续交付加快了新功能的上线速度，提高了开发效率，同时降低了发布风险。</w:t>
      </w:r>
    </w:p>
    <w:p w14:paraId="77625E16">
      <w:pPr>
        <w:pStyle w:val="7"/>
        <w:widowControl/>
        <w:spacing w:before="280" w:after="290"/>
        <w:ind w:left="0" w:firstLine="0"/>
        <w:rPr>
          <w:rFonts w:hint="eastAsia" w:ascii="宋体" w:hAnsi="宋体"/>
          <w:sz w:val="21"/>
          <w:szCs w:val="21"/>
        </w:rPr>
      </w:pPr>
      <w:r>
        <w:rPr>
          <w:rFonts w:ascii="宋体" w:hAnsi="宋体"/>
          <w:sz w:val="21"/>
          <w:szCs w:val="21"/>
        </w:rPr>
        <w:t>跨云平台部署和迁移</w:t>
      </w:r>
    </w:p>
    <w:p w14:paraId="13C069BB">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为了满足系统的可移植性和灵活性，系统设计支持跨云平台的部署和迁移。通过容器化和基础设施即代码（Infrastructure as Code）的实践，实现对不同云平台的支持。</w:t>
      </w:r>
    </w:p>
    <w:p w14:paraId="57A4E899">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容器化的可移植性</w:t>
      </w:r>
    </w:p>
    <w:p w14:paraId="6C7C223A">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容器封装了应用和其依赖的环境，确保在不同的主机和云平台上运行一致。无论是在公有云、私有云还是混合云环境下，容器都能保证应用的可移植性。</w:t>
      </w:r>
    </w:p>
    <w:p w14:paraId="7139F371">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（2）</w:t>
      </w:r>
      <w:r>
        <w:rPr>
          <w:rFonts w:ascii="宋体" w:hAnsi="宋体" w:eastAsia="宋体" w:cs="宋体"/>
          <w:b/>
          <w:bCs/>
          <w:szCs w:val="21"/>
        </w:rPr>
        <w:t>基础设施即代码</w:t>
      </w:r>
    </w:p>
    <w:p w14:paraId="573D374D">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通过将基础设施配置为代码，统一管理和部署云资源。这样可以在不同的云平台上快速搭建相同的基础设施环境，方便应用的部署和迁移。</w:t>
      </w:r>
    </w:p>
    <w:p w14:paraId="627F6B8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云平台适配</w:t>
      </w:r>
    </w:p>
    <w:p w14:paraId="4D4DCD40">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在设计中考虑到云平台的差异，抽象出通用的接口和适配层，屏蔽底层差异，确保应用能够在不同的云环境中无缝运行。</w:t>
      </w:r>
    </w:p>
    <w:p w14:paraId="3CC7DF99">
      <w:pPr>
        <w:pStyle w:val="7"/>
        <w:widowControl/>
        <w:spacing w:before="280" w:after="290"/>
        <w:ind w:left="0" w:firstLine="0"/>
        <w:rPr>
          <w:rFonts w:hint="eastAsia" w:ascii="宋体" w:hAnsi="宋体"/>
          <w:sz w:val="21"/>
          <w:szCs w:val="21"/>
        </w:rPr>
      </w:pPr>
      <w:r>
        <w:rPr>
          <w:rFonts w:ascii="宋体" w:hAnsi="宋体"/>
          <w:sz w:val="21"/>
          <w:szCs w:val="21"/>
        </w:rPr>
        <w:t>第三方服务集成</w:t>
      </w:r>
    </w:p>
    <w:p w14:paraId="5AD9D822">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系统在运行过程中，需要依赖多种第三方API和服务，以提供丰富的功能和更好的用户体验。</w:t>
      </w:r>
    </w:p>
    <w:p w14:paraId="72456B3D">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对比查重服务</w:t>
      </w:r>
    </w:p>
    <w:p w14:paraId="6C2FE9A9">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用于检测文档或内容的相似度，防止重复或抄袭。集成对比查重服务，可以在招标文件、投标文件中检测重复内容，保障信息的原创性和合法性。</w:t>
      </w:r>
    </w:p>
    <w:p w14:paraId="0523E4D2">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股权穿透服务</w:t>
      </w:r>
    </w:p>
    <w:p w14:paraId="4D0DF97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通过股权穿透查询，深入了解企业的股权结构和关联关系，帮助评标人员全面评估投标企业的背景和实力。</w:t>
      </w:r>
    </w:p>
    <w:p w14:paraId="2C285EBD">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SMS短信服务和邮件服务</w:t>
      </w:r>
    </w:p>
    <w:p w14:paraId="23C752F3">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用于发送通知、验证码、提醒等消息，提升用户的互动体验。系统通过集成第三方的短信和邮件服务，确保消息的及时发送和高到达率。</w:t>
      </w:r>
    </w:p>
    <w:p w14:paraId="30C6096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4</w:t>
      </w:r>
      <w:r>
        <w:rPr>
          <w:rFonts w:hint="eastAsia" w:ascii="宋体" w:hAnsi="宋体" w:eastAsia="宋体" w:cs="宋体"/>
          <w:b/>
          <w:bCs/>
          <w:szCs w:val="21"/>
        </w:rPr>
        <w:t>）</w:t>
      </w:r>
      <w:r>
        <w:rPr>
          <w:rFonts w:ascii="宋体" w:hAnsi="宋体" w:eastAsia="宋体" w:cs="宋体"/>
          <w:b/>
          <w:bCs/>
          <w:szCs w:val="21"/>
        </w:rPr>
        <w:t xml:space="preserve"> 企业信息查询服务</w:t>
      </w:r>
    </w:p>
    <w:p w14:paraId="38634EB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提供企业的工商注册信息、信用信息等查询功能，帮助招标方和投标方获取权威的企业信息，支持业务决策。</w:t>
      </w:r>
    </w:p>
    <w:p w14:paraId="54CFB951">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5</w:t>
      </w:r>
      <w:r>
        <w:rPr>
          <w:rFonts w:hint="eastAsia" w:ascii="宋体" w:hAnsi="宋体" w:eastAsia="宋体" w:cs="宋体"/>
          <w:b/>
          <w:bCs/>
          <w:szCs w:val="21"/>
        </w:rPr>
        <w:t>）</w:t>
      </w:r>
      <w:r>
        <w:rPr>
          <w:rFonts w:ascii="宋体" w:hAnsi="宋体" w:eastAsia="宋体" w:cs="宋体"/>
          <w:b/>
          <w:bCs/>
          <w:szCs w:val="21"/>
        </w:rPr>
        <w:t xml:space="preserve"> 第三方服务的集成方式</w:t>
      </w:r>
    </w:p>
    <w:p w14:paraId="4005356A">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API接口调用</w:t>
      </w:r>
      <w:r>
        <w:rPr>
          <w:rFonts w:ascii="宋体" w:hAnsi="宋体" w:eastAsia="宋体" w:cs="宋体"/>
          <w:szCs w:val="21"/>
        </w:rPr>
        <w:t>：通过标准的HTTP/HTTPS协议，按照第三方服务提供的API文档，进行接口对接</w:t>
      </w:r>
      <w:r>
        <w:rPr>
          <w:rFonts w:hint="eastAsia" w:ascii="宋体" w:hAnsi="宋体" w:eastAsia="宋体" w:cs="宋体"/>
          <w:szCs w:val="21"/>
        </w:rPr>
        <w:t>。</w:t>
      </w:r>
    </w:p>
    <w:p w14:paraId="22DEE6F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SDK集成</w:t>
      </w:r>
      <w:r>
        <w:rPr>
          <w:rFonts w:ascii="宋体" w:hAnsi="宋体" w:eastAsia="宋体" w:cs="宋体"/>
          <w:szCs w:val="21"/>
        </w:rPr>
        <w:t>：如果第三方提供了SDK，可以直接集成到系统中，简化开发工作。</w:t>
      </w:r>
    </w:p>
    <w:p w14:paraId="5C4E97A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安全性考虑</w:t>
      </w:r>
      <w:r>
        <w:rPr>
          <w:rFonts w:ascii="宋体" w:hAnsi="宋体" w:eastAsia="宋体" w:cs="宋体"/>
          <w:szCs w:val="21"/>
        </w:rPr>
        <w:t>：在调用第三方API时，注意鉴权、数据加密等安全措施，保护敏感信息。</w:t>
      </w:r>
    </w:p>
    <w:p w14:paraId="4E1D7F72">
      <w:pPr>
        <w:pStyle w:val="7"/>
        <w:widowControl/>
        <w:spacing w:before="280" w:after="290"/>
        <w:ind w:left="0" w:firstLine="0"/>
        <w:rPr>
          <w:rFonts w:hint="eastAsia" w:ascii="宋体" w:hAnsi="宋体"/>
          <w:sz w:val="21"/>
          <w:szCs w:val="21"/>
        </w:rPr>
      </w:pPr>
      <w:r>
        <w:rPr>
          <w:rFonts w:ascii="宋体" w:hAnsi="宋体"/>
          <w:sz w:val="21"/>
          <w:szCs w:val="21"/>
        </w:rPr>
        <w:t>私有化部署和安全防护</w:t>
      </w:r>
    </w:p>
    <w:p w14:paraId="5CAF09B6">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为了满足数据安全和合规性的要求，系统</w:t>
      </w:r>
      <w:r>
        <w:rPr>
          <w:rFonts w:hint="eastAsia" w:ascii="宋体" w:hAnsi="宋体" w:eastAsia="宋体" w:cs="宋体"/>
          <w:szCs w:val="21"/>
        </w:rPr>
        <w:t>将根据实际情况和招标人的要求</w:t>
      </w:r>
      <w:r>
        <w:rPr>
          <w:rFonts w:ascii="宋体" w:hAnsi="宋体" w:eastAsia="宋体" w:cs="宋体"/>
          <w:szCs w:val="21"/>
        </w:rPr>
        <w:t>进行私有化部署，并加强安全防护措施。</w:t>
      </w:r>
    </w:p>
    <w:p w14:paraId="42146807">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私有化部署</w:t>
      </w:r>
    </w:p>
    <w:p w14:paraId="23E7B760">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对于系统依赖的第三方服务或PaaS服务，以及招标人要求私有化部署的服务，我们将在部署过程中按照要求，在本地或指定环境中进行私有化部署。私有化部署的优势在于：</w:t>
      </w:r>
    </w:p>
    <w:p w14:paraId="0B72A7C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数据安全</w:t>
      </w:r>
      <w:r>
        <w:rPr>
          <w:rFonts w:ascii="宋体" w:hAnsi="宋体" w:eastAsia="宋体" w:cs="宋体"/>
          <w:szCs w:val="21"/>
        </w:rPr>
        <w:t>：数据存储和处理都在受控环境下，防止数据泄露。</w:t>
      </w:r>
    </w:p>
    <w:p w14:paraId="489A74B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性能优化</w:t>
      </w:r>
      <w:r>
        <w:rPr>
          <w:rFonts w:ascii="宋体" w:hAnsi="宋体" w:eastAsia="宋体" w:cs="宋体"/>
          <w:szCs w:val="21"/>
        </w:rPr>
        <w:t>：本地部署可以降低网络延迟，提高服务响应速度。</w:t>
      </w:r>
    </w:p>
    <w:p w14:paraId="687BCBD8">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合规性</w:t>
      </w:r>
      <w:r>
        <w:rPr>
          <w:rFonts w:ascii="宋体" w:hAnsi="宋体" w:eastAsia="宋体" w:cs="宋体"/>
          <w:szCs w:val="21"/>
        </w:rPr>
        <w:t>：满足行业法规和政策的要求，避免法律风险。</w:t>
      </w:r>
    </w:p>
    <w:p w14:paraId="70480EF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安全防护措施</w:t>
      </w:r>
    </w:p>
    <w:p w14:paraId="1773BA82">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网络隔离</w:t>
      </w:r>
      <w:r>
        <w:rPr>
          <w:rFonts w:ascii="宋体" w:hAnsi="宋体" w:eastAsia="宋体" w:cs="宋体"/>
          <w:szCs w:val="21"/>
        </w:rPr>
        <w:t>：通过VLAN、子网划分等手段，隔离不同的网络区域，防止未经授权的访问。</w:t>
      </w:r>
    </w:p>
    <w:p w14:paraId="4DC6C280">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防火墙和安全组</w:t>
      </w:r>
      <w:r>
        <w:rPr>
          <w:rFonts w:ascii="宋体" w:hAnsi="宋体" w:eastAsia="宋体" w:cs="宋体"/>
          <w:szCs w:val="21"/>
        </w:rPr>
        <w:t>：配置防火墙策略和安全组，限制端口和IP的访问权限。</w:t>
      </w:r>
    </w:p>
    <w:p w14:paraId="5D2087F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身份认证和授权</w:t>
      </w:r>
      <w:r>
        <w:rPr>
          <w:rFonts w:ascii="宋体" w:hAnsi="宋体" w:eastAsia="宋体" w:cs="宋体"/>
          <w:szCs w:val="21"/>
        </w:rPr>
        <w:t>：采用强制的身份认证机制，使用OAuth2.0、JWT等技术，确保只有合法用户才能访问系统。</w:t>
      </w:r>
    </w:p>
    <w:p w14:paraId="440CAB9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数据加密</w:t>
      </w:r>
      <w:r>
        <w:rPr>
          <w:rFonts w:ascii="宋体" w:hAnsi="宋体" w:eastAsia="宋体" w:cs="宋体"/>
          <w:szCs w:val="21"/>
        </w:rPr>
        <w:t>：对敏感数据进行传输加密和存储加密，防止数据被窃取或篡改。</w:t>
      </w:r>
    </w:p>
    <w:p w14:paraId="351F23FC">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入侵检测和防御</w:t>
      </w:r>
      <w:r>
        <w:rPr>
          <w:rFonts w:ascii="宋体" w:hAnsi="宋体" w:eastAsia="宋体" w:cs="宋体"/>
          <w:szCs w:val="21"/>
        </w:rPr>
        <w:t>：部署IDS/IPS系统，实时监控网络流量，及时发现和阻止异常行为。</w:t>
      </w:r>
    </w:p>
    <w:p w14:paraId="06B43E8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安全审计</w:t>
      </w:r>
      <w:r>
        <w:rPr>
          <w:rFonts w:ascii="宋体" w:hAnsi="宋体" w:eastAsia="宋体" w:cs="宋体"/>
          <w:szCs w:val="21"/>
        </w:rPr>
        <w:t>：记录系统的操作日志，定期进行安全审计，发现和整改安全隐患。</w:t>
      </w:r>
    </w:p>
    <w:p w14:paraId="4BCED16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外部服务隔离</w:t>
      </w:r>
    </w:p>
    <w:p w14:paraId="58441D8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对于涉及互联网或政府专网接入的外部数据推送、媒体内容推送等情况，我们将部署独立的Web服务，通过安全组件实现与平台核心服务的隔离。</w:t>
      </w:r>
    </w:p>
    <w:p w14:paraId="482DBE53">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DMZ区域部署</w:t>
      </w:r>
      <w:r>
        <w:rPr>
          <w:rFonts w:ascii="宋体" w:hAnsi="宋体" w:eastAsia="宋体" w:cs="宋体"/>
          <w:szCs w:val="21"/>
        </w:rPr>
        <w:t>：将外部服务部署在DMZ区域，与内部网络隔离，防止外部攻击直接影响内部系统。</w:t>
      </w:r>
    </w:p>
    <w:p w14:paraId="1DEB60C7">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反向代理和负载均衡</w:t>
      </w:r>
      <w:r>
        <w:rPr>
          <w:rFonts w:ascii="宋体" w:hAnsi="宋体" w:eastAsia="宋体" w:cs="宋体"/>
          <w:szCs w:val="21"/>
        </w:rPr>
        <w:t>：使用Nginx等反向代理和负载均衡器，控制外部请求的入口，隐藏内部网络结构。</w:t>
      </w:r>
    </w:p>
    <w:p w14:paraId="69EC77F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应用防火墙（WAF）</w:t>
      </w:r>
      <w:r>
        <w:rPr>
          <w:rFonts w:ascii="宋体" w:hAnsi="宋体" w:eastAsia="宋体" w:cs="宋体"/>
          <w:szCs w:val="21"/>
        </w:rPr>
        <w:t>：部署WAF，对HTTP/HTTPS流量进行深度检测，防御SQL注入、XSS等常见Web攻击。</w:t>
      </w:r>
    </w:p>
    <w:p w14:paraId="2FC388D0">
      <w:pPr>
        <w:snapToGrid w:val="0"/>
        <w:spacing w:line="360" w:lineRule="auto"/>
        <w:ind w:left="420" w:firstLine="422" w:firstLineChars="200"/>
        <w:rPr>
          <w:rFonts w:hint="eastAsia" w:ascii="宋体" w:hAnsi="宋体" w:eastAsia="宋体" w:cs="宋体"/>
          <w:szCs w:val="21"/>
        </w:rPr>
      </w:pPr>
      <w:r>
        <w:rPr>
          <w:rFonts w:ascii="宋体" w:hAnsi="宋体" w:eastAsia="宋体" w:cs="宋体"/>
          <w:b/>
          <w:bCs/>
          <w:szCs w:val="21"/>
        </w:rPr>
        <w:t>访问控制列表（ACL）</w:t>
      </w:r>
      <w:r>
        <w:rPr>
          <w:rFonts w:ascii="宋体" w:hAnsi="宋体" w:eastAsia="宋体" w:cs="宋体"/>
          <w:szCs w:val="21"/>
        </w:rPr>
        <w:t>：配置ACL，限制外部服务只能访问特定的资源和端口。</w:t>
      </w:r>
    </w:p>
    <w:p w14:paraId="7B6468FA">
      <w:pPr>
        <w:pStyle w:val="7"/>
        <w:widowControl/>
        <w:spacing w:before="280" w:after="290"/>
        <w:ind w:left="0" w:firstLine="0"/>
        <w:rPr>
          <w:rFonts w:hint="eastAsia" w:ascii="宋体" w:hAnsi="宋体"/>
          <w:sz w:val="21"/>
          <w:szCs w:val="21"/>
        </w:rPr>
      </w:pPr>
      <w:r>
        <w:rPr>
          <w:rFonts w:ascii="宋体" w:hAnsi="宋体"/>
          <w:sz w:val="21"/>
          <w:szCs w:val="21"/>
        </w:rPr>
        <w:t>生产环境和开发/测试环境的部署</w:t>
      </w:r>
    </w:p>
    <w:p w14:paraId="561C41B8">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为了确保系统的稳定性和可维护性，我们将分别部署生产环境和开发/测试环境，各自独立运行。</w:t>
      </w:r>
    </w:p>
    <w:p w14:paraId="1512164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环境隔离</w:t>
      </w:r>
    </w:p>
    <w:p w14:paraId="71ED3A8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物理隔离或逻辑隔离</w:t>
      </w:r>
      <w:r>
        <w:rPr>
          <w:rFonts w:ascii="宋体" w:hAnsi="宋体" w:eastAsia="宋体" w:cs="宋体"/>
          <w:szCs w:val="21"/>
        </w:rPr>
        <w:t>：通过不同的物理服务器或虚拟网络，实现环境的完全隔离，防止测试操作影响生产系统。</w:t>
      </w:r>
    </w:p>
    <w:p w14:paraId="34EAD7E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独立的数据库和存储</w:t>
      </w:r>
      <w:r>
        <w:rPr>
          <w:rFonts w:ascii="宋体" w:hAnsi="宋体" w:eastAsia="宋体" w:cs="宋体"/>
          <w:szCs w:val="21"/>
        </w:rPr>
        <w:t>：各环境使用独立的数据库和存储资源，防止数据混淆和泄露。</w:t>
      </w:r>
    </w:p>
    <w:p w14:paraId="3069C629">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独立的配置和参数</w:t>
      </w:r>
      <w:r>
        <w:rPr>
          <w:rFonts w:ascii="宋体" w:hAnsi="宋体" w:eastAsia="宋体" w:cs="宋体"/>
          <w:szCs w:val="21"/>
        </w:rPr>
        <w:t>：各环境的配置项、参数设置独立管理，避免配置冲突。</w:t>
      </w:r>
    </w:p>
    <w:p w14:paraId="64E3D56E">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数据安全</w:t>
      </w:r>
    </w:p>
    <w:p w14:paraId="137FC231">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数据脱敏</w:t>
      </w:r>
      <w:r>
        <w:rPr>
          <w:rFonts w:ascii="宋体" w:hAnsi="宋体" w:eastAsia="宋体" w:cs="宋体"/>
          <w:szCs w:val="21"/>
        </w:rPr>
        <w:t>：在开发/测试环境中使用脱敏的数据，保护真实的生产数据不被泄露。</w:t>
      </w:r>
    </w:p>
    <w:p w14:paraId="2749947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权限控制</w:t>
      </w:r>
      <w:r>
        <w:rPr>
          <w:rFonts w:ascii="宋体" w:hAnsi="宋体" w:eastAsia="宋体" w:cs="宋体"/>
          <w:szCs w:val="21"/>
        </w:rPr>
        <w:t>：严格控制各环境的访问权限，确保只有授权人员才能访问相应的环境。</w:t>
      </w:r>
    </w:p>
    <w:p w14:paraId="4CD24C36">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部署流程</w:t>
      </w:r>
    </w:p>
    <w:p w14:paraId="3AC2946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自动化部署</w:t>
      </w:r>
      <w:r>
        <w:rPr>
          <w:rFonts w:ascii="宋体" w:hAnsi="宋体" w:eastAsia="宋体" w:cs="宋体"/>
          <w:szCs w:val="21"/>
        </w:rPr>
        <w:t>：使用CI/CD流水线，实现各环境的自动化部署，减少人工操作带来的错误。</w:t>
      </w:r>
    </w:p>
    <w:p w14:paraId="55C4E72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版本控制</w:t>
      </w:r>
      <w:r>
        <w:rPr>
          <w:rFonts w:ascii="宋体" w:hAnsi="宋体" w:eastAsia="宋体" w:cs="宋体"/>
          <w:szCs w:val="21"/>
        </w:rPr>
        <w:t>：对应用版本进行严格的管理和跟踪，确保各环境的代码版本可控。</w:t>
      </w:r>
    </w:p>
    <w:p w14:paraId="7DE47691">
      <w:pPr>
        <w:pStyle w:val="7"/>
        <w:widowControl/>
        <w:spacing w:before="280" w:after="290"/>
        <w:ind w:left="0" w:firstLine="0"/>
        <w:rPr>
          <w:rFonts w:hint="eastAsia" w:ascii="宋体" w:hAnsi="宋体"/>
          <w:sz w:val="21"/>
          <w:szCs w:val="21"/>
        </w:rPr>
      </w:pPr>
      <w:r>
        <w:rPr>
          <w:rFonts w:ascii="宋体" w:hAnsi="宋体"/>
          <w:sz w:val="21"/>
          <w:szCs w:val="21"/>
        </w:rPr>
        <w:t>系统运维和监控</w:t>
      </w:r>
    </w:p>
    <w:p w14:paraId="40A589BE">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为了保障系统的稳定运行，我们将建立完善的运维和监控机制。</w:t>
      </w:r>
    </w:p>
    <w:p w14:paraId="29A21B9C">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1</w:t>
      </w:r>
      <w:r>
        <w:rPr>
          <w:rFonts w:hint="eastAsia" w:ascii="宋体" w:hAnsi="宋体" w:eastAsia="宋体" w:cs="宋体"/>
          <w:b/>
          <w:bCs/>
          <w:szCs w:val="21"/>
        </w:rPr>
        <w:t>）</w:t>
      </w:r>
      <w:r>
        <w:rPr>
          <w:rFonts w:ascii="宋体" w:hAnsi="宋体" w:eastAsia="宋体" w:cs="宋体"/>
          <w:b/>
          <w:bCs/>
          <w:szCs w:val="21"/>
        </w:rPr>
        <w:t xml:space="preserve"> 统一的运维平台</w:t>
      </w:r>
    </w:p>
    <w:p w14:paraId="4B0A047E">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容器管理平台</w:t>
      </w:r>
      <w:r>
        <w:rPr>
          <w:rFonts w:ascii="宋体" w:hAnsi="宋体" w:eastAsia="宋体" w:cs="宋体"/>
          <w:szCs w:val="21"/>
        </w:rPr>
        <w:t>：提供可视化的容器管理界面，方便对容器的启动、停止、扩容、缩容等操作。</w:t>
      </w:r>
    </w:p>
    <w:p w14:paraId="5A5B20E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日志管理</w:t>
      </w:r>
      <w:r>
        <w:rPr>
          <w:rFonts w:ascii="宋体" w:hAnsi="宋体" w:eastAsia="宋体" w:cs="宋体"/>
          <w:szCs w:val="21"/>
        </w:rPr>
        <w:t>：集中收集和管理系统日志，支持日志的查询、分析和告警。</w:t>
      </w:r>
    </w:p>
    <w:p w14:paraId="750B050D">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配置管理</w:t>
      </w:r>
      <w:r>
        <w:rPr>
          <w:rFonts w:ascii="宋体" w:hAnsi="宋体" w:eastAsia="宋体" w:cs="宋体"/>
          <w:szCs w:val="21"/>
        </w:rPr>
        <w:t>：通过配置中心，统一管理系统的配置项，实现配置的动态更新。</w:t>
      </w:r>
    </w:p>
    <w:p w14:paraId="42CDC593">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2</w:t>
      </w:r>
      <w:r>
        <w:rPr>
          <w:rFonts w:hint="eastAsia" w:ascii="宋体" w:hAnsi="宋体" w:eastAsia="宋体" w:cs="宋体"/>
          <w:b/>
          <w:bCs/>
          <w:szCs w:val="21"/>
        </w:rPr>
        <w:t>）</w:t>
      </w:r>
      <w:r>
        <w:rPr>
          <w:rFonts w:ascii="宋体" w:hAnsi="宋体" w:eastAsia="宋体" w:cs="宋体"/>
          <w:b/>
          <w:bCs/>
          <w:szCs w:val="21"/>
        </w:rPr>
        <w:t xml:space="preserve"> 系统监控</w:t>
      </w:r>
    </w:p>
    <w:p w14:paraId="6B2169FF">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性能监控</w:t>
      </w:r>
      <w:r>
        <w:rPr>
          <w:rFonts w:ascii="宋体" w:hAnsi="宋体" w:eastAsia="宋体" w:cs="宋体"/>
          <w:szCs w:val="21"/>
        </w:rPr>
        <w:t>：实时监控系统的CPU、内存、磁盘、网络等资源使用情况。</w:t>
      </w:r>
    </w:p>
    <w:p w14:paraId="7BEC546B">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应用监控</w:t>
      </w:r>
      <w:r>
        <w:rPr>
          <w:rFonts w:ascii="宋体" w:hAnsi="宋体" w:eastAsia="宋体" w:cs="宋体"/>
          <w:szCs w:val="21"/>
        </w:rPr>
        <w:t>：监控应用的请求量、响应时间、错误率等指标，及时发现性能瓶颈。</w:t>
      </w:r>
    </w:p>
    <w:p w14:paraId="346F8595">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业务监控</w:t>
      </w:r>
      <w:r>
        <w:rPr>
          <w:rFonts w:ascii="宋体" w:hAnsi="宋体" w:eastAsia="宋体" w:cs="宋体"/>
          <w:szCs w:val="21"/>
        </w:rPr>
        <w:t>：根据业务特点，监控关键业务指标，如订单数量、交易金额等。</w:t>
      </w:r>
    </w:p>
    <w:p w14:paraId="35647095">
      <w:pPr>
        <w:snapToGrid w:val="0"/>
        <w:spacing w:line="360" w:lineRule="auto"/>
        <w:ind w:left="420" w:firstLine="420"/>
        <w:rPr>
          <w:rFonts w:hint="eastAsia" w:ascii="宋体" w:hAnsi="宋体" w:eastAsia="宋体" w:cs="宋体"/>
          <w:b/>
          <w:bCs/>
          <w:szCs w:val="21"/>
        </w:rPr>
      </w:pPr>
      <w:r>
        <w:rPr>
          <w:rFonts w:hint="eastAsia" w:ascii="宋体" w:hAnsi="宋体" w:eastAsia="宋体" w:cs="宋体"/>
          <w:b/>
          <w:bCs/>
          <w:szCs w:val="21"/>
        </w:rPr>
        <w:t>（</w:t>
      </w:r>
      <w:r>
        <w:rPr>
          <w:rFonts w:ascii="宋体" w:hAnsi="宋体" w:eastAsia="宋体" w:cs="宋体"/>
          <w:b/>
          <w:bCs/>
          <w:szCs w:val="21"/>
        </w:rPr>
        <w:t>3</w:t>
      </w:r>
      <w:r>
        <w:rPr>
          <w:rFonts w:hint="eastAsia" w:ascii="宋体" w:hAnsi="宋体" w:eastAsia="宋体" w:cs="宋体"/>
          <w:b/>
          <w:bCs/>
          <w:szCs w:val="21"/>
        </w:rPr>
        <w:t>）</w:t>
      </w:r>
      <w:r>
        <w:rPr>
          <w:rFonts w:ascii="宋体" w:hAnsi="宋体" w:eastAsia="宋体" w:cs="宋体"/>
          <w:b/>
          <w:bCs/>
          <w:szCs w:val="21"/>
        </w:rPr>
        <w:t xml:space="preserve"> 告警和应急响应</w:t>
      </w:r>
    </w:p>
    <w:p w14:paraId="693FDA98">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多渠道告警</w:t>
      </w:r>
      <w:r>
        <w:rPr>
          <w:rFonts w:ascii="宋体" w:hAnsi="宋体" w:eastAsia="宋体" w:cs="宋体"/>
          <w:szCs w:val="21"/>
        </w:rPr>
        <w:t>：当系统出现异常时，通过短信、邮件、微信等渠道及时通知运维人员。</w:t>
      </w:r>
    </w:p>
    <w:p w14:paraId="51B1EA96">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应急预案</w:t>
      </w:r>
      <w:r>
        <w:rPr>
          <w:rFonts w:ascii="宋体" w:hAnsi="宋体" w:eastAsia="宋体" w:cs="宋体"/>
          <w:szCs w:val="21"/>
        </w:rPr>
        <w:t>：制定详细的应急预案，包含常见故障的处理流程和联系方式，确保问题能够迅速解决。</w:t>
      </w:r>
    </w:p>
    <w:p w14:paraId="31814F84">
      <w:pPr>
        <w:snapToGrid w:val="0"/>
        <w:spacing w:line="360" w:lineRule="auto"/>
        <w:ind w:left="420" w:firstLine="420"/>
        <w:rPr>
          <w:rFonts w:hint="eastAsia" w:ascii="宋体" w:hAnsi="宋体" w:eastAsia="宋体" w:cs="宋体"/>
          <w:szCs w:val="21"/>
        </w:rPr>
      </w:pPr>
      <w:r>
        <w:rPr>
          <w:rFonts w:ascii="宋体" w:hAnsi="宋体" w:eastAsia="宋体" w:cs="宋体"/>
          <w:b/>
          <w:bCs/>
          <w:szCs w:val="21"/>
        </w:rPr>
        <w:t>故障演练</w:t>
      </w:r>
      <w:r>
        <w:rPr>
          <w:rFonts w:ascii="宋体" w:hAnsi="宋体" w:eastAsia="宋体" w:cs="宋体"/>
          <w:szCs w:val="21"/>
        </w:rPr>
        <w:t>：定期进行故障模拟和演练，提高运维团队的应急响应能力。</w:t>
      </w:r>
    </w:p>
    <w:p w14:paraId="48D43852">
      <w:pPr>
        <w:snapToGrid w:val="0"/>
        <w:spacing w:line="360" w:lineRule="auto"/>
        <w:ind w:left="420" w:firstLine="420"/>
        <w:rPr>
          <w:rFonts w:hint="eastAsia" w:ascii="宋体" w:hAnsi="宋体" w:eastAsia="宋体" w:cs="宋体"/>
          <w:szCs w:val="21"/>
        </w:rPr>
      </w:pPr>
    </w:p>
    <w:p w14:paraId="10817291">
      <w:pPr>
        <w:snapToGrid w:val="0"/>
        <w:spacing w:line="360" w:lineRule="auto"/>
        <w:ind w:left="420" w:firstLine="420"/>
        <w:rPr>
          <w:rFonts w:hint="eastAsia" w:ascii="宋体" w:hAnsi="宋体" w:eastAsia="宋体" w:cs="宋体"/>
          <w:szCs w:val="21"/>
        </w:rPr>
      </w:pPr>
      <w:r>
        <w:rPr>
          <w:rFonts w:ascii="宋体" w:hAnsi="宋体" w:eastAsia="宋体" w:cs="宋体"/>
          <w:szCs w:val="21"/>
        </w:rPr>
        <w:t>本系统的部署架构充分利用了云原生技术的优势，通过容器化、微服务、自动伸缩、灰度发布等技术手段，构建了一个高效、灵活、可扩展的应用平台。系统设计注重安全性、稳定性和可维护性，满足了对高性能、高可靠性的要求。</w:t>
      </w:r>
    </w:p>
    <w:p w14:paraId="5114D0CF">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通过对容器编排技术的合理选择和应用，系统实现了跨云平台的部署和迁移能力，支持一站式的部署和运维。自动伸缩机制确保了系统能够根据业务负载的变化，灵活调整资源配置，实现了资源的优化利用。</w:t>
      </w:r>
    </w:p>
    <w:p w14:paraId="269B6E84">
      <w:pPr>
        <w:snapToGrid w:val="0"/>
        <w:spacing w:line="360" w:lineRule="auto"/>
        <w:ind w:left="420" w:firstLine="420" w:firstLineChars="200"/>
        <w:rPr>
          <w:rFonts w:hint="eastAsia" w:ascii="宋体" w:hAnsi="宋体" w:eastAsia="宋体" w:cs="宋体"/>
          <w:szCs w:val="21"/>
        </w:rPr>
      </w:pPr>
      <w:r>
        <w:rPr>
          <w:rFonts w:ascii="宋体" w:hAnsi="宋体" w:eastAsia="宋体" w:cs="宋体"/>
          <w:szCs w:val="21"/>
        </w:rPr>
        <w:t>在安全防护方面，系统采用了多层次的安全措施，保障了数据和服务的安全性。对于第三方服务的集成，我们严格遵循安全规范，确保系统的整体安全。</w:t>
      </w:r>
    </w:p>
    <w:p w14:paraId="6D62387D">
      <w:pPr>
        <w:pStyle w:val="2"/>
        <w:spacing w:line="360" w:lineRule="auto"/>
        <w:rPr>
          <w:rFonts w:hint="eastAsia" w:ascii="宋体" w:hAnsi="宋体" w:cs="宋体"/>
          <w:szCs w:val="21"/>
        </w:rPr>
      </w:pPr>
      <w:r>
        <w:rPr>
          <w:rFonts w:ascii="宋体" w:hAnsi="宋体" w:cs="宋体"/>
          <w:szCs w:val="21"/>
        </w:rPr>
        <w:t>本方案充分满足了项目的各项要求，为后续的系统实施和运营提供了坚实的基础。</w:t>
      </w:r>
    </w:p>
    <w:p w14:paraId="56C1185A">
      <w:pPr>
        <w:pStyle w:val="6"/>
        <w:widowControl/>
        <w:spacing w:before="260" w:after="260" w:line="416" w:lineRule="auto"/>
        <w:ind w:left="0" w:firstLine="0"/>
      </w:pPr>
      <w:bookmarkStart w:id="155" w:name="_Toc180265614"/>
      <w:r>
        <w:rPr>
          <w:rFonts w:hint="eastAsia"/>
        </w:rPr>
        <w:t>数据架构</w:t>
      </w:r>
      <w:r>
        <w:drawing>
          <wp:inline distT="0" distB="0" distL="114300" distR="114300">
            <wp:extent cx="5708650" cy="2391410"/>
            <wp:effectExtent l="0" t="0" r="6350" b="8890"/>
            <wp:docPr id="2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
                    <pic:cNvPicPr>
                      <a:picLocks noChangeAspect="1"/>
                    </pic:cNvPicPr>
                  </pic:nvPicPr>
                  <pic:blipFill>
                    <a:blip r:embed="rId129"/>
                    <a:stretch>
                      <a:fillRect/>
                    </a:stretch>
                  </pic:blipFill>
                  <pic:spPr>
                    <a:xfrm>
                      <a:off x="0" y="0"/>
                      <a:ext cx="5720616" cy="2396404"/>
                    </a:xfrm>
                    <a:prstGeom prst="rect">
                      <a:avLst/>
                    </a:prstGeom>
                    <a:noFill/>
                    <a:ln>
                      <a:noFill/>
                    </a:ln>
                  </pic:spPr>
                </pic:pic>
              </a:graphicData>
            </a:graphic>
          </wp:inline>
        </w:drawing>
      </w:r>
      <w:bookmarkEnd w:id="155"/>
    </w:p>
    <w:p w14:paraId="48D024DD">
      <w:pPr>
        <w:spacing w:line="360" w:lineRule="auto"/>
        <w:ind w:left="420"/>
        <w:rPr>
          <w:rFonts w:hint="eastAsia" w:ascii="宋体" w:hAnsi="宋体" w:eastAsia="宋体" w:cs="宋体"/>
          <w:color w:val="000000" w:themeColor="text1"/>
          <w:sz w:val="24"/>
          <w14:textFill>
            <w14:solidFill>
              <w14:schemeClr w14:val="tx1"/>
            </w14:solidFill>
          </w14:textFill>
        </w:rPr>
      </w:pPr>
    </w:p>
    <w:p w14:paraId="742308E6">
      <w:pPr>
        <w:spacing w:line="360" w:lineRule="auto"/>
        <w:ind w:left="420"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我公司产品参照电子招标投标技术规范设计了招投标平台数据架构，建设招投标数据中台，整个架构体系从上往下分为数据应用层、数据中台、大数据基础设施、数据源。具体架构内容描述如下：</w:t>
      </w:r>
    </w:p>
    <w:p w14:paraId="7F195EDB">
      <w:pPr>
        <w:spacing w:line="360" w:lineRule="auto"/>
        <w:ind w:left="420"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据应用层主要承担着对数据进行深入应用和处理的职责，它包括通过图形化的方式，将复杂的数据集以图表、图形等形式展现出来，使得数据信息更加直观和易于理解。通过分析和处理数据，为企业的数字化转型提供决策支持，帮助企业优化运营流程，提高运营效率。数据报告也是数据应用层的另一个重要功能，其他应用还包括自助服务、个性化推荐以及第三方数据交互等。</w:t>
      </w:r>
    </w:p>
    <w:p w14:paraId="0B58E8C7">
      <w:pPr>
        <w:spacing w:line="360" w:lineRule="auto"/>
        <w:ind w:left="420"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数据中台集成了数据治理、数据集成、数据分析及AI工具等核心功能，为数据处理与分析提供了全面而强大的支撑。</w:t>
      </w:r>
    </w:p>
    <w:p w14:paraId="6CE6DF73">
      <w:pPr>
        <w:spacing w:line="360" w:lineRule="auto"/>
        <w:ind w:left="420"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大数据基础设施则构成了计算和存储平台的基石，包括分布式数据库、分布式存储系统、数据湖、数据缓存、消息中间件以及流式处理等处理技术，为大数据的应用提供了坚实的基础设施保障。</w:t>
      </w:r>
    </w:p>
    <w:p w14:paraId="44DB2BE5">
      <w:pPr>
        <w:spacing w:line="360" w:lineRule="auto"/>
        <w:ind w:left="420" w:firstLine="42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数据源方面，涵盖了交易系统生成的各类结构化和非结构化交易数据、音视频数据、日志记录、通过爬虫技术获取的外部数据以及其他多种形式的数据源，确保了数据的全面性和多样性。</w:t>
      </w:r>
    </w:p>
    <w:p w14:paraId="272FD81E">
      <w:pPr>
        <w:pStyle w:val="5"/>
        <w:widowControl/>
        <w:spacing w:before="260" w:after="260" w:line="416" w:lineRule="auto"/>
        <w:ind w:left="0" w:firstLine="0"/>
      </w:pPr>
      <w:r>
        <w:rPr>
          <w:rFonts w:hint="eastAsia"/>
        </w:rPr>
        <w:t xml:space="preserve"> </w:t>
      </w:r>
      <w:bookmarkStart w:id="156" w:name="_Toc180265615"/>
      <w:r>
        <w:rPr>
          <w:rFonts w:hint="eastAsia"/>
        </w:rPr>
        <w:t>系统运行要求的软硬件资源清单</w:t>
      </w:r>
      <w:bookmarkEnd w:id="156"/>
    </w:p>
    <w:p w14:paraId="7182CE43">
      <w:pPr>
        <w:ind w:left="420"/>
      </w:pPr>
      <w:r>
        <w:rPr>
          <w:rFonts w:hint="eastAsia"/>
        </w:rPr>
        <w:t>服务器硬件资源需求如下：</w:t>
      </w:r>
    </w:p>
    <w:tbl>
      <w:tblPr>
        <w:tblStyle w:val="40"/>
        <w:tblW w:w="4998" w:type="pct"/>
        <w:tblInd w:w="0" w:type="dxa"/>
        <w:tblLayout w:type="autofit"/>
        <w:tblCellMar>
          <w:top w:w="0" w:type="dxa"/>
          <w:left w:w="108" w:type="dxa"/>
          <w:bottom w:w="0" w:type="dxa"/>
          <w:right w:w="108" w:type="dxa"/>
        </w:tblCellMar>
      </w:tblPr>
      <w:tblGrid>
        <w:gridCol w:w="1476"/>
        <w:gridCol w:w="1386"/>
        <w:gridCol w:w="739"/>
        <w:gridCol w:w="2048"/>
        <w:gridCol w:w="2870"/>
      </w:tblGrid>
      <w:tr w14:paraId="42580CFA">
        <w:tblPrEx>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D89A">
            <w:pPr>
              <w:ind w:left="420"/>
              <w:textAlignment w:val="center"/>
              <w:rPr>
                <w:b/>
                <w:bCs/>
                <w:color w:val="000000"/>
                <w:szCs w:val="21"/>
              </w:rPr>
            </w:pPr>
            <w:r>
              <w:rPr>
                <w:rFonts w:hint="eastAsia" w:cs="宋体"/>
                <w:b/>
                <w:bCs/>
                <w:color w:val="000000"/>
                <w:szCs w:val="21"/>
                <w:lang w:bidi="ar"/>
              </w:rPr>
              <w:t>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553F4">
            <w:pPr>
              <w:ind w:left="420"/>
              <w:textAlignment w:val="center"/>
              <w:rPr>
                <w:b/>
                <w:bCs/>
                <w:color w:val="000000"/>
                <w:szCs w:val="21"/>
              </w:rPr>
            </w:pPr>
            <w:r>
              <w:rPr>
                <w:rFonts w:hint="eastAsia" w:cs="宋体"/>
                <w:b/>
                <w:bCs/>
                <w:color w:val="000000"/>
                <w:szCs w:val="21"/>
                <w:lang w:bidi="ar"/>
              </w:rPr>
              <w:t>规格型号</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8079">
            <w:pPr>
              <w:textAlignment w:val="center"/>
              <w:rPr>
                <w:b/>
                <w:bCs/>
                <w:color w:val="000000"/>
                <w:szCs w:val="21"/>
              </w:rPr>
            </w:pPr>
            <w:r>
              <w:rPr>
                <w:rFonts w:hint="eastAsia" w:cs="宋体"/>
                <w:b/>
                <w:bCs/>
                <w:color w:val="000000"/>
                <w:szCs w:val="21"/>
                <w:lang w:bidi="ar"/>
              </w:rPr>
              <w:t>数量</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6AB7">
            <w:pPr>
              <w:ind w:left="420"/>
              <w:textAlignment w:val="center"/>
              <w:rPr>
                <w:b/>
                <w:bCs/>
                <w:color w:val="000000"/>
                <w:szCs w:val="21"/>
              </w:rPr>
            </w:pPr>
            <w:r>
              <w:rPr>
                <w:rFonts w:hint="eastAsia" w:cs="宋体"/>
                <w:b/>
                <w:bCs/>
                <w:color w:val="000000"/>
                <w:szCs w:val="21"/>
                <w:lang w:bidi="ar"/>
              </w:rPr>
              <w:t>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5B045">
            <w:pPr>
              <w:ind w:left="420"/>
              <w:textAlignment w:val="center"/>
              <w:rPr>
                <w:b/>
                <w:bCs/>
                <w:color w:val="000000"/>
                <w:szCs w:val="21"/>
              </w:rPr>
            </w:pPr>
            <w:r>
              <w:rPr>
                <w:rFonts w:hint="eastAsia" w:cs="宋体"/>
                <w:b/>
                <w:bCs/>
                <w:color w:val="000000"/>
                <w:szCs w:val="21"/>
                <w:lang w:bidi="ar"/>
              </w:rPr>
              <w:t>说明</w:t>
            </w:r>
          </w:p>
        </w:tc>
      </w:tr>
      <w:tr w14:paraId="32AFE999">
        <w:tblPrEx>
          <w:tblCellMar>
            <w:top w:w="0" w:type="dxa"/>
            <w:left w:w="108" w:type="dxa"/>
            <w:bottom w:w="0" w:type="dxa"/>
            <w:right w:w="108" w:type="dxa"/>
          </w:tblCellMar>
        </w:tblPrEx>
        <w:trPr>
          <w:trHeight w:val="54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985B">
            <w:pPr>
              <w:textAlignment w:val="center"/>
              <w:rPr>
                <w:color w:val="000000"/>
                <w:szCs w:val="21"/>
              </w:rPr>
            </w:pPr>
            <w:r>
              <w:rPr>
                <w:rFonts w:hint="eastAsia" w:cs="宋体"/>
                <w:color w:val="000000"/>
                <w:szCs w:val="21"/>
                <w:lang w:bidi="ar"/>
              </w:rPr>
              <w:t>数据库服务器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A41C">
            <w:pPr>
              <w:textAlignment w:val="center"/>
              <w:rPr>
                <w:color w:val="000000"/>
                <w:szCs w:val="21"/>
              </w:rPr>
            </w:pPr>
            <w:r>
              <w:rPr>
                <w:rFonts w:hint="eastAsia" w:cs="宋体"/>
                <w:color w:val="000000"/>
                <w:szCs w:val="21"/>
                <w:lang w:bidi="ar"/>
              </w:rPr>
              <w:t>16核32G内存，本地系统盘+数据盘500G</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CA33">
            <w:pPr>
              <w:jc w:val="center"/>
              <w:textAlignment w:val="center"/>
              <w:rPr>
                <w:color w:val="000000"/>
                <w:szCs w:val="21"/>
              </w:rPr>
            </w:pPr>
            <w:r>
              <w:rPr>
                <w:rFonts w:hint="eastAsia" w:cs="宋体"/>
                <w:color w:val="000000"/>
                <w:szCs w:val="21"/>
              </w:rPr>
              <w:t>3</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BC1A">
            <w:pPr>
              <w:textAlignment w:val="center"/>
              <w:rPr>
                <w:color w:val="000000"/>
                <w:szCs w:val="21"/>
              </w:rPr>
            </w:pPr>
            <w:r>
              <w:rPr>
                <w:rFonts w:hint="eastAsia" w:cs="宋体"/>
                <w:color w:val="000000"/>
                <w:szCs w:val="21"/>
                <w:lang w:bidi="ar"/>
              </w:rPr>
              <w:t>国产龙蜥Linux服务器操作系统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066B">
            <w:pPr>
              <w:textAlignment w:val="center"/>
              <w:rPr>
                <w:color w:val="000000"/>
                <w:szCs w:val="21"/>
              </w:rPr>
            </w:pPr>
            <w:r>
              <w:rPr>
                <w:rFonts w:hint="eastAsia" w:cs="宋体"/>
                <w:color w:val="000000"/>
                <w:szCs w:val="21"/>
                <w:lang w:bidi="ar"/>
              </w:rPr>
              <w:t>安装mysql或者完全与mysql兼容的数据库，主从配置</w:t>
            </w:r>
          </w:p>
        </w:tc>
      </w:tr>
      <w:tr w14:paraId="6AD99943">
        <w:tblPrEx>
          <w:tblCellMar>
            <w:top w:w="0" w:type="dxa"/>
            <w:left w:w="108" w:type="dxa"/>
            <w:bottom w:w="0" w:type="dxa"/>
            <w:right w:w="108" w:type="dxa"/>
          </w:tblCellMar>
        </w:tblPrEx>
        <w:trPr>
          <w:trHeight w:val="81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6B4D">
            <w:pPr>
              <w:textAlignment w:val="center"/>
              <w:rPr>
                <w:color w:val="000000"/>
                <w:szCs w:val="21"/>
              </w:rPr>
            </w:pPr>
            <w:r>
              <w:rPr>
                <w:rFonts w:hint="eastAsia" w:cs="宋体"/>
                <w:color w:val="000000"/>
                <w:szCs w:val="21"/>
                <w:lang w:bidi="ar"/>
              </w:rPr>
              <w:t>应用服务器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E1ED9">
            <w:pPr>
              <w:textAlignment w:val="center"/>
              <w:rPr>
                <w:color w:val="000000"/>
                <w:szCs w:val="21"/>
              </w:rPr>
            </w:pPr>
            <w:r>
              <w:rPr>
                <w:rFonts w:hint="eastAsia" w:cs="宋体"/>
                <w:color w:val="000000"/>
                <w:szCs w:val="21"/>
                <w:lang w:bidi="ar"/>
              </w:rPr>
              <w:t>4核16G内存，本地系统盘+数据盘300G</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354F">
            <w:pPr>
              <w:ind w:firstLine="210" w:firstLineChars="100"/>
              <w:textAlignment w:val="center"/>
              <w:rPr>
                <w:color w:val="000000"/>
                <w:szCs w:val="21"/>
              </w:rPr>
            </w:pPr>
            <w:r>
              <w:rPr>
                <w:rFonts w:hint="eastAsia" w:cs="宋体"/>
                <w:color w:val="000000"/>
                <w:szCs w:val="21"/>
              </w:rPr>
              <w:t>6</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406AB">
            <w:pPr>
              <w:textAlignment w:val="center"/>
              <w:rPr>
                <w:color w:val="000000"/>
                <w:szCs w:val="21"/>
              </w:rPr>
            </w:pPr>
            <w:r>
              <w:rPr>
                <w:rFonts w:hint="eastAsia" w:cs="宋体"/>
                <w:color w:val="000000"/>
                <w:szCs w:val="21"/>
                <w:lang w:bidi="ar"/>
              </w:rPr>
              <w:t>国产龙蜥Linux服务器操作系统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A86A">
            <w:pPr>
              <w:textAlignment w:val="center"/>
              <w:rPr>
                <w:color w:val="000000"/>
                <w:szCs w:val="21"/>
              </w:rPr>
            </w:pPr>
            <w:r>
              <w:rPr>
                <w:rFonts w:hint="eastAsia" w:cs="宋体"/>
                <w:color w:val="000000"/>
                <w:szCs w:val="21"/>
                <w:lang w:bidi="ar"/>
              </w:rPr>
              <w:t>可采用虚拟机，可根据业务规模进行水平伸缩扩容</w:t>
            </w:r>
          </w:p>
        </w:tc>
      </w:tr>
      <w:tr w14:paraId="0BE1C37F">
        <w:tblPrEx>
          <w:tblCellMar>
            <w:top w:w="0" w:type="dxa"/>
            <w:left w:w="108" w:type="dxa"/>
            <w:bottom w:w="0" w:type="dxa"/>
            <w:right w:w="108" w:type="dxa"/>
          </w:tblCellMar>
        </w:tblPrEx>
        <w:trPr>
          <w:trHeight w:val="81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865E">
            <w:pPr>
              <w:textAlignment w:val="center"/>
              <w:rPr>
                <w:color w:val="000000"/>
                <w:szCs w:val="21"/>
              </w:rPr>
            </w:pPr>
            <w:r>
              <w:rPr>
                <w:rFonts w:hint="eastAsia" w:cs="宋体"/>
                <w:color w:val="000000"/>
                <w:szCs w:val="21"/>
                <w:lang w:bidi="ar"/>
              </w:rPr>
              <w:t>中间件服务器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94B3">
            <w:pPr>
              <w:textAlignment w:val="center"/>
              <w:rPr>
                <w:szCs w:val="21"/>
              </w:rPr>
            </w:pPr>
            <w:r>
              <w:rPr>
                <w:rFonts w:hint="eastAsia" w:cs="宋体"/>
                <w:color w:val="000000"/>
                <w:szCs w:val="21"/>
                <w:lang w:bidi="ar"/>
              </w:rPr>
              <w:t>8核32G内存，本地系统盘+数据盘300G</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549F">
            <w:pPr>
              <w:ind w:firstLine="210" w:firstLineChars="100"/>
              <w:textAlignment w:val="center"/>
              <w:rPr>
                <w:color w:val="000000"/>
                <w:szCs w:val="21"/>
              </w:rPr>
            </w:pPr>
            <w:r>
              <w:rPr>
                <w:rFonts w:hint="eastAsia" w:cs="宋体"/>
                <w:color w:val="000000"/>
                <w:szCs w:val="21"/>
              </w:rPr>
              <w:t>3</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01714">
            <w:pPr>
              <w:textAlignment w:val="center"/>
              <w:rPr>
                <w:color w:val="000000"/>
                <w:szCs w:val="21"/>
              </w:rPr>
            </w:pPr>
            <w:r>
              <w:rPr>
                <w:rFonts w:hint="eastAsia" w:cs="宋体"/>
                <w:color w:val="000000"/>
                <w:szCs w:val="21"/>
                <w:lang w:bidi="ar"/>
              </w:rPr>
              <w:t>国产龙蜥Linux服务器操作系统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22066">
            <w:pPr>
              <w:textAlignment w:val="center"/>
              <w:rPr>
                <w:color w:val="000000"/>
                <w:szCs w:val="21"/>
              </w:rPr>
            </w:pPr>
            <w:r>
              <w:rPr>
                <w:rFonts w:hint="eastAsia" w:cs="宋体"/>
                <w:color w:val="000000"/>
                <w:szCs w:val="21"/>
                <w:lang w:bidi="ar"/>
              </w:rPr>
              <w:t>安装如消息队列RocketMQ、缓存Redis、日志分析、搜索组件、持续集成等中间件服务</w:t>
            </w:r>
          </w:p>
        </w:tc>
      </w:tr>
      <w:tr w14:paraId="5C24720C">
        <w:tblPrEx>
          <w:tblCellMar>
            <w:top w:w="0" w:type="dxa"/>
            <w:left w:w="108" w:type="dxa"/>
            <w:bottom w:w="0" w:type="dxa"/>
            <w:right w:w="108" w:type="dxa"/>
          </w:tblCellMar>
        </w:tblPrEx>
        <w:trPr>
          <w:trHeight w:val="81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9BD3">
            <w:pPr>
              <w:textAlignment w:val="center"/>
              <w:rPr>
                <w:color w:val="000000"/>
                <w:szCs w:val="21"/>
              </w:rPr>
            </w:pPr>
            <w:r>
              <w:rPr>
                <w:rFonts w:hint="eastAsia" w:cs="宋体"/>
                <w:color w:val="000000"/>
                <w:szCs w:val="21"/>
                <w:lang w:bidi="ar"/>
              </w:rPr>
              <w:t>Web服务器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7F2CD">
            <w:pPr>
              <w:textAlignment w:val="center"/>
              <w:rPr>
                <w:color w:val="000000"/>
                <w:szCs w:val="21"/>
              </w:rPr>
            </w:pPr>
            <w:r>
              <w:rPr>
                <w:rFonts w:hint="eastAsia" w:cs="宋体"/>
                <w:color w:val="000000"/>
                <w:szCs w:val="21"/>
                <w:lang w:bidi="ar"/>
              </w:rPr>
              <w:t>4核8G内存，本地系统盘+数据盘300G</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73C4">
            <w:pPr>
              <w:ind w:firstLine="210" w:firstLineChars="100"/>
              <w:textAlignment w:val="center"/>
              <w:rPr>
                <w:color w:val="000000"/>
                <w:szCs w:val="21"/>
              </w:rPr>
            </w:pPr>
            <w:r>
              <w:rPr>
                <w:rFonts w:hint="eastAsia" w:cs="宋体"/>
                <w:color w:val="000000"/>
                <w:szCs w:val="21"/>
              </w:rPr>
              <w:t>2</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297B">
            <w:pPr>
              <w:textAlignment w:val="center"/>
              <w:rPr>
                <w:color w:val="000000"/>
                <w:szCs w:val="21"/>
              </w:rPr>
            </w:pPr>
            <w:r>
              <w:rPr>
                <w:rFonts w:hint="eastAsia" w:cs="宋体"/>
                <w:color w:val="000000"/>
                <w:szCs w:val="21"/>
                <w:lang w:bidi="ar"/>
              </w:rPr>
              <w:t>国产龙蜥Linux服务器操作系统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C1026">
            <w:pPr>
              <w:textAlignment w:val="center"/>
              <w:rPr>
                <w:color w:val="000000"/>
                <w:szCs w:val="21"/>
              </w:rPr>
            </w:pPr>
            <w:r>
              <w:rPr>
                <w:rFonts w:hint="eastAsia" w:cs="宋体"/>
                <w:color w:val="000000"/>
                <w:szCs w:val="21"/>
                <w:lang w:bidi="ar"/>
              </w:rPr>
              <w:t>安装网站或门户等静态页面应用，充当与外部服务对接的前置机，集群部署</w:t>
            </w:r>
          </w:p>
        </w:tc>
      </w:tr>
      <w:tr w14:paraId="157709CE">
        <w:tblPrEx>
          <w:tblCellMar>
            <w:top w:w="0" w:type="dxa"/>
            <w:left w:w="108" w:type="dxa"/>
            <w:bottom w:w="0" w:type="dxa"/>
            <w:right w:w="108" w:type="dxa"/>
          </w:tblCellMar>
        </w:tblPrEx>
        <w:trPr>
          <w:trHeight w:val="81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1417">
            <w:pPr>
              <w:textAlignment w:val="center"/>
              <w:rPr>
                <w:color w:val="000000"/>
                <w:szCs w:val="21"/>
              </w:rPr>
            </w:pPr>
            <w:r>
              <w:rPr>
                <w:rFonts w:hint="eastAsia" w:cs="宋体"/>
                <w:color w:val="000000"/>
                <w:szCs w:val="21"/>
                <w:lang w:bidi="ar"/>
              </w:rPr>
              <w:t>文件服务器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BF79">
            <w:pPr>
              <w:textAlignment w:val="center"/>
              <w:rPr>
                <w:color w:val="000000"/>
                <w:szCs w:val="21"/>
              </w:rPr>
            </w:pPr>
            <w:r>
              <w:rPr>
                <w:rFonts w:hint="eastAsia" w:cs="宋体"/>
                <w:color w:val="000000"/>
                <w:szCs w:val="21"/>
                <w:lang w:bidi="ar"/>
              </w:rPr>
              <w:t>4核8G内存，本地系统盘+数据盘300G</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6E63">
            <w:pPr>
              <w:ind w:firstLine="210" w:firstLineChars="100"/>
              <w:textAlignment w:val="center"/>
              <w:rPr>
                <w:color w:val="000000"/>
                <w:szCs w:val="21"/>
              </w:rPr>
            </w:pPr>
            <w:r>
              <w:rPr>
                <w:rFonts w:hint="eastAsia" w:cs="宋体"/>
                <w:color w:val="000000"/>
                <w:szCs w:val="21"/>
              </w:rPr>
              <w:t>2</w:t>
            </w: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6EF4">
            <w:pPr>
              <w:textAlignment w:val="center"/>
              <w:rPr>
                <w:color w:val="000000"/>
                <w:szCs w:val="21"/>
              </w:rPr>
            </w:pPr>
            <w:r>
              <w:rPr>
                <w:rFonts w:hint="eastAsia" w:cs="宋体"/>
                <w:color w:val="000000"/>
                <w:szCs w:val="21"/>
                <w:lang w:bidi="ar"/>
              </w:rPr>
              <w:t>Windows Server服务器操作系统</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802E">
            <w:pPr>
              <w:textAlignment w:val="center"/>
              <w:rPr>
                <w:color w:val="000000"/>
                <w:szCs w:val="21"/>
              </w:rPr>
            </w:pPr>
            <w:r>
              <w:rPr>
                <w:rFonts w:hint="eastAsia" w:cs="宋体"/>
                <w:color w:val="000000"/>
                <w:szCs w:val="21"/>
                <w:lang w:bidi="ar"/>
              </w:rPr>
              <w:t>安装WPS或Office等应用，主要用于Office文件处理转换等</w:t>
            </w:r>
          </w:p>
        </w:tc>
      </w:tr>
      <w:tr w14:paraId="097B5E49">
        <w:tblPrEx>
          <w:tblCellMar>
            <w:top w:w="0" w:type="dxa"/>
            <w:left w:w="108" w:type="dxa"/>
            <w:bottom w:w="0" w:type="dxa"/>
            <w:right w:w="108" w:type="dxa"/>
          </w:tblCellMar>
        </w:tblPrEx>
        <w:trPr>
          <w:trHeight w:val="189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D3F1">
            <w:pPr>
              <w:textAlignment w:val="center"/>
              <w:rPr>
                <w:color w:val="000000"/>
                <w:szCs w:val="21"/>
              </w:rPr>
            </w:pPr>
            <w:r>
              <w:rPr>
                <w:rFonts w:hint="eastAsia" w:cs="宋体"/>
                <w:color w:val="000000"/>
                <w:szCs w:val="21"/>
                <w:lang w:bidi="ar"/>
              </w:rPr>
              <w:t>存储</w:t>
            </w:r>
          </w:p>
        </w:tc>
        <w:tc>
          <w:tcPr>
            <w:tcW w:w="8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28F8D">
            <w:pPr>
              <w:ind w:left="420"/>
              <w:textAlignment w:val="center"/>
              <w:rPr>
                <w:color w:val="000000"/>
                <w:szCs w:val="21"/>
              </w:rPr>
            </w:pPr>
            <w:r>
              <w:rPr>
                <w:rFonts w:hint="eastAsia" w:cs="宋体"/>
                <w:color w:val="000000"/>
                <w:szCs w:val="21"/>
                <w:lang w:bidi="ar"/>
              </w:rPr>
              <w:t>5T</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0D9C">
            <w:pPr>
              <w:ind w:left="420"/>
              <w:jc w:val="center"/>
              <w:rPr>
                <w:color w:val="000000"/>
                <w:szCs w:val="21"/>
              </w:rPr>
            </w:pPr>
          </w:p>
        </w:tc>
        <w:tc>
          <w:tcPr>
            <w:tcW w:w="1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8D70A">
            <w:pPr>
              <w:ind w:left="420"/>
              <w:textAlignment w:val="center"/>
              <w:rPr>
                <w:color w:val="000000"/>
                <w:szCs w:val="21"/>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E6B69">
            <w:pPr>
              <w:textAlignment w:val="center"/>
              <w:rPr>
                <w:color w:val="000000"/>
                <w:szCs w:val="21"/>
              </w:rPr>
            </w:pPr>
            <w:r>
              <w:rPr>
                <w:rFonts w:hint="eastAsia" w:cs="宋体"/>
                <w:color w:val="000000"/>
                <w:szCs w:val="21"/>
                <w:lang w:bidi="ar"/>
              </w:rPr>
              <w:t>存储结构化和非结构化文件，根据5000个项目，每个项目所有资料文件约1G存储空间估算，首年需约准备5T，后续根据业务量进行扩容</w:t>
            </w:r>
          </w:p>
        </w:tc>
      </w:tr>
    </w:tbl>
    <w:p w14:paraId="5CDCC067">
      <w:pPr>
        <w:snapToGrid w:val="0"/>
        <w:ind w:left="420"/>
        <w:contextualSpacing/>
        <w:rPr>
          <w:rFonts w:cs="宋体"/>
          <w:szCs w:val="21"/>
        </w:rPr>
      </w:pPr>
    </w:p>
    <w:p w14:paraId="1BCE1DDD">
      <w:pPr>
        <w:snapToGrid w:val="0"/>
        <w:spacing w:line="360" w:lineRule="auto"/>
        <w:ind w:left="420"/>
        <w:contextualSpacing/>
        <w:rPr>
          <w:rFonts w:cs="宋体"/>
          <w:szCs w:val="21"/>
        </w:rPr>
      </w:pPr>
      <w:r>
        <w:rPr>
          <w:rFonts w:hint="eastAsia" w:cs="宋体"/>
          <w:szCs w:val="21"/>
        </w:rPr>
        <w:t>以上服务器数量及配置仅供参考，具体可根据项目实施时的实际情况进行调整。</w:t>
      </w:r>
    </w:p>
    <w:p w14:paraId="4D5C7715">
      <w:pPr>
        <w:spacing w:line="360" w:lineRule="auto"/>
        <w:ind w:left="420"/>
      </w:pPr>
      <w:r>
        <w:rPr>
          <w:rFonts w:hint="eastAsia"/>
        </w:rPr>
        <w:t>系统运行所需的主要的软件配置清单方案如下：</w:t>
      </w:r>
    </w:p>
    <w:tbl>
      <w:tblPr>
        <w:tblStyle w:val="40"/>
        <w:tblW w:w="4552" w:type="pct"/>
        <w:tblInd w:w="0" w:type="dxa"/>
        <w:tblLayout w:type="fixed"/>
        <w:tblCellMar>
          <w:top w:w="0" w:type="dxa"/>
          <w:left w:w="108" w:type="dxa"/>
          <w:bottom w:w="0" w:type="dxa"/>
          <w:right w:w="108" w:type="dxa"/>
        </w:tblCellMar>
      </w:tblPr>
      <w:tblGrid>
        <w:gridCol w:w="1014"/>
        <w:gridCol w:w="2107"/>
        <w:gridCol w:w="1763"/>
        <w:gridCol w:w="2875"/>
      </w:tblGrid>
      <w:tr w14:paraId="5752640E">
        <w:tblPrEx>
          <w:tblCellMar>
            <w:top w:w="0" w:type="dxa"/>
            <w:left w:w="108" w:type="dxa"/>
            <w:bottom w:w="0" w:type="dxa"/>
            <w:right w:w="108" w:type="dxa"/>
          </w:tblCellMar>
        </w:tblPrEx>
        <w:trPr>
          <w:trHeight w:val="27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4BA0">
            <w:pPr>
              <w:jc w:val="center"/>
              <w:textAlignment w:val="center"/>
              <w:rPr>
                <w:b/>
                <w:bCs/>
                <w:color w:val="000000"/>
                <w:szCs w:val="21"/>
              </w:rPr>
            </w:pPr>
            <w:r>
              <w:rPr>
                <w:rFonts w:hint="eastAsia" w:cs="宋体"/>
                <w:b/>
                <w:bCs/>
                <w:color w:val="000000"/>
                <w:szCs w:val="21"/>
              </w:rPr>
              <w:t>序号</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21A7">
            <w:pPr>
              <w:ind w:left="420"/>
              <w:textAlignment w:val="center"/>
              <w:rPr>
                <w:b/>
                <w:bCs/>
                <w:color w:val="000000"/>
                <w:szCs w:val="21"/>
              </w:rPr>
            </w:pPr>
            <w:r>
              <w:rPr>
                <w:rFonts w:hint="eastAsia" w:cs="宋体"/>
                <w:b/>
                <w:bCs/>
                <w:color w:val="000000"/>
                <w:szCs w:val="21"/>
                <w:lang w:bidi="ar"/>
              </w:rPr>
              <w:t>软件名称</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AC621">
            <w:pPr>
              <w:jc w:val="center"/>
              <w:textAlignment w:val="center"/>
              <w:rPr>
                <w:b/>
                <w:bCs/>
                <w:color w:val="000000"/>
                <w:szCs w:val="21"/>
              </w:rPr>
            </w:pPr>
            <w:r>
              <w:rPr>
                <w:rFonts w:hint="eastAsia" w:cs="宋体"/>
                <w:b/>
                <w:bCs/>
                <w:color w:val="000000"/>
                <w:szCs w:val="21"/>
                <w:lang w:bidi="ar"/>
              </w:rPr>
              <w:t>版本</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BE40">
            <w:pPr>
              <w:textAlignment w:val="center"/>
              <w:rPr>
                <w:b/>
                <w:bCs/>
                <w:color w:val="000000"/>
                <w:szCs w:val="21"/>
              </w:rPr>
            </w:pPr>
            <w:r>
              <w:rPr>
                <w:rFonts w:hint="eastAsia" w:cs="宋体"/>
                <w:b/>
                <w:bCs/>
                <w:color w:val="000000"/>
                <w:szCs w:val="21"/>
                <w:lang w:bidi="ar"/>
              </w:rPr>
              <w:t>说明</w:t>
            </w:r>
          </w:p>
        </w:tc>
      </w:tr>
      <w:tr w14:paraId="3754B723">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5FE1">
            <w:pPr>
              <w:jc w:val="center"/>
              <w:textAlignment w:val="center"/>
              <w:rPr>
                <w:color w:val="000000"/>
                <w:szCs w:val="21"/>
              </w:rPr>
            </w:pPr>
            <w:r>
              <w:rPr>
                <w:rFonts w:hint="eastAsia" w:cs="宋体"/>
                <w:color w:val="000000"/>
                <w:szCs w:val="21"/>
                <w:lang w:bidi="ar"/>
              </w:rPr>
              <w:t>1</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F8B5">
            <w:pPr>
              <w:textAlignment w:val="center"/>
              <w:rPr>
                <w:color w:val="000000"/>
                <w:szCs w:val="21"/>
              </w:rPr>
            </w:pPr>
            <w:r>
              <w:rPr>
                <w:rFonts w:hint="eastAsia" w:cs="宋体"/>
                <w:color w:val="000000"/>
                <w:szCs w:val="21"/>
              </w:rPr>
              <w:t>Anolis OS</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0F38B">
            <w:pPr>
              <w:jc w:val="center"/>
              <w:textAlignment w:val="center"/>
              <w:rPr>
                <w:color w:val="000000"/>
                <w:szCs w:val="21"/>
              </w:rPr>
            </w:pPr>
            <w:r>
              <w:rPr>
                <w:rFonts w:hint="eastAsia" w:cs="宋体"/>
                <w:color w:val="000000"/>
                <w:szCs w:val="21"/>
                <w:lang w:bidi="ar"/>
              </w:rPr>
              <w:t>8.8</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19C1">
            <w:pPr>
              <w:textAlignment w:val="center"/>
              <w:rPr>
                <w:color w:val="000000"/>
                <w:szCs w:val="21"/>
              </w:rPr>
            </w:pPr>
            <w:r>
              <w:rPr>
                <w:rFonts w:hint="eastAsia" w:cs="宋体"/>
                <w:color w:val="000000"/>
                <w:szCs w:val="21"/>
              </w:rPr>
              <w:t>国产龙蜥Linux操作系统</w:t>
            </w:r>
          </w:p>
        </w:tc>
      </w:tr>
      <w:tr w14:paraId="7E9CEBB0">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9221">
            <w:pPr>
              <w:jc w:val="center"/>
              <w:textAlignment w:val="center"/>
              <w:rPr>
                <w:color w:val="000000"/>
                <w:szCs w:val="21"/>
              </w:rPr>
            </w:pPr>
            <w:r>
              <w:rPr>
                <w:rFonts w:hint="eastAsia" w:cs="宋体"/>
                <w:color w:val="000000"/>
                <w:szCs w:val="21"/>
                <w:lang w:bidi="ar"/>
              </w:rPr>
              <w:t>2</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E2B8">
            <w:pPr>
              <w:textAlignment w:val="center"/>
              <w:rPr>
                <w:color w:val="000000"/>
                <w:szCs w:val="21"/>
              </w:rPr>
            </w:pPr>
            <w:r>
              <w:rPr>
                <w:rFonts w:hint="eastAsia" w:cs="宋体"/>
                <w:color w:val="000000"/>
                <w:szCs w:val="21"/>
              </w:rPr>
              <w:t>Windows Server</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26171">
            <w:pPr>
              <w:jc w:val="center"/>
              <w:textAlignment w:val="center"/>
              <w:rPr>
                <w:color w:val="000000"/>
                <w:szCs w:val="21"/>
              </w:rPr>
            </w:pPr>
            <w:r>
              <w:rPr>
                <w:rFonts w:hint="eastAsia" w:cs="宋体"/>
                <w:color w:val="000000"/>
                <w:szCs w:val="21"/>
                <w:lang w:bidi="ar"/>
              </w:rPr>
              <w:t>2012</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1985">
            <w:pPr>
              <w:textAlignment w:val="center"/>
              <w:rPr>
                <w:color w:val="000000"/>
                <w:szCs w:val="21"/>
              </w:rPr>
            </w:pPr>
            <w:r>
              <w:rPr>
                <w:rFonts w:hint="eastAsia" w:cs="宋体"/>
                <w:color w:val="000000"/>
                <w:szCs w:val="21"/>
              </w:rPr>
              <w:t>Windows服务器操作系统</w:t>
            </w:r>
          </w:p>
        </w:tc>
      </w:tr>
      <w:tr w14:paraId="1DACC6E3">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C01D">
            <w:pPr>
              <w:jc w:val="center"/>
              <w:textAlignment w:val="center"/>
              <w:rPr>
                <w:color w:val="000000"/>
                <w:szCs w:val="21"/>
              </w:rPr>
            </w:pPr>
            <w:r>
              <w:rPr>
                <w:rFonts w:hint="eastAsia" w:cs="宋体"/>
                <w:color w:val="000000"/>
                <w:szCs w:val="21"/>
                <w:lang w:bidi="ar"/>
              </w:rPr>
              <w:t>3</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F811">
            <w:pPr>
              <w:textAlignment w:val="center"/>
              <w:rPr>
                <w:color w:val="000000"/>
                <w:szCs w:val="21"/>
              </w:rPr>
            </w:pPr>
            <w:r>
              <w:rPr>
                <w:rFonts w:hint="eastAsia" w:cs="宋体"/>
                <w:color w:val="000000"/>
                <w:szCs w:val="21"/>
              </w:rPr>
              <w:t>MySQL</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94B9">
            <w:pPr>
              <w:jc w:val="center"/>
              <w:textAlignment w:val="center"/>
              <w:rPr>
                <w:color w:val="000000"/>
                <w:szCs w:val="21"/>
              </w:rPr>
            </w:pPr>
            <w:r>
              <w:rPr>
                <w:rFonts w:hint="eastAsia" w:cs="宋体"/>
                <w:color w:val="000000"/>
                <w:szCs w:val="21"/>
                <w:lang w:bidi="ar"/>
              </w:rPr>
              <w:t>5.7</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29F1">
            <w:pPr>
              <w:textAlignment w:val="center"/>
              <w:rPr>
                <w:color w:val="000000"/>
                <w:szCs w:val="21"/>
              </w:rPr>
            </w:pPr>
            <w:r>
              <w:rPr>
                <w:rFonts w:hint="eastAsia" w:cs="宋体"/>
                <w:color w:val="000000"/>
                <w:szCs w:val="21"/>
              </w:rPr>
              <w:t>关系型数据库</w:t>
            </w:r>
          </w:p>
        </w:tc>
      </w:tr>
      <w:tr w14:paraId="4D908270">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BF1F">
            <w:pPr>
              <w:jc w:val="center"/>
              <w:textAlignment w:val="center"/>
              <w:rPr>
                <w:color w:val="000000"/>
                <w:szCs w:val="21"/>
              </w:rPr>
            </w:pPr>
            <w:r>
              <w:rPr>
                <w:rFonts w:hint="eastAsia" w:cs="宋体"/>
                <w:color w:val="000000"/>
                <w:szCs w:val="21"/>
                <w:lang w:bidi="ar"/>
              </w:rPr>
              <w:t>4</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B4C6">
            <w:pPr>
              <w:textAlignment w:val="center"/>
              <w:rPr>
                <w:color w:val="000000"/>
                <w:szCs w:val="21"/>
              </w:rPr>
            </w:pPr>
            <w:r>
              <w:rPr>
                <w:rFonts w:hint="eastAsia" w:cs="宋体"/>
                <w:color w:val="000000"/>
                <w:szCs w:val="21"/>
              </w:rPr>
              <w:t>JDK</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9BF5D">
            <w:pPr>
              <w:jc w:val="center"/>
              <w:textAlignment w:val="center"/>
              <w:rPr>
                <w:color w:val="000000"/>
                <w:szCs w:val="21"/>
              </w:rPr>
            </w:pPr>
            <w:r>
              <w:rPr>
                <w:rFonts w:hint="eastAsia" w:cs="宋体"/>
                <w:color w:val="000000"/>
                <w:szCs w:val="21"/>
                <w:lang w:bidi="ar"/>
              </w:rPr>
              <w:t>1.8</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0571">
            <w:pPr>
              <w:textAlignment w:val="center"/>
              <w:rPr>
                <w:szCs w:val="21"/>
              </w:rPr>
            </w:pPr>
            <w:r>
              <w:rPr>
                <w:rFonts w:hint="eastAsia" w:cs="宋体"/>
                <w:szCs w:val="21"/>
              </w:rPr>
              <w:t>Java运行时环境</w:t>
            </w:r>
          </w:p>
        </w:tc>
      </w:tr>
      <w:tr w14:paraId="5530EF3D">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D9FB">
            <w:pPr>
              <w:jc w:val="center"/>
              <w:textAlignment w:val="center"/>
              <w:rPr>
                <w:color w:val="000000"/>
                <w:szCs w:val="21"/>
              </w:rPr>
            </w:pPr>
            <w:r>
              <w:rPr>
                <w:rFonts w:hint="eastAsia" w:cs="宋体"/>
                <w:color w:val="000000"/>
                <w:szCs w:val="21"/>
                <w:lang w:bidi="ar"/>
              </w:rPr>
              <w:t>5</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3D1C">
            <w:pPr>
              <w:textAlignment w:val="center"/>
              <w:rPr>
                <w:color w:val="000000"/>
                <w:szCs w:val="21"/>
              </w:rPr>
            </w:pPr>
            <w:r>
              <w:rPr>
                <w:rFonts w:hint="eastAsia" w:cs="宋体"/>
                <w:color w:val="000000"/>
                <w:szCs w:val="21"/>
              </w:rPr>
              <w:t>Tomcat</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84D96">
            <w:pPr>
              <w:jc w:val="center"/>
              <w:textAlignment w:val="center"/>
              <w:rPr>
                <w:color w:val="000000"/>
                <w:szCs w:val="21"/>
              </w:rPr>
            </w:pPr>
            <w:r>
              <w:rPr>
                <w:rFonts w:cs="宋体"/>
                <w:color w:val="000000"/>
                <w:szCs w:val="21"/>
                <w:lang w:bidi="ar"/>
              </w:rPr>
              <w:t>7.0.109</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55B6C">
            <w:pPr>
              <w:textAlignment w:val="center"/>
              <w:rPr>
                <w:color w:val="000000"/>
                <w:szCs w:val="21"/>
              </w:rPr>
            </w:pPr>
            <w:r>
              <w:rPr>
                <w:rFonts w:hint="eastAsia" w:cs="宋体"/>
                <w:color w:val="000000"/>
                <w:szCs w:val="21"/>
              </w:rPr>
              <w:t>应用服务器中间件</w:t>
            </w:r>
          </w:p>
        </w:tc>
      </w:tr>
      <w:tr w14:paraId="57B2C295">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C90E">
            <w:pPr>
              <w:jc w:val="center"/>
              <w:textAlignment w:val="center"/>
              <w:rPr>
                <w:color w:val="000000"/>
                <w:szCs w:val="21"/>
              </w:rPr>
            </w:pPr>
            <w:r>
              <w:rPr>
                <w:rFonts w:hint="eastAsia" w:cs="宋体"/>
                <w:color w:val="000000"/>
                <w:szCs w:val="21"/>
                <w:lang w:bidi="ar"/>
              </w:rPr>
              <w:t>6</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C0C62">
            <w:pPr>
              <w:textAlignment w:val="center"/>
              <w:rPr>
                <w:color w:val="000000"/>
                <w:szCs w:val="21"/>
              </w:rPr>
            </w:pPr>
            <w:r>
              <w:rPr>
                <w:rFonts w:hint="eastAsia" w:cs="宋体"/>
                <w:color w:val="000000"/>
                <w:szCs w:val="21"/>
              </w:rPr>
              <w:t>Tengine</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CD77">
            <w:pPr>
              <w:jc w:val="center"/>
              <w:textAlignment w:val="center"/>
              <w:rPr>
                <w:color w:val="000000"/>
                <w:szCs w:val="21"/>
              </w:rPr>
            </w:pPr>
            <w:r>
              <w:rPr>
                <w:rFonts w:hint="eastAsia" w:cs="宋体"/>
                <w:color w:val="000000"/>
                <w:szCs w:val="21"/>
                <w:lang w:bidi="ar"/>
              </w:rPr>
              <w:t>2.3.3</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1B1C">
            <w:pPr>
              <w:textAlignment w:val="center"/>
              <w:rPr>
                <w:color w:val="000000"/>
                <w:szCs w:val="21"/>
              </w:rPr>
            </w:pPr>
            <w:r>
              <w:rPr>
                <w:rFonts w:hint="eastAsia" w:cs="宋体"/>
                <w:color w:val="000000"/>
                <w:szCs w:val="21"/>
              </w:rPr>
              <w:t>负载均衡和反向代理</w:t>
            </w:r>
          </w:p>
        </w:tc>
      </w:tr>
      <w:tr w14:paraId="41DE212C">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BDEB">
            <w:pPr>
              <w:jc w:val="center"/>
              <w:textAlignment w:val="center"/>
              <w:rPr>
                <w:color w:val="000000"/>
                <w:szCs w:val="21"/>
              </w:rPr>
            </w:pPr>
            <w:r>
              <w:rPr>
                <w:rFonts w:hint="eastAsia" w:cs="宋体"/>
                <w:color w:val="000000"/>
                <w:szCs w:val="21"/>
                <w:lang w:bidi="ar"/>
              </w:rPr>
              <w:t>7</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E0E0">
            <w:pPr>
              <w:textAlignment w:val="center"/>
              <w:rPr>
                <w:color w:val="000000"/>
                <w:szCs w:val="21"/>
              </w:rPr>
            </w:pPr>
            <w:r>
              <w:rPr>
                <w:rFonts w:hint="eastAsia" w:cs="宋体"/>
                <w:color w:val="000000"/>
                <w:szCs w:val="21"/>
              </w:rPr>
              <w:t>Redis</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B8A2">
            <w:pPr>
              <w:jc w:val="center"/>
              <w:textAlignment w:val="center"/>
              <w:rPr>
                <w:color w:val="000000"/>
                <w:szCs w:val="21"/>
              </w:rPr>
            </w:pPr>
            <w:r>
              <w:rPr>
                <w:rFonts w:hint="eastAsia" w:cs="宋体"/>
                <w:color w:val="000000"/>
                <w:szCs w:val="21"/>
                <w:lang w:bidi="ar"/>
              </w:rPr>
              <w:t>4.04</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EEB9">
            <w:pPr>
              <w:textAlignment w:val="center"/>
              <w:rPr>
                <w:color w:val="000000"/>
                <w:szCs w:val="21"/>
              </w:rPr>
            </w:pPr>
            <w:r>
              <w:rPr>
                <w:rFonts w:hint="eastAsia" w:cs="宋体"/>
                <w:color w:val="000000"/>
                <w:szCs w:val="21"/>
              </w:rPr>
              <w:t>缓存中间件</w:t>
            </w:r>
          </w:p>
        </w:tc>
      </w:tr>
      <w:tr w14:paraId="2CC9C549">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7964">
            <w:pPr>
              <w:jc w:val="center"/>
              <w:textAlignment w:val="center"/>
              <w:rPr>
                <w:color w:val="000000"/>
                <w:szCs w:val="21"/>
              </w:rPr>
            </w:pPr>
            <w:r>
              <w:rPr>
                <w:rFonts w:hint="eastAsia" w:cs="宋体"/>
                <w:color w:val="000000"/>
                <w:szCs w:val="21"/>
                <w:lang w:bidi="ar"/>
              </w:rPr>
              <w:t>8</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CB417">
            <w:pPr>
              <w:textAlignment w:val="center"/>
              <w:rPr>
                <w:color w:val="000000"/>
                <w:szCs w:val="21"/>
              </w:rPr>
            </w:pPr>
            <w:r>
              <w:rPr>
                <w:rFonts w:hint="eastAsia" w:cs="宋体"/>
                <w:color w:val="000000"/>
                <w:szCs w:val="21"/>
              </w:rPr>
              <w:t>RocketMQ</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AA21">
            <w:pPr>
              <w:jc w:val="center"/>
              <w:textAlignment w:val="center"/>
              <w:rPr>
                <w:color w:val="000000"/>
                <w:szCs w:val="21"/>
              </w:rPr>
            </w:pPr>
            <w:r>
              <w:rPr>
                <w:rFonts w:hint="eastAsia" w:cs="宋体"/>
                <w:color w:val="000000"/>
                <w:szCs w:val="21"/>
                <w:lang w:bidi="ar"/>
              </w:rPr>
              <w:t>4.5.2</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C8150">
            <w:pPr>
              <w:textAlignment w:val="center"/>
              <w:rPr>
                <w:color w:val="000000"/>
                <w:szCs w:val="21"/>
              </w:rPr>
            </w:pPr>
            <w:r>
              <w:rPr>
                <w:rFonts w:hint="eastAsia" w:cs="宋体"/>
                <w:color w:val="000000"/>
                <w:szCs w:val="21"/>
              </w:rPr>
              <w:t>消息中间件</w:t>
            </w:r>
          </w:p>
        </w:tc>
      </w:tr>
      <w:tr w14:paraId="7EE3C827">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5896">
            <w:pPr>
              <w:jc w:val="center"/>
              <w:textAlignment w:val="center"/>
              <w:rPr>
                <w:color w:val="000000"/>
                <w:szCs w:val="21"/>
              </w:rPr>
            </w:pPr>
            <w:r>
              <w:rPr>
                <w:rFonts w:hint="eastAsia" w:cs="宋体"/>
                <w:color w:val="000000"/>
                <w:szCs w:val="21"/>
                <w:lang w:bidi="ar"/>
              </w:rPr>
              <w:t>9</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D4EE2">
            <w:pPr>
              <w:textAlignment w:val="center"/>
              <w:rPr>
                <w:color w:val="000000"/>
                <w:szCs w:val="21"/>
              </w:rPr>
            </w:pPr>
            <w:r>
              <w:rPr>
                <w:rFonts w:hint="eastAsia" w:cs="宋体"/>
                <w:color w:val="000000"/>
                <w:szCs w:val="21"/>
              </w:rPr>
              <w:t>Docker</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E627">
            <w:pPr>
              <w:jc w:val="center"/>
              <w:textAlignment w:val="center"/>
              <w:rPr>
                <w:color w:val="000000"/>
                <w:szCs w:val="21"/>
              </w:rPr>
            </w:pPr>
            <w:r>
              <w:rPr>
                <w:rFonts w:hint="eastAsia" w:cs="宋体"/>
                <w:color w:val="000000"/>
                <w:szCs w:val="21"/>
                <w:lang w:bidi="ar"/>
              </w:rPr>
              <w:t>20.10.x</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54CE4">
            <w:pPr>
              <w:textAlignment w:val="center"/>
              <w:rPr>
                <w:color w:val="000000"/>
                <w:szCs w:val="21"/>
              </w:rPr>
            </w:pPr>
            <w:r>
              <w:rPr>
                <w:rFonts w:hint="eastAsia" w:cs="宋体"/>
                <w:color w:val="000000"/>
                <w:szCs w:val="21"/>
              </w:rPr>
              <w:t>容器运行时环境</w:t>
            </w:r>
          </w:p>
        </w:tc>
      </w:tr>
      <w:tr w14:paraId="3A6101F3">
        <w:tblPrEx>
          <w:tblCellMar>
            <w:top w:w="0" w:type="dxa"/>
            <w:left w:w="108" w:type="dxa"/>
            <w:bottom w:w="0" w:type="dxa"/>
            <w:right w:w="108" w:type="dxa"/>
          </w:tblCellMar>
        </w:tblPrEx>
        <w:trPr>
          <w:trHeight w:val="540" w:hRule="atLeast"/>
        </w:trPr>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6DCB">
            <w:pPr>
              <w:jc w:val="center"/>
              <w:textAlignment w:val="center"/>
              <w:rPr>
                <w:color w:val="000000"/>
                <w:szCs w:val="21"/>
              </w:rPr>
            </w:pPr>
            <w:r>
              <w:rPr>
                <w:rFonts w:hint="eastAsia" w:cs="宋体"/>
                <w:color w:val="000000"/>
                <w:szCs w:val="21"/>
                <w:lang w:bidi="ar"/>
              </w:rPr>
              <w:t>10</w:t>
            </w:r>
          </w:p>
        </w:tc>
        <w:tc>
          <w:tcPr>
            <w:tcW w:w="1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AE55">
            <w:pPr>
              <w:textAlignment w:val="center"/>
              <w:rPr>
                <w:color w:val="000000"/>
                <w:szCs w:val="21"/>
              </w:rPr>
            </w:pPr>
            <w:r>
              <w:rPr>
                <w:rFonts w:hint="eastAsia" w:cs="宋体"/>
                <w:color w:val="000000"/>
                <w:szCs w:val="21"/>
              </w:rPr>
              <w:t>Kubernetes</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C573">
            <w:pPr>
              <w:jc w:val="center"/>
              <w:textAlignment w:val="center"/>
              <w:rPr>
                <w:color w:val="000000"/>
                <w:szCs w:val="21"/>
              </w:rPr>
            </w:pPr>
            <w:r>
              <w:rPr>
                <w:rFonts w:hint="eastAsia" w:cs="宋体"/>
                <w:color w:val="000000"/>
                <w:szCs w:val="21"/>
                <w:lang w:bidi="ar"/>
              </w:rPr>
              <w:t>1.22.x</w:t>
            </w:r>
          </w:p>
        </w:tc>
        <w:tc>
          <w:tcPr>
            <w:tcW w:w="18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AD0F">
            <w:pPr>
              <w:textAlignment w:val="center"/>
              <w:rPr>
                <w:color w:val="000000"/>
                <w:szCs w:val="21"/>
              </w:rPr>
            </w:pPr>
            <w:r>
              <w:rPr>
                <w:rFonts w:hint="eastAsia" w:cs="宋体"/>
                <w:szCs w:val="21"/>
              </w:rPr>
              <w:t>容器调度</w:t>
            </w:r>
          </w:p>
        </w:tc>
      </w:tr>
    </w:tbl>
    <w:p w14:paraId="36949787">
      <w:pPr>
        <w:snapToGrid w:val="0"/>
        <w:ind w:left="420"/>
        <w:contextualSpacing/>
        <w:rPr>
          <w:rFonts w:cs="宋体"/>
          <w:szCs w:val="21"/>
        </w:rPr>
      </w:pPr>
    </w:p>
    <w:p w14:paraId="7D85DE1F">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以上软件信息配置仅供参考，具体可根据项目实施时的实际情况进行适配调整，比如操作系统可采用招标人指定的版本型号。</w:t>
      </w:r>
    </w:p>
    <w:p w14:paraId="13A7416D">
      <w:pPr>
        <w:pStyle w:val="5"/>
        <w:widowControl/>
        <w:spacing w:before="260" w:after="260"/>
        <w:ind w:left="0" w:firstLine="0"/>
        <w:rPr>
          <w:rFonts w:hint="eastAsia" w:ascii="宋体" w:hAnsi="宋体"/>
          <w:szCs w:val="28"/>
        </w:rPr>
      </w:pPr>
      <w:r>
        <w:rPr>
          <w:rFonts w:hint="eastAsia" w:ascii="宋体" w:hAnsi="宋体"/>
          <w:szCs w:val="28"/>
        </w:rPr>
        <w:t xml:space="preserve"> </w:t>
      </w:r>
      <w:bookmarkStart w:id="157" w:name="_Toc180265616"/>
      <w:r>
        <w:rPr>
          <w:rFonts w:hint="eastAsia" w:ascii="宋体" w:hAnsi="宋体"/>
          <w:szCs w:val="28"/>
        </w:rPr>
        <w:t>系统安全方案</w:t>
      </w:r>
      <w:bookmarkEnd w:id="157"/>
    </w:p>
    <w:p w14:paraId="1285B74F">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（1）设计目标</w:t>
      </w:r>
    </w:p>
    <w:p w14:paraId="2ED61AD5">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系统按照《信息安全技术网络安全等级保护基本要求》（GB/T22239-2019）第三级信息系统的安全要求进行建设，并通过招标人委托的第三方网络安全等级保护测评，符合《中华人民共和国数据安全法》、《中华人民共和国个人信息保护法》等法律法规的要求。</w:t>
      </w:r>
    </w:p>
    <w:p w14:paraId="66D01BA4">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（2）设计依据</w:t>
      </w:r>
    </w:p>
    <w:p w14:paraId="58C1609B">
      <w:pPr>
        <w:spacing w:line="360" w:lineRule="auto"/>
        <w:ind w:left="420"/>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①法律、法规文件依据</w:t>
      </w:r>
    </w:p>
    <w:p w14:paraId="0DA40815">
      <w:pPr>
        <w:widowControl/>
        <w:numPr>
          <w:ilvl w:val="0"/>
          <w:numId w:val="24"/>
        </w:numPr>
        <w:autoSpaceDE w:val="0"/>
        <w:autoSpaceDN w:val="0"/>
        <w:spacing w:line="360" w:lineRule="auto"/>
        <w:ind w:left="420" w:leftChars="200"/>
        <w:jc w:val="left"/>
        <w:rPr>
          <w:rFonts w:hint="eastAsia" w:ascii="宋体" w:hAnsi="宋体" w:eastAsia="宋体"/>
          <w:szCs w:val="21"/>
        </w:rPr>
      </w:pPr>
      <w:r>
        <w:rPr>
          <w:rFonts w:hint="eastAsia" w:ascii="宋体" w:hAnsi="宋体" w:eastAsia="宋体" w:cs="宋体"/>
          <w:color w:val="000000" w:themeColor="text1"/>
          <w:szCs w:val="21"/>
          <w:lang w:bidi="ar"/>
          <w14:textFill>
            <w14:solidFill>
              <w14:schemeClr w14:val="tx1"/>
            </w14:solidFill>
          </w14:textFill>
        </w:rPr>
        <w:t>《中华人民共和国数据安全法》</w:t>
      </w:r>
    </w:p>
    <w:p w14:paraId="68D6C513">
      <w:pPr>
        <w:widowControl/>
        <w:numPr>
          <w:ilvl w:val="0"/>
          <w:numId w:val="24"/>
        </w:numPr>
        <w:autoSpaceDE w:val="0"/>
        <w:autoSpaceDN w:val="0"/>
        <w:spacing w:line="360" w:lineRule="auto"/>
        <w:ind w:left="420" w:leftChars="200"/>
        <w:jc w:val="left"/>
        <w:rPr>
          <w:rFonts w:hint="eastAsia" w:ascii="宋体" w:hAnsi="宋体" w:eastAsia="宋体"/>
          <w:szCs w:val="21"/>
        </w:rPr>
      </w:pPr>
      <w:r>
        <w:rPr>
          <w:rFonts w:hint="eastAsia" w:ascii="宋体" w:hAnsi="宋体" w:eastAsia="宋体" w:cs="宋体"/>
          <w:color w:val="000000" w:themeColor="text1"/>
          <w:szCs w:val="21"/>
          <w:lang w:bidi="ar"/>
          <w14:textFill>
            <w14:solidFill>
              <w14:schemeClr w14:val="tx1"/>
            </w14:solidFill>
          </w14:textFill>
        </w:rPr>
        <w:t>《中华人民共和国个人信息保护法》</w:t>
      </w:r>
    </w:p>
    <w:p w14:paraId="125353A1">
      <w:pPr>
        <w:autoSpaceDE w:val="0"/>
        <w:autoSpaceDN w:val="0"/>
        <w:spacing w:line="360" w:lineRule="auto"/>
        <w:ind w:left="42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②标准依据</w:t>
      </w:r>
    </w:p>
    <w:p w14:paraId="21BC0648">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信息系统安全等级保护基本要求》（GB/T 22239-2019）</w:t>
      </w:r>
    </w:p>
    <w:p w14:paraId="4549B3E0">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信息系统等级保护安全设计技术要求》(GB/T 25070-2010)</w:t>
      </w:r>
    </w:p>
    <w:p w14:paraId="3786694C">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信息系统安全等级保护定级指南》(GB/T 22240-2019)</w:t>
      </w:r>
    </w:p>
    <w:p w14:paraId="3A82690B">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《计算机信息系统安全保护等级划分准则》（GB 17859-1999）</w:t>
      </w:r>
    </w:p>
    <w:p w14:paraId="38049C12">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信息系统通用安全技术要求》（GB/T 20271-2006）</w:t>
      </w:r>
    </w:p>
    <w:p w14:paraId="23E4268C">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网络基础安全技术要求》（GB/T 20270-2006）</w:t>
      </w:r>
    </w:p>
    <w:p w14:paraId="02A791B2">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操作系统安全技术要求》（GB/T 20272-2006）</w:t>
      </w:r>
    </w:p>
    <w:p w14:paraId="718CFC0E">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数据库管理系统安全技术要求》（GB/T 20273-2006）</w:t>
      </w:r>
    </w:p>
    <w:p w14:paraId="48AE8D3D">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服务器技术要求》（GB/T 21028-2007）</w:t>
      </w:r>
    </w:p>
    <w:p w14:paraId="6B6D3A25">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终端计算机系统安全等级技术要求》（GA/T 671-2006）</w:t>
      </w:r>
    </w:p>
    <w:p w14:paraId="585C873D">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信息系统安全管理要求》（GB/T 20269-2006）</w:t>
      </w:r>
    </w:p>
    <w:p w14:paraId="70BD1B47">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《信息安全技术 信息系统安全工程管理要求》（GB/T 20282-2006）</w:t>
      </w:r>
    </w:p>
    <w:p w14:paraId="21CC771E">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GB/T 22080-2008/ISO/IEC 27001:2005《信息技术 安全技术 信息安全管理体系 要求》</w:t>
      </w:r>
    </w:p>
    <w:p w14:paraId="3C028B59">
      <w:pPr>
        <w:widowControl/>
        <w:numPr>
          <w:ilvl w:val="0"/>
          <w:numId w:val="24"/>
        </w:numPr>
        <w:autoSpaceDE w:val="0"/>
        <w:autoSpaceDN w:val="0"/>
        <w:spacing w:line="360" w:lineRule="auto"/>
        <w:ind w:left="420" w:leftChars="200"/>
        <w:jc w:val="left"/>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IATF《信息保障技术框架》</w:t>
      </w:r>
    </w:p>
    <w:p w14:paraId="48A899D1">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（3）设计原则</w:t>
      </w:r>
    </w:p>
    <w:p w14:paraId="0721C185">
      <w:pPr>
        <w:spacing w:line="360" w:lineRule="auto"/>
        <w:ind w:left="420"/>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方案设计遵照“分级保护、分层保护、分域保护、纵深防御、动态安全管理”的原则。</w:t>
      </w:r>
    </w:p>
    <w:p w14:paraId="3509AF95">
      <w:pPr>
        <w:pStyle w:val="6"/>
        <w:widowControl/>
        <w:spacing w:before="260" w:after="260"/>
        <w:ind w:left="0" w:firstLine="0"/>
        <w:rPr>
          <w:rFonts w:hint="eastAsia" w:ascii="宋体" w:hAnsi="宋体"/>
          <w:sz w:val="21"/>
          <w:szCs w:val="21"/>
        </w:rPr>
      </w:pPr>
      <w:bookmarkStart w:id="158" w:name="_Toc180265617"/>
      <w:r>
        <w:rPr>
          <w:rFonts w:hint="eastAsia" w:ascii="宋体" w:hAnsi="宋体"/>
          <w:sz w:val="21"/>
          <w:szCs w:val="21"/>
        </w:rPr>
        <w:t>系统安全三级等保建设方案</w:t>
      </w:r>
      <w:bookmarkEnd w:id="158"/>
    </w:p>
    <w:p w14:paraId="4FA1BDAC">
      <w:pPr>
        <w:pStyle w:val="7"/>
        <w:widowControl/>
        <w:spacing w:before="280" w:after="290"/>
        <w:ind w:left="0" w:firstLine="0"/>
        <w:rPr>
          <w:rFonts w:hint="eastAsia" w:ascii="宋体" w:hAnsi="宋体"/>
          <w:sz w:val="21"/>
          <w:szCs w:val="21"/>
        </w:rPr>
      </w:pPr>
      <w:r>
        <w:rPr>
          <w:rFonts w:hint="eastAsia" w:ascii="宋体" w:hAnsi="宋体"/>
          <w:sz w:val="21"/>
          <w:szCs w:val="21"/>
        </w:rPr>
        <w:t xml:space="preserve"> 安全需求分析</w:t>
      </w:r>
    </w:p>
    <w:p w14:paraId="0AF64176">
      <w:pPr>
        <w:spacing w:line="360" w:lineRule="auto"/>
        <w:ind w:left="420" w:firstLine="420" w:firstLineChars="200"/>
        <w:rPr>
          <w:rFonts w:hint="eastAsia" w:ascii="宋体" w:hAnsi="宋体" w:eastAsia="宋体"/>
          <w:color w:val="000000" w:themeColor="text1"/>
          <w:szCs w:val="21"/>
          <w:lang w:val="zh-CN"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按照国家标准《信息系统安全等级保护基本要求》，分别从网络、主机系统、应用安全、管理安全、物理安全等方面进行需求分析，具体分析内容如下。</w:t>
      </w:r>
    </w:p>
    <w:p w14:paraId="2439F468">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（1）网络安全分析</w:t>
      </w:r>
    </w:p>
    <w:p w14:paraId="5E61F785">
      <w:pPr>
        <w:spacing w:line="360" w:lineRule="auto"/>
        <w:ind w:left="420" w:firstLine="420" w:firstLineChars="200"/>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烟草行业生产经营管理一体化平台总体框架，平台的安全纳入总公司整体的网络安全保障体系中进行统一防护，由烟草局负责建设和维护，在通用安全防护基础上，针对本次建设系统的运行需求，重点围绕用户安全认证、权限控制、接口安全、数据应用、存储和传输安全等措施，加强系统安全性。</w:t>
      </w:r>
    </w:p>
    <w:p w14:paraId="6F619CEE">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（2）系统安全需求</w:t>
      </w:r>
    </w:p>
    <w:p w14:paraId="0ECE3AB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在系统安全方面，根据《信息系统安全等级保护基本要求》要求，分别对主机进行需求分析，现有主机安防护方面已经部署了防毒系统、系统补丁系统等，具体需求分析如下：</w:t>
      </w:r>
    </w:p>
    <w:p w14:paraId="18AF59D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平台所有的主机系统需要按照等级保护三级要求进行安全防护措施建设；</w:t>
      </w:r>
    </w:p>
    <w:p w14:paraId="1A1590E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在身份鉴别方面，需要配置服务器登陆失败处理功能，限制非法登陆次数；通过第三方安全设备远程管理服务器，防止鉴别信息在传输中被窃听；</w:t>
      </w:r>
    </w:p>
    <w:p w14:paraId="4863B51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在访问控制方面，需要根据业务需求为服务器创建不同用户，并分配不同权限；数据库管理员与系统管理员权限分离；</w:t>
      </w:r>
    </w:p>
    <w:p w14:paraId="3426494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在资源控制方面，需要配置防火墙访问策略，限定访问服务器用户的IP及端口；定时对服务器的资源使用情况信息进行收集、记录。</w:t>
      </w:r>
    </w:p>
    <w:p w14:paraId="3BD53B06">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（3）应用安全需求</w:t>
      </w:r>
    </w:p>
    <w:p w14:paraId="7E462B0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在应用安全方面，根据《信息系统安全等级保护基本要求》应用安全中的要求，对通信完整性、通信保密性、抗抵赖等方面进行加强。</w:t>
      </w:r>
    </w:p>
    <w:p w14:paraId="64EE4B5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项目管理系统等级为三级，所有的应用安全方面需要按照等级保护三级要求进行安全方面建设；</w:t>
      </w:r>
    </w:p>
    <w:p w14:paraId="24CD3CA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在通信完整性方面，需要在数据传输时，通过Hash函数（如MD5、SHA和MAC）对完整性进行校验。</w:t>
      </w:r>
    </w:p>
    <w:p w14:paraId="709D53D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在通信保密性方面，需要在通信双方建立会话之前，利用密码技术进行会话初始化验证（如SSL建立加密通道前利用密码技术进行会话初始验证）。</w:t>
      </w:r>
    </w:p>
    <w:p w14:paraId="5EA5881D">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在抗抵赖方面，需要通过证书技术，保证数据原发者或接收者能够提供数据原发证据。</w:t>
      </w:r>
    </w:p>
    <w:p w14:paraId="0F639EE0">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（4）物理安全需求</w:t>
      </w:r>
    </w:p>
    <w:p w14:paraId="7BD29EC9">
      <w:pPr>
        <w:pStyle w:val="122"/>
        <w:ind w:left="420" w:firstLine="480"/>
        <w:rPr>
          <w:rFonts w:hint="eastAsia" w:cs="宋体"/>
          <w:color w:val="000000" w:themeColor="text1"/>
          <w:sz w:val="21"/>
          <w:szCs w:val="21"/>
          <w:lang w:val="en-US" w:bidi="ar"/>
          <w14:textFill>
            <w14:solidFill>
              <w14:schemeClr w14:val="tx1"/>
            </w14:solidFill>
          </w14:textFill>
        </w:rPr>
      </w:pPr>
      <w:r>
        <w:rPr>
          <w:rFonts w:hint="eastAsia" w:cs="宋体"/>
          <w:color w:val="000000" w:themeColor="text1"/>
          <w:sz w:val="21"/>
          <w:szCs w:val="21"/>
          <w:lang w:val="en-US" w:bidi="ar"/>
          <w14:textFill>
            <w14:solidFill>
              <w14:schemeClr w14:val="tx1"/>
            </w14:solidFill>
          </w14:textFill>
        </w:rPr>
        <w:t>在物理安全方面，由于平台部署在行业云平台上，纳入总公司整体的网络安全保障体系中进行统一防护，机房的物理安全应该已经通过等级保护三级检测认证，因此暂不考虑。</w:t>
      </w:r>
    </w:p>
    <w:p w14:paraId="5A2273B0">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（5）管理安全需求</w:t>
      </w:r>
    </w:p>
    <w:p w14:paraId="76BD0BB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管理安全方面，根据《信息系统安全等级保护基本要求》管理要求中的内容，需要完善与安全技术措施相配套的风险分析与安全评估、安全证书与密钥管理、数据备份、安全监控与审计等制度，以及机构和人员管理等内容。</w:t>
      </w:r>
    </w:p>
    <w:p w14:paraId="4D775115">
      <w:pPr>
        <w:pStyle w:val="7"/>
        <w:widowControl/>
        <w:spacing w:before="280" w:after="290"/>
        <w:ind w:left="0" w:firstLine="0"/>
        <w:rPr>
          <w:rFonts w:hint="eastAsia" w:ascii="宋体" w:hAnsi="宋体"/>
          <w:sz w:val="21"/>
          <w:szCs w:val="21"/>
        </w:rPr>
      </w:pPr>
      <w:r>
        <w:rPr>
          <w:rFonts w:hint="eastAsia" w:ascii="宋体" w:hAnsi="宋体"/>
          <w:sz w:val="21"/>
          <w:szCs w:val="21"/>
        </w:rPr>
        <w:t xml:space="preserve"> 总体方案设计</w:t>
      </w:r>
    </w:p>
    <w:p w14:paraId="756E7827">
      <w:pPr>
        <w:spacing w:line="360" w:lineRule="auto"/>
        <w:ind w:firstLine="843" w:firstLineChars="4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（1）总体设计方法</w:t>
      </w:r>
    </w:p>
    <w:p w14:paraId="2A047518">
      <w:pPr>
        <w:spacing w:line="360" w:lineRule="auto"/>
        <w:ind w:left="420" w:firstLine="420" w:firstLineChars="200"/>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烟草行业生产经营管理一体化平台总体框架，纳入总公司整体的网络安全保障体系中进行统一防护。在通用安全防护基础上，针对系统运行需求，重点围绕用户安全认证、权限控制、接口安全、数据应用、存储和传输安全等措施，加强系统安全性。在平台建设过程中，按照“同步建设、同步安全保障”的原则设计信息安全方案，提高平台的防攻击、防篡改、防病毒、防瘫痪、防窃密能力，在管理和技术两个方面符合等级保护基本要求，切实提高平台的安全能保障能力。</w:t>
      </w:r>
    </w:p>
    <w:p w14:paraId="080CD63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本项目技术方案的总体设计方法为：</w:t>
      </w:r>
    </w:p>
    <w:p w14:paraId="7917F909">
      <w:pPr>
        <w:pStyle w:val="73"/>
        <w:numPr>
          <w:ilvl w:val="0"/>
          <w:numId w:val="25"/>
        </w:numPr>
        <w:autoSpaceDE w:val="0"/>
        <w:autoSpaceDN w:val="0"/>
        <w:spacing w:line="360" w:lineRule="auto"/>
        <w:ind w:firstLineChars="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分析并确定新建信息系统的需求和设计的关键点。</w:t>
      </w:r>
    </w:p>
    <w:p w14:paraId="3E8EA820">
      <w:pPr>
        <w:pStyle w:val="73"/>
        <w:numPr>
          <w:ilvl w:val="0"/>
          <w:numId w:val="25"/>
        </w:numPr>
        <w:autoSpaceDE w:val="0"/>
        <w:autoSpaceDN w:val="0"/>
        <w:spacing w:line="360" w:lineRule="auto"/>
        <w:ind w:firstLineChars="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建立并开发适合本项目的安全基线。</w:t>
      </w:r>
    </w:p>
    <w:p w14:paraId="1C016C3C">
      <w:pPr>
        <w:pStyle w:val="73"/>
        <w:numPr>
          <w:ilvl w:val="0"/>
          <w:numId w:val="25"/>
        </w:numPr>
        <w:autoSpaceDE w:val="0"/>
        <w:autoSpaceDN w:val="0"/>
        <w:spacing w:line="360" w:lineRule="auto"/>
        <w:ind w:firstLineChars="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根据本次方案设计的目标和业务特点进行安全需求分析。</w:t>
      </w:r>
    </w:p>
    <w:p w14:paraId="63FEC6AB">
      <w:pPr>
        <w:pStyle w:val="73"/>
        <w:numPr>
          <w:ilvl w:val="0"/>
          <w:numId w:val="25"/>
        </w:numPr>
        <w:autoSpaceDE w:val="0"/>
        <w:autoSpaceDN w:val="0"/>
        <w:spacing w:line="360" w:lineRule="auto"/>
        <w:ind w:firstLineChars="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根据安全需求进行项目的方案设计，即安全体系的整体设计。</w:t>
      </w:r>
    </w:p>
    <w:p w14:paraId="40186AF6">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b/>
          <w:bCs/>
          <w:color w:val="000000" w:themeColor="text1"/>
          <w:szCs w:val="21"/>
          <w:lang w:bidi="ar"/>
          <w14:textFill>
            <w14:solidFill>
              <w14:schemeClr w14:val="tx1"/>
            </w14:solidFill>
          </w14:textFill>
        </w:rPr>
        <w:t>（2）安全体系框架设计</w:t>
      </w:r>
    </w:p>
    <w:p w14:paraId="03CC2BDF">
      <w:pPr>
        <w:spacing w:line="360" w:lineRule="auto"/>
        <w:ind w:left="420" w:firstLine="48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 xml:space="preserve">根据《信息安全技术 信息系统安全等级保护基本要求》（GB/T 22239-2008），结合平台的设计方案，分别从安全管理体系和安全技术体系2个层面进行总体框架设计，具体设计内容如下： </w:t>
      </w:r>
    </w:p>
    <w:p w14:paraId="4ABBCEF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 安全管理体系</w:t>
      </w:r>
    </w:p>
    <w:p w14:paraId="21FEF7F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为满足等级保护基本要求，系统按照信息安全等级保护三级标准进行管理和执行。包括安全制度体系、安全组织结构、规范人员管理、规范系统建设管理等。</w:t>
      </w:r>
    </w:p>
    <w:p w14:paraId="4D7AFD8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 安全技术体系</w:t>
      </w:r>
    </w:p>
    <w:p w14:paraId="025D964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安全管理体系依据《信息安全技术 信息系统安全等级保护基本要求》（GB/T 22239-2008），从物理环境安全、网络安全、主机系统安全、应用安全、数据和系统备份、安全管理中心、应急响应、安全服务与评估等几个方面，逐一落实安全技术措施。通过选择和部署符合等级保护基本要求的安全产品，构建完善的安全技术保障体系。</w:t>
      </w:r>
    </w:p>
    <w:p w14:paraId="5B5B51B9">
      <w:pPr>
        <w:pStyle w:val="7"/>
        <w:widowControl/>
        <w:spacing w:before="280" w:after="290"/>
        <w:ind w:left="0" w:firstLine="0"/>
        <w:rPr>
          <w:rFonts w:hint="eastAsia" w:ascii="宋体" w:hAnsi="宋体"/>
          <w:sz w:val="21"/>
          <w:szCs w:val="21"/>
        </w:rPr>
      </w:pPr>
      <w:bookmarkStart w:id="159" w:name="_Toc419575693"/>
      <w:r>
        <w:rPr>
          <w:rFonts w:hint="eastAsia" w:ascii="宋体" w:hAnsi="宋体"/>
          <w:sz w:val="21"/>
          <w:szCs w:val="21"/>
        </w:rPr>
        <w:t xml:space="preserve"> 安全管理体系设计</w:t>
      </w:r>
      <w:bookmarkEnd w:id="159"/>
    </w:p>
    <w:p w14:paraId="595B12EE">
      <w:pPr>
        <w:spacing w:line="360" w:lineRule="auto"/>
        <w:ind w:left="420" w:firstLine="48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根据平台的设计方案，结合《信息安全技术 信息系统安全等级保护基本要求》（GB/T 22239-2008），按照等级保护三级基本要求对信息系统进行管理。因此管理体系设计应按照等级保护三级基本要求完善安全管理体系</w:t>
      </w:r>
      <w:r>
        <w:rPr>
          <w:rFonts w:hint="eastAsia" w:ascii="宋体" w:hAnsi="宋体" w:eastAsia="宋体" w:cs="宋体"/>
          <w:color w:val="000000" w:themeColor="text1"/>
          <w:szCs w:val="21"/>
          <w14:textFill>
            <w14:solidFill>
              <w14:schemeClr w14:val="tx1"/>
            </w14:solidFill>
          </w14:textFill>
        </w:rPr>
        <w:t>。</w:t>
      </w:r>
    </w:p>
    <w:p w14:paraId="15F21472">
      <w:pPr>
        <w:pStyle w:val="8"/>
        <w:widowControl/>
        <w:spacing w:line="360" w:lineRule="auto"/>
        <w:jc w:val="left"/>
        <w:rPr>
          <w:rFonts w:hint="eastAsia" w:ascii="宋体" w:hAnsi="宋体" w:eastAsia="宋体"/>
          <w:sz w:val="21"/>
          <w:szCs w:val="21"/>
        </w:rPr>
      </w:pPr>
      <w:bookmarkStart w:id="160" w:name="_Toc419575694"/>
      <w:r>
        <w:rPr>
          <w:rFonts w:hint="eastAsia" w:ascii="宋体" w:hAnsi="宋体" w:eastAsia="宋体"/>
          <w:sz w:val="21"/>
          <w:szCs w:val="21"/>
        </w:rPr>
        <w:t>信息安全方针及策略设计</w:t>
      </w:r>
      <w:bookmarkEnd w:id="160"/>
    </w:p>
    <w:p w14:paraId="0307270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完善平台的安全防护体系，不断提高信息系统的安全保障能力和防护水平，确保网络与信息系统的安全稳定运行，达到信息安全等级保护相关标准要求。信息安全必须为业务和信息系统服务，脱离业务和信息系统的安全也就失去了其真正的意义。保证实现业务服务和信息系统正常运行，进而使得业务信息系统安全、稳定并且持续运行，成为了信息安全保障体系建设的最根本使命。</w:t>
      </w:r>
    </w:p>
    <w:p w14:paraId="44718B5E">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（1）安全目标</w:t>
      </w:r>
    </w:p>
    <w:p w14:paraId="52FC5BB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保证业务信息和网络的机密性、完整性、可用性、和可保证性，确保整体达到信息系统第三级安全保护等级。</w:t>
      </w:r>
    </w:p>
    <w:p w14:paraId="365809D3">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（2）方针策略文件内容</w:t>
      </w:r>
    </w:p>
    <w:p w14:paraId="6A7DA4E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信息安全管理体系方针主要包括总体方针和分项策略两个方面内容，总体方针包括信息安全的基本架构，明确信息安全的根本目标、原则；分项策略从物理、网络、主机、数据、应用、建设和管理等层面分别阐述信息安全的目标和原则。</w:t>
      </w:r>
    </w:p>
    <w:p w14:paraId="712C86DD">
      <w:pPr>
        <w:pStyle w:val="8"/>
        <w:widowControl/>
        <w:spacing w:line="360" w:lineRule="auto"/>
        <w:jc w:val="left"/>
        <w:rPr>
          <w:rFonts w:hint="eastAsia" w:ascii="宋体" w:hAnsi="宋体" w:eastAsia="宋体"/>
          <w:sz w:val="21"/>
          <w:szCs w:val="21"/>
        </w:rPr>
      </w:pPr>
      <w:bookmarkStart w:id="161" w:name="_Toc419575695"/>
      <w:r>
        <w:rPr>
          <w:rFonts w:hint="eastAsia" w:ascii="宋体" w:hAnsi="宋体" w:eastAsia="宋体"/>
          <w:sz w:val="21"/>
          <w:szCs w:val="21"/>
        </w:rPr>
        <w:t>信息安全组织建设设计</w:t>
      </w:r>
      <w:bookmarkEnd w:id="161"/>
    </w:p>
    <w:p w14:paraId="543EAEA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根据根据《信息安全技术 信息系统安全等级保护基本要求》（GB/T 22239-2008），对现有信息安全管理组织架构进行完善，采用由主管领导牵头的信息安全领导小组+信息安全工作组的两级组织模式，具体信息安全职能部门负责日常工作。组织结构图如图所示。</w:t>
      </w:r>
    </w:p>
    <w:p w14:paraId="03BF9CA2">
      <w:pPr>
        <w:ind w:left="420" w:firstLine="48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0" distR="0">
            <wp:extent cx="4791075" cy="4533900"/>
            <wp:effectExtent l="0" t="0" r="9525" b="0"/>
            <wp:docPr id="13679" name="图片 1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 name="图片 13679"/>
                    <pic:cNvPicPr>
                      <a:picLocks noChangeAspect="1"/>
                    </pic:cNvPicPr>
                  </pic:nvPicPr>
                  <pic:blipFill>
                    <a:blip r:embed="rId130"/>
                    <a:stretch>
                      <a:fillRect/>
                    </a:stretch>
                  </pic:blipFill>
                  <pic:spPr>
                    <a:xfrm>
                      <a:off x="0" y="0"/>
                      <a:ext cx="4791075" cy="4533900"/>
                    </a:xfrm>
                    <a:prstGeom prst="rect">
                      <a:avLst/>
                    </a:prstGeom>
                  </pic:spPr>
                </pic:pic>
              </a:graphicData>
            </a:graphic>
          </wp:inline>
        </w:drawing>
      </w:r>
    </w:p>
    <w:p w14:paraId="68E8A367">
      <w:pPr>
        <w:pStyle w:val="16"/>
        <w:spacing w:before="156" w:after="156"/>
        <w:ind w:left="420" w:firstLine="40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组织架构图</w:t>
      </w:r>
    </w:p>
    <w:p w14:paraId="3FD19B3B">
      <w:pPr>
        <w:spacing w:line="360" w:lineRule="auto"/>
        <w:ind w:left="420" w:firstLine="422" w:firstLineChars="200"/>
        <w:rPr>
          <w:rFonts w:hint="eastAsia" w:ascii="宋体" w:hAnsi="宋体" w:eastAsia="宋体"/>
          <w:b/>
          <w:bCs/>
          <w:color w:val="000000" w:themeColor="text1"/>
          <w:szCs w:val="21"/>
          <w:lang w:bidi="ar"/>
          <w14:textFill>
            <w14:solidFill>
              <w14:schemeClr w14:val="tx1"/>
            </w14:solidFill>
          </w14:textFill>
        </w:rPr>
      </w:pPr>
      <w:r>
        <w:rPr>
          <w:rFonts w:hint="eastAsia" w:ascii="宋体" w:hAnsi="宋体" w:eastAsia="宋体" w:cs="宋体"/>
          <w:b/>
          <w:bCs/>
          <w:color w:val="000000" w:themeColor="text1"/>
          <w:szCs w:val="21"/>
          <w:lang w:bidi="ar"/>
          <w14:textFill>
            <w14:solidFill>
              <w14:schemeClr w14:val="tx1"/>
            </w14:solidFill>
          </w14:textFill>
        </w:rPr>
        <w:t>（1）信息安全领导小组职责</w:t>
      </w:r>
    </w:p>
    <w:p w14:paraId="673D0717">
      <w:pPr>
        <w:spacing w:line="360" w:lineRule="auto"/>
        <w:ind w:left="420"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领导小组是由主管领导牵头，各部门的负责人为组成成员的组织机构，主要负责批准安全策略、分配安全责任并协调安全策略能够实施，确保安全管理工作有一个明确的方向，从管理和决策层角度对信息安全管理提供支持。信息安全领导小组的主要责任如下：</w:t>
      </w:r>
    </w:p>
    <w:p w14:paraId="2B45E356">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确定网络与信息安全工作的总体方向、目标、总体原则和安全工作方法；</w:t>
      </w:r>
    </w:p>
    <w:p w14:paraId="332F15E3">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审查并批准政府的信息安全策略和安全责任；</w:t>
      </w:r>
    </w:p>
    <w:p w14:paraId="30676F6C">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分配和指导安全管理总体职责与工作；</w:t>
      </w:r>
    </w:p>
    <w:p w14:paraId="0B2A406E">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在网络与信息面临重大安全风险时，监督控制可能发生的重大变化；</w:t>
      </w:r>
    </w:p>
    <w:p w14:paraId="6EF6664B">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对安全管理的重大更改事项（例如：组织机构调整、关键人事变动、信息系统更改等）进行决策；</w:t>
      </w:r>
    </w:p>
    <w:p w14:paraId="7DBF3D22">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指挥、协调、督促并审查重大安全事件的处理，并协调改进措施；</w:t>
      </w:r>
    </w:p>
    <w:p w14:paraId="2C994527">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审核网络安全建设和管理的重要活动，如重要安全项目建设、 重要的安全管理措施出台等；</w:t>
      </w:r>
    </w:p>
    <w:p w14:paraId="0EFEB021">
      <w:pPr>
        <w:pStyle w:val="39"/>
        <w:widowControl/>
        <w:numPr>
          <w:ilvl w:val="0"/>
          <w:numId w:val="26"/>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定期组织相关部门和相关人员对安全管理制度体系的合理性和适用性进行审定。</w:t>
      </w:r>
    </w:p>
    <w:p w14:paraId="5BB795FD">
      <w:pPr>
        <w:spacing w:line="360" w:lineRule="auto"/>
        <w:ind w:left="420" w:firstLine="482"/>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（2）信息安全工作组职责</w:t>
      </w:r>
    </w:p>
    <w:p w14:paraId="2D01E700">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信息安全工作组是信息安全工作的日常执行机构，内设专职的安全管理组织和岗位，负责日常具体安全工作的落实、组织和协调。信息安全工作组的主要职责如下：</w:t>
      </w:r>
    </w:p>
    <w:p w14:paraId="3D07A78B">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贯彻执行和解释信息安全领导小组的决议；</w:t>
      </w:r>
    </w:p>
    <w:p w14:paraId="69B35057">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贯彻执行和解释国家主管机关下发的信息安全策略；</w:t>
      </w:r>
    </w:p>
    <w:p w14:paraId="1F1E196F">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负责组织和协调各类信息安全规划、方案、实施、测试和验收评审会议；</w:t>
      </w:r>
    </w:p>
    <w:p w14:paraId="60C28C84">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负责落实和执行各类信息安全具体工作，并对具体落实情况进行总结和汇报；</w:t>
      </w:r>
    </w:p>
    <w:p w14:paraId="229591F3">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负责内外部组织和机构的沟通、协调和合作工作；</w:t>
      </w:r>
    </w:p>
    <w:p w14:paraId="5F0CE3A1">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负责制定所有信息安全相关的管理制度和规范；</w:t>
      </w:r>
    </w:p>
    <w:p w14:paraId="0C8574DA">
      <w:pPr>
        <w:pStyle w:val="39"/>
        <w:widowControl/>
        <w:numPr>
          <w:ilvl w:val="1"/>
          <w:numId w:val="27"/>
        </w:numPr>
        <w:kinsoku w:val="0"/>
        <w:autoSpaceDE w:val="0"/>
        <w:autoSpaceDN w:val="0"/>
        <w:adjustRightInd w:val="0"/>
        <w:snapToGrid w:val="0"/>
        <w:spacing w:after="0" w:line="360" w:lineRule="auto"/>
        <w:ind w:left="420" w:leftChars="200" w:firstLine="420" w:firstLineChars="20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负责针对信息安全相关的理制度和规范具体落实工作进行监督、检查、考核、指导及审批，例如现有安全技术措施的有效性、安全配置与安全策略的一致性、安全管理制度的执行情况等。</w:t>
      </w:r>
    </w:p>
    <w:p w14:paraId="76E08F1B">
      <w:pPr>
        <w:spacing w:line="360" w:lineRule="auto"/>
        <w:ind w:left="420" w:firstLine="482"/>
        <w:rPr>
          <w:rFonts w:hint="eastAsia" w:ascii="宋体" w:hAnsi="宋体" w:eastAsia="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（3）信息安全岗位</w:t>
      </w:r>
    </w:p>
    <w:p w14:paraId="1FDEFCB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为了有效落实信息安全各项工作，设立以下专职的安全岗位，负责安全工作的落实和和执行：</w:t>
      </w:r>
    </w:p>
    <w:p w14:paraId="4890CBC5">
      <w:pPr>
        <w:pStyle w:val="39"/>
        <w:widowControl/>
        <w:numPr>
          <w:ilvl w:val="0"/>
          <w:numId w:val="28"/>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信息安全工作组主管</w:t>
      </w:r>
    </w:p>
    <w:p w14:paraId="75E62A9E">
      <w:pPr>
        <w:pStyle w:val="39"/>
        <w:kinsoku w:val="0"/>
        <w:autoSpaceDE w:val="0"/>
        <w:autoSpaceDN w:val="0"/>
        <w:adjustRightInd w:val="0"/>
        <w:snapToGrid w:val="0"/>
        <w:spacing w:after="0" w:line="360" w:lineRule="auto"/>
        <w:ind w:left="420" w:firstLineChars="200"/>
        <w:textAlignment w:val="baseline"/>
        <w:rPr>
          <w:rFonts w:hint="eastAsia" w:ascii="宋体" w:hAnsi="宋体" w:eastAsia="宋体" w:cs="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负责网络与信息安全的日常整体协调、管理工作；</w:t>
      </w:r>
    </w:p>
    <w:p w14:paraId="19FDD860">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负责组织人员制定信息安全管理制度，并对管理制度进行推广、培训和指导；</w:t>
      </w:r>
    </w:p>
    <w:p w14:paraId="3A62A0C9">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负责重大安全事件的具体协调和沟通工作。</w:t>
      </w:r>
    </w:p>
    <w:p w14:paraId="74BF048D">
      <w:pPr>
        <w:pStyle w:val="39"/>
        <w:widowControl/>
        <w:numPr>
          <w:ilvl w:val="0"/>
          <w:numId w:val="29"/>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安全管理员岗位</w:t>
      </w:r>
    </w:p>
    <w:p w14:paraId="5F1E84A4">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负责执行网络与信息安全工作的日常协调、管理工作；</w:t>
      </w:r>
    </w:p>
    <w:p w14:paraId="30D36551">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负责日常的安全监控管理，并对上报和发现的各类安全事件进行响应；</w:t>
      </w:r>
    </w:p>
    <w:p w14:paraId="38E290D2">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负责系统、网络和应用安全管理的协调和技术指导；</w:t>
      </w:r>
    </w:p>
    <w:p w14:paraId="66DA8B33">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负责安全管理平台安全策略制定，访问控制策略审核；</w:t>
      </w:r>
    </w:p>
    <w:p w14:paraId="691B053B">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负责组织安全管理制度的推广和培训工作；</w:t>
      </w:r>
    </w:p>
    <w:p w14:paraId="4CA4A33E">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负责定期进行安全检查，检查内容包括系统日常运行、系统漏洞和数据备份等情况。</w:t>
      </w:r>
    </w:p>
    <w:p w14:paraId="63175032">
      <w:pPr>
        <w:pStyle w:val="39"/>
        <w:widowControl/>
        <w:numPr>
          <w:ilvl w:val="0"/>
          <w:numId w:val="30"/>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安全审计员岗位</w:t>
      </w:r>
    </w:p>
    <w:p w14:paraId="106C83BB">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负责安全管理制度落实情况的检查、监督和指导；</w:t>
      </w:r>
    </w:p>
    <w:p w14:paraId="2E065030">
      <w:pPr>
        <w:autoSpaceDE w:val="0"/>
        <w:autoSpaceDN w:val="0"/>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负责安全策略执行情况的审核。</w:t>
      </w:r>
    </w:p>
    <w:p w14:paraId="433EFE34">
      <w:pPr>
        <w:pStyle w:val="39"/>
        <w:widowControl/>
        <w:numPr>
          <w:ilvl w:val="0"/>
          <w:numId w:val="31"/>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系统管理员</w:t>
      </w:r>
    </w:p>
    <w:p w14:paraId="62AAF6A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负责系统安全稳定运行的日常管理工作；</w:t>
      </w:r>
    </w:p>
    <w:p w14:paraId="53C4E50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负责保持系统的防病毒系统、补丁等保持最新，定期对系统进行安全加固，保持系统漏洞最小化。</w:t>
      </w:r>
    </w:p>
    <w:p w14:paraId="4393AD50">
      <w:pPr>
        <w:pStyle w:val="39"/>
        <w:widowControl/>
        <w:numPr>
          <w:ilvl w:val="0"/>
          <w:numId w:val="32"/>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网络管理员</w:t>
      </w:r>
    </w:p>
    <w:p w14:paraId="136CB97F">
      <w:pPr>
        <w:autoSpaceDE w:val="0"/>
        <w:autoSpaceDN w:val="0"/>
        <w:spacing w:line="360" w:lineRule="auto"/>
        <w:ind w:left="42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负责网络设备安全稳定运行的日常管理工作；</w:t>
      </w:r>
    </w:p>
    <w:p w14:paraId="4D14F209">
      <w:pPr>
        <w:autoSpaceDE w:val="0"/>
        <w:autoSpaceDN w:val="0"/>
        <w:spacing w:line="360" w:lineRule="auto"/>
        <w:ind w:left="42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负责保持网络设备的漏洞最小化，定期对系统进行安全加固；</w:t>
      </w:r>
    </w:p>
    <w:p w14:paraId="37962640">
      <w:pPr>
        <w:autoSpaceDE w:val="0"/>
        <w:autoSpaceDN w:val="0"/>
        <w:spacing w:line="360" w:lineRule="auto"/>
        <w:ind w:left="42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负责保持网络路由和交换策略与业务需求保护一致。</w:t>
      </w:r>
    </w:p>
    <w:p w14:paraId="16463D12">
      <w:pPr>
        <w:pStyle w:val="39"/>
        <w:widowControl/>
        <w:numPr>
          <w:ilvl w:val="0"/>
          <w:numId w:val="32"/>
        </w:numPr>
        <w:kinsoku w:val="0"/>
        <w:autoSpaceDE w:val="0"/>
        <w:autoSpaceDN w:val="0"/>
        <w:adjustRightInd w:val="0"/>
        <w:snapToGrid w:val="0"/>
        <w:spacing w:after="0" w:line="360" w:lineRule="auto"/>
        <w:ind w:leftChars="200" w:firstLineChars="0"/>
        <w:jc w:val="left"/>
        <w:textAlignment w:val="baseline"/>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专家顾问与外部协作</w:t>
      </w:r>
    </w:p>
    <w:p w14:paraId="1FA18A85">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聘请专家和外部顾问成员，这些成员需要对信息安全或相关领域有丰富地知识和经验，如安全技术、等级保护或质量管理等。专家和外部顾问负责对信息安全重要问题的决策提供咨询和建议。同时应加强与供应商、业界专家、专业的安全咨询公司等安全组织的合作与沟通。</w:t>
      </w:r>
    </w:p>
    <w:p w14:paraId="134BE5E3">
      <w:pPr>
        <w:pStyle w:val="8"/>
        <w:widowControl/>
        <w:spacing w:line="360" w:lineRule="auto"/>
        <w:jc w:val="left"/>
        <w:rPr>
          <w:rFonts w:hint="eastAsia" w:ascii="宋体" w:hAnsi="宋体" w:eastAsia="宋体"/>
          <w:sz w:val="21"/>
          <w:szCs w:val="21"/>
        </w:rPr>
      </w:pPr>
      <w:bookmarkStart w:id="162" w:name="_Toc419575696"/>
      <w:r>
        <w:rPr>
          <w:rFonts w:hint="eastAsia" w:ascii="宋体" w:hAnsi="宋体" w:eastAsia="宋体"/>
          <w:sz w:val="21"/>
          <w:szCs w:val="21"/>
        </w:rPr>
        <w:t>安全管理制度设计</w:t>
      </w:r>
      <w:bookmarkEnd w:id="162"/>
    </w:p>
    <w:p w14:paraId="61BEF99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（1）安全管理制度体系结构</w:t>
      </w:r>
    </w:p>
    <w:p w14:paraId="76795A8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根据等级保护在信息安全管理方面的要求和GB/T 22080-2008 《信息技术 安全技术 信息安全管理体系要求》，结合公司现有的信息安全管理现状，设计公司信息安全管理策略体系文件，信息安全管理体系策略框架主要包括方针、策略，制度、规范、程序和管理办法、细则、操作指南和手册，记录和表单组成。其具体的安全管理体系文件结构如下图所示：</w:t>
      </w:r>
    </w:p>
    <w:p w14:paraId="289232D3">
      <w:pPr>
        <w:ind w:left="420"/>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0" distR="0">
            <wp:extent cx="5267325" cy="2924175"/>
            <wp:effectExtent l="0" t="0" r="9525" b="9525"/>
            <wp:docPr id="13680" name="对象 2"/>
            <wp:cNvGraphicFramePr/>
            <a:graphic xmlns:a="http://schemas.openxmlformats.org/drawingml/2006/main">
              <a:graphicData uri="http://schemas.openxmlformats.org/drawingml/2006/picture">
                <pic:pic xmlns:pic="http://schemas.openxmlformats.org/drawingml/2006/picture">
                  <pic:nvPicPr>
                    <pic:cNvPr id="13680" name="对象 2"/>
                    <pic:cNvPicPr>
                      <a:picLocks noChangeArrowheads="1"/>
                    </pic:cNvPicPr>
                  </pic:nvPicPr>
                  <pic:blipFill>
                    <a:blip r:embed="rId131" cstate="print"/>
                    <a:srcRect l="-766" t="-2586" b="-674"/>
                    <a:stretch>
                      <a:fillRect/>
                    </a:stretch>
                  </pic:blipFill>
                  <pic:spPr>
                    <a:xfrm>
                      <a:off x="0" y="0"/>
                      <a:ext cx="5267325" cy="2924175"/>
                    </a:xfrm>
                    <a:prstGeom prst="rect">
                      <a:avLst/>
                    </a:prstGeom>
                    <a:noFill/>
                    <a:ln w="9525">
                      <a:noFill/>
                      <a:miter lim="800000"/>
                      <a:headEnd/>
                      <a:tailEnd/>
                    </a:ln>
                  </pic:spPr>
                </pic:pic>
              </a:graphicData>
            </a:graphic>
          </wp:inline>
        </w:drawing>
      </w:r>
    </w:p>
    <w:p w14:paraId="0BB49D66">
      <w:pPr>
        <w:pStyle w:val="16"/>
        <w:spacing w:before="156" w:after="156"/>
        <w:ind w:left="42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信息安全管理体系文档结构图</w:t>
      </w:r>
    </w:p>
    <w:p w14:paraId="2B07163E">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bookmarkStart w:id="163" w:name="_Toc299628769"/>
      <w:bookmarkStart w:id="164" w:name="_Toc325392875"/>
      <w:r>
        <w:rPr>
          <w:rFonts w:hint="eastAsia" w:ascii="宋体" w:hAnsi="宋体" w:eastAsia="宋体" w:cs="宋体"/>
          <w:color w:val="000000" w:themeColor="text1"/>
          <w:szCs w:val="21"/>
          <w:lang w:bidi="ar"/>
          <w14:textFill>
            <w14:solidFill>
              <w14:schemeClr w14:val="tx1"/>
            </w14:solidFill>
          </w14:textFill>
        </w:rPr>
        <w:t>（2）安全管理制度制定</w:t>
      </w:r>
      <w:bookmarkEnd w:id="163"/>
      <w:bookmarkEnd w:id="164"/>
    </w:p>
    <w:p w14:paraId="49ED073D">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等级保护的基本要求，按照以上策略结构图所示，结合公司信息安全管理制度的建立情况，形成由总体方针、安全策略、管理制度、操作规程构成的全面的信息安全管理制度体系文件。根据相关的系统的编制系统操作手册，用于指导管理人员和操作人员执行日常管理操作。</w:t>
      </w:r>
    </w:p>
    <w:p w14:paraId="253B8A46">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安全管理制度评审和修订方面，根据实际情况，对安全管理制度的流程方便性、制度合理性等情况进行不定期的检查和审定，主要通过收集各下属单位的意见等方式，最终由信息中心负责修订，修订情况记录在各项安全管理制度的附则中。</w:t>
      </w:r>
    </w:p>
    <w:p w14:paraId="78347478">
      <w:pPr>
        <w:pStyle w:val="7"/>
        <w:widowControl/>
        <w:spacing w:before="280" w:after="290"/>
        <w:ind w:left="0" w:firstLine="0"/>
        <w:rPr>
          <w:rFonts w:hint="eastAsia" w:ascii="宋体" w:hAnsi="宋体"/>
          <w:sz w:val="21"/>
          <w:szCs w:val="21"/>
        </w:rPr>
      </w:pPr>
      <w:bookmarkStart w:id="165" w:name="_Toc419575698"/>
      <w:r>
        <w:rPr>
          <w:rFonts w:hint="eastAsia" w:ascii="宋体" w:hAnsi="宋体"/>
          <w:sz w:val="21"/>
          <w:szCs w:val="21"/>
        </w:rPr>
        <w:t>安全技术体系设计</w:t>
      </w:r>
      <w:bookmarkEnd w:id="165"/>
    </w:p>
    <w:p w14:paraId="0F652605">
      <w:pPr>
        <w:spacing w:line="360" w:lineRule="auto"/>
        <w:ind w:left="420" w:firstLine="48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22239-2008），结合平台设计方案，分别从物理环境安全、网络安全、系统安全、应用安全、安全管理中心等几个方面进行安全方案设计，保证平台的整体安全性。</w:t>
      </w:r>
    </w:p>
    <w:p w14:paraId="36703C33">
      <w:pPr>
        <w:pStyle w:val="8"/>
        <w:widowControl/>
        <w:spacing w:line="360" w:lineRule="auto"/>
        <w:jc w:val="left"/>
        <w:rPr>
          <w:rFonts w:hint="eastAsia" w:ascii="宋体" w:hAnsi="宋体" w:eastAsia="宋体"/>
          <w:sz w:val="21"/>
          <w:szCs w:val="21"/>
        </w:rPr>
      </w:pPr>
      <w:bookmarkStart w:id="166" w:name="_Toc419575699"/>
      <w:r>
        <w:rPr>
          <w:rFonts w:hint="eastAsia" w:ascii="宋体" w:hAnsi="宋体" w:eastAsia="宋体"/>
          <w:sz w:val="21"/>
          <w:szCs w:val="21"/>
        </w:rPr>
        <w:t>物理环境安全设计</w:t>
      </w:r>
      <w:bookmarkEnd w:id="166"/>
    </w:p>
    <w:p w14:paraId="0AC234B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 xml:space="preserve">根据设计方案，此平台所涉及的网络、服务器等硬件设备纳入总公司整体的网络安全保障体系中进行统一防护，根据《信息安全技术 信息系统安全等级保护基本要求》（GB/T 22239-2008）在物理安全方面的要求，结合烟草现有机房的安全防护措施现状，在物理环境安全方面暂不考虑。 </w:t>
      </w:r>
    </w:p>
    <w:p w14:paraId="576D0F32">
      <w:pPr>
        <w:pStyle w:val="8"/>
        <w:widowControl/>
        <w:spacing w:line="360" w:lineRule="auto"/>
        <w:jc w:val="left"/>
        <w:rPr>
          <w:rFonts w:hint="eastAsia" w:ascii="宋体" w:hAnsi="宋体" w:eastAsia="宋体"/>
          <w:sz w:val="21"/>
          <w:szCs w:val="21"/>
        </w:rPr>
      </w:pPr>
      <w:bookmarkStart w:id="167" w:name="_Toc419575700"/>
      <w:r>
        <w:rPr>
          <w:rFonts w:hint="eastAsia" w:ascii="宋体" w:hAnsi="宋体" w:eastAsia="宋体"/>
          <w:sz w:val="21"/>
          <w:szCs w:val="21"/>
        </w:rPr>
        <w:t>网络安全防护设计</w:t>
      </w:r>
      <w:bookmarkEnd w:id="167"/>
    </w:p>
    <w:p w14:paraId="0DECCC4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22239-2008），结合平台的设计方案，分别从网络安全区域划分、网络边界安全、网络入侵防御、网络通信安全、网络安全审计等方面进行设计，具体设计内容如下：</w:t>
      </w:r>
    </w:p>
    <w:p w14:paraId="506594D6">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68" w:name="_Toc419575701"/>
      <w:r>
        <w:rPr>
          <w:rFonts w:hint="eastAsia" w:ascii="宋体" w:hAnsi="宋体" w:eastAsia="宋体" w:cs="宋体"/>
          <w:b/>
          <w:bCs/>
          <w:color w:val="000000" w:themeColor="text1"/>
          <w:szCs w:val="21"/>
          <w:lang w:bidi="ar"/>
          <w14:textFill>
            <w14:solidFill>
              <w14:schemeClr w14:val="tx1"/>
            </w14:solidFill>
          </w14:textFill>
        </w:rPr>
        <w:t>（1）网络安全区域设计</w:t>
      </w:r>
      <w:bookmarkEnd w:id="168"/>
    </w:p>
    <w:p w14:paraId="640BB5C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22239-2008），结合平台业务使用情况，在物理和逻辑上分别划分多个安全区域。</w:t>
      </w:r>
    </w:p>
    <w:p w14:paraId="304A4E11">
      <w:pPr>
        <w:ind w:left="42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drawing>
          <wp:inline distT="0" distB="0" distL="0" distR="0">
            <wp:extent cx="5274310" cy="3071495"/>
            <wp:effectExtent l="0" t="0" r="2540" b="14605"/>
            <wp:docPr id="13681" name="图片 1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 name="图片 13681"/>
                    <pic:cNvPicPr>
                      <a:picLocks noChangeAspect="1"/>
                    </pic:cNvPicPr>
                  </pic:nvPicPr>
                  <pic:blipFill>
                    <a:blip r:embed="rId132"/>
                    <a:stretch>
                      <a:fillRect/>
                    </a:stretch>
                  </pic:blipFill>
                  <pic:spPr>
                    <a:xfrm>
                      <a:off x="0" y="0"/>
                      <a:ext cx="5274310" cy="3071495"/>
                    </a:xfrm>
                    <a:prstGeom prst="rect">
                      <a:avLst/>
                    </a:prstGeom>
                  </pic:spPr>
                </pic:pic>
              </a:graphicData>
            </a:graphic>
          </wp:inline>
        </w:drawing>
      </w:r>
    </w:p>
    <w:p w14:paraId="2DA1BECA">
      <w:pPr>
        <w:pStyle w:val="16"/>
        <w:spacing w:before="156" w:after="156"/>
        <w:ind w:left="42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网络区域设计</w:t>
      </w:r>
    </w:p>
    <w:p w14:paraId="3121125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生产环境与测试环境进行分离。</w:t>
      </w:r>
    </w:p>
    <w:p w14:paraId="5CC96DF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应用区：应用服务跟据业务不同纺织在不同区域。</w:t>
      </w:r>
    </w:p>
    <w:p w14:paraId="368C9F2E">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数据区：所有数据库部署在此区域。</w:t>
      </w:r>
    </w:p>
    <w:p w14:paraId="4BC38A9E">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在网络设计时，将在IP地址划分、VLAN技术的使用和路由访问策略等方面考虑安全要求，阻断未经身份认证的用户进入外联层，阻断一般用户进入数据核心层。</w:t>
      </w:r>
    </w:p>
    <w:p w14:paraId="27A9A03F">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69" w:name="_Toc419575703"/>
      <w:r>
        <w:rPr>
          <w:rFonts w:hint="eastAsia" w:ascii="宋体" w:hAnsi="宋体" w:eastAsia="宋体" w:cs="宋体"/>
          <w:b/>
          <w:bCs/>
          <w:color w:val="000000" w:themeColor="text1"/>
          <w:szCs w:val="21"/>
          <w:lang w:bidi="ar"/>
          <w14:textFill>
            <w14:solidFill>
              <w14:schemeClr w14:val="tx1"/>
            </w14:solidFill>
          </w14:textFill>
        </w:rPr>
        <w:t>（2）网络入侵防御设计</w:t>
      </w:r>
      <w:bookmarkEnd w:id="169"/>
    </w:p>
    <w:p w14:paraId="31756A5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信息安全管理平台的设计方案，在网络边界采用烟草行业云平台现有的入侵防御（IPS）和入侵检测（IDS）设备，在外网接入区、内网接入区设备与防火墙之间部署入侵防御设备，对来自互联网、移动网络的攻击行为进行检测和监视，具体攻击行为包括：端口扫描、强力攻击、木马后门攻击、拒绝服务攻击、缓冲区溢出攻击、IP碎片攻击和网络蠕虫攻击等，并对检测的结果进行记录和报警。</w:t>
      </w:r>
    </w:p>
    <w:p w14:paraId="007DD3E5">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0" w:name="_Toc419575704"/>
      <w:r>
        <w:rPr>
          <w:rFonts w:hint="eastAsia" w:ascii="宋体" w:hAnsi="宋体" w:eastAsia="宋体" w:cs="宋体"/>
          <w:b/>
          <w:bCs/>
          <w:color w:val="000000" w:themeColor="text1"/>
          <w:szCs w:val="21"/>
          <w:lang w:bidi="ar"/>
          <w14:textFill>
            <w14:solidFill>
              <w14:schemeClr w14:val="tx1"/>
            </w14:solidFill>
          </w14:textFill>
        </w:rPr>
        <w:t>（3）网络通信安全设计</w:t>
      </w:r>
      <w:bookmarkEnd w:id="170"/>
    </w:p>
    <w:p w14:paraId="76369975">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承载业务的要求，通过身份鉴别服务、访问控制、数据完整性、数据保密和抗抵赖等技术措施实现不同安全域的信息安全交换，保证项目信息管理平台中信息内容在存取、处理和传输中，保持其机密性、完整性和可用性。</w:t>
      </w:r>
    </w:p>
    <w:p w14:paraId="27AA1039">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在网络设备运维方面，在安全管理中心，部署堡垒主机，通过堡垒主机对网络设备、安全设备进行远程管理，对设备进行身份认证、加密传输管理等。</w:t>
      </w:r>
    </w:p>
    <w:p w14:paraId="423D1D52">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1" w:name="_Toc419575705"/>
      <w:r>
        <w:rPr>
          <w:rFonts w:hint="eastAsia" w:ascii="宋体" w:hAnsi="宋体" w:eastAsia="宋体" w:cs="宋体"/>
          <w:b/>
          <w:bCs/>
          <w:color w:val="000000" w:themeColor="text1"/>
          <w:szCs w:val="21"/>
          <w:lang w:bidi="ar"/>
          <w14:textFill>
            <w14:solidFill>
              <w14:schemeClr w14:val="tx1"/>
            </w14:solidFill>
          </w14:textFill>
        </w:rPr>
        <w:t>（4）网络安全审计设计</w:t>
      </w:r>
      <w:bookmarkEnd w:id="171"/>
    </w:p>
    <w:p w14:paraId="3D9A989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承载业务的要求，通过大数据、态势感知对网络行为进行审计，通过网络安全审计服务器对网络系统中的网络设备运行状况、网络流量、用户行为等进行日志记录，审计记录应包括事件的日期和时间、用户、事件类型、事件是否成功及其他与审计相关的信息。</w:t>
      </w:r>
    </w:p>
    <w:p w14:paraId="6EDDF0B0">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2" w:name="_Toc419575706"/>
      <w:r>
        <w:rPr>
          <w:rFonts w:hint="eastAsia" w:ascii="宋体" w:hAnsi="宋体" w:eastAsia="宋体" w:cs="宋体"/>
          <w:b/>
          <w:bCs/>
          <w:color w:val="000000" w:themeColor="text1"/>
          <w:szCs w:val="21"/>
          <w:lang w:bidi="ar"/>
          <w14:textFill>
            <w14:solidFill>
              <w14:schemeClr w14:val="tx1"/>
            </w14:solidFill>
          </w14:textFill>
        </w:rPr>
        <w:t>（5）网络设备自身安全设计</w:t>
      </w:r>
      <w:bookmarkEnd w:id="172"/>
    </w:p>
    <w:p w14:paraId="5367837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22239-2008），结合平台承载业务的要求，通过人工对网络设备进行设备自身安全策略配置，配置内容如下：</w:t>
      </w:r>
    </w:p>
    <w:p w14:paraId="452BBCC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关闭路由器、交换机、防火墙、IDS的telnet服务，启用安全的管理服务，如SSH和https。部分不支持SSH的交换机应在交换机上限制可telnet远程管理的用户地址。</w:t>
      </w:r>
    </w:p>
    <w:p w14:paraId="39F5255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修改网络设备出厂时的默认口令，且修改后的口令应满足长度大于等于8位、含字母数字和字符的强度要求。IDS验收后，需及时修改口令；交换机需修改其SNMP口令串；防火墙口令应满足口令强度要求。开启路由器、交换机、IDS和防火墙等设备的日志审计功能，并配置日志服务器保存路由器、交换机、IDS和防火墙的日志信息。</w:t>
      </w:r>
    </w:p>
    <w:p w14:paraId="0CA70DD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对IDS管理服务器地址和登录设置访问控制。在交换机和防火墙上配置访问控制策略，限制仅管理员用户可进行管理和登录。交换机上配置访问控制策略ACL，限定仅管理员用户可进行管理和登录IDS服务器；在防火墙上设置策略限制可访问IDS的用户策略。通过交换机和防火墙的策略设置，限制IDS的管理员登录地址。优化防火墙上的访问控制策略粒度，使其从现在的网段级调整为单个用户级。</w:t>
      </w:r>
    </w:p>
    <w:p w14:paraId="7FC9EB2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设置网络设备的用户口令满足一定的强度、长度和复杂度，长度不得小于8位字符串，要求是字母和数字或特殊字符的混合，用户名和口令禁止相同。</w:t>
      </w:r>
    </w:p>
    <w:p w14:paraId="004E59E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限制同一用户连续失败登录网络设备的次数。</w:t>
      </w:r>
    </w:p>
    <w:p w14:paraId="58DB078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开启网络设备登录失败处理功能、限制非法登录次数、当网络登录连接超时时自动退出等措施。</w:t>
      </w:r>
    </w:p>
    <w:p w14:paraId="65BD5489">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7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⑦</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在交换机上限制网络最大流量数及网络连接数。</w:t>
      </w:r>
    </w:p>
    <w:p w14:paraId="2B60E95B">
      <w:pPr>
        <w:pStyle w:val="8"/>
        <w:widowControl/>
        <w:spacing w:line="360" w:lineRule="auto"/>
        <w:jc w:val="left"/>
        <w:rPr>
          <w:rFonts w:hint="eastAsia" w:ascii="宋体" w:hAnsi="宋体" w:eastAsia="宋体"/>
          <w:sz w:val="21"/>
          <w:szCs w:val="21"/>
        </w:rPr>
      </w:pPr>
      <w:bookmarkStart w:id="173" w:name="_Toc419575707"/>
      <w:r>
        <w:rPr>
          <w:rFonts w:hint="eastAsia" w:ascii="宋体" w:hAnsi="宋体" w:eastAsia="宋体"/>
          <w:sz w:val="21"/>
          <w:szCs w:val="21"/>
        </w:rPr>
        <w:t>系统安全设计</w:t>
      </w:r>
      <w:bookmarkEnd w:id="173"/>
    </w:p>
    <w:p w14:paraId="3FE51CE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22239-2008）在主机方面的要求，结合平台的设计方案，分别从病毒和恶意代码防治、漏洞检测和安全评估系统、主机系统加固、数据库审计等方面进行设计。</w:t>
      </w:r>
    </w:p>
    <w:p w14:paraId="5391AEE4">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4" w:name="_Toc419575708"/>
      <w:r>
        <w:rPr>
          <w:rFonts w:hint="eastAsia" w:ascii="宋体" w:hAnsi="宋体" w:eastAsia="宋体" w:cs="宋体"/>
          <w:b/>
          <w:bCs/>
          <w:color w:val="000000" w:themeColor="text1"/>
          <w:szCs w:val="21"/>
          <w:lang w:bidi="ar"/>
          <w14:textFill>
            <w14:solidFill>
              <w14:schemeClr w14:val="tx1"/>
            </w14:solidFill>
          </w14:textFill>
        </w:rPr>
        <w:t>（1）病毒恶意代码防治设计</w:t>
      </w:r>
      <w:bookmarkEnd w:id="174"/>
    </w:p>
    <w:p w14:paraId="16EF41C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结合平台的设计方案，防病毒措施主要包括管理和技术两方面。管理上通过制定一套严格的规章制度，从日常管理上堵住病毒流入和传播的途径。在技术上利用原有网络防病毒软件相结合的方式，及时将病毒清除或者阻断。网络病毒防治体系应该形成统一的整体。</w:t>
      </w:r>
    </w:p>
    <w:p w14:paraId="73BB9781">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5" w:name="_Toc419575709"/>
      <w:r>
        <w:rPr>
          <w:rFonts w:hint="eastAsia" w:ascii="宋体" w:hAnsi="宋体" w:eastAsia="宋体" w:cs="宋体"/>
          <w:b/>
          <w:bCs/>
          <w:color w:val="000000" w:themeColor="text1"/>
          <w:szCs w:val="21"/>
          <w:lang w:bidi="ar"/>
          <w14:textFill>
            <w14:solidFill>
              <w14:schemeClr w14:val="tx1"/>
            </w14:solidFill>
          </w14:textFill>
        </w:rPr>
        <w:t>（2）主机系统安全加固设计</w:t>
      </w:r>
      <w:bookmarkEnd w:id="175"/>
    </w:p>
    <w:p w14:paraId="7EB027B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22239-2008）在主机方面的要求，对关键主机系统进行安全加固，其加固内容如下：</w:t>
      </w:r>
    </w:p>
    <w:p w14:paraId="46F1BC3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超级用户的权限控制：采用权限分离的安全策略，限制超级用户的权利，降低系统的安全风险。</w:t>
      </w:r>
    </w:p>
    <w:p w14:paraId="42CDED6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增强的系统资源访问控制：用户只能在安全策略规定的设备上和时间内才能访问主机资源。</w:t>
      </w:r>
    </w:p>
    <w:p w14:paraId="711A8D4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访问权限细化：根据用户身份对资源访问开放相对应的权限控制。</w:t>
      </w:r>
    </w:p>
    <w:p w14:paraId="22AB6B8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安全级别划分：对信息和用户都定义安全级别，用户只可能访问同等安全级或低安全级的资源（包括文件、设备等）。</w:t>
      </w:r>
    </w:p>
    <w:p w14:paraId="25483E6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进程和服务的保护：主动保护系统进程和关键进程不被恶意中断。</w:t>
      </w:r>
    </w:p>
    <w:p w14:paraId="5F8EF000">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加强的系统口令管理机制：通过强制性的口令更改机制和复杂度要求，减少攻击口令机制的成功率。</w:t>
      </w:r>
    </w:p>
    <w:p w14:paraId="099A102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7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⑦</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有效的主机访问审计：完整的系统活动审计记录有助于对安全行为的分析和行为追踪，提高安全震慑能力和恢复能力。</w:t>
      </w:r>
    </w:p>
    <w:p w14:paraId="7669C3E9">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6" w:name="_Toc419575710"/>
      <w:r>
        <w:rPr>
          <w:rFonts w:hint="eastAsia" w:ascii="宋体" w:hAnsi="宋体" w:eastAsia="宋体" w:cs="宋体"/>
          <w:b/>
          <w:bCs/>
          <w:color w:val="000000" w:themeColor="text1"/>
          <w:szCs w:val="21"/>
          <w:lang w:bidi="ar"/>
          <w14:textFill>
            <w14:solidFill>
              <w14:schemeClr w14:val="tx1"/>
            </w14:solidFill>
          </w14:textFill>
        </w:rPr>
        <w:t>（</w:t>
      </w:r>
      <w:r>
        <w:rPr>
          <w:rFonts w:ascii="宋体" w:hAnsi="宋体" w:eastAsia="宋体" w:cs="宋体"/>
          <w:b/>
          <w:bCs/>
          <w:color w:val="000000" w:themeColor="text1"/>
          <w:szCs w:val="21"/>
          <w:lang w:bidi="ar"/>
          <w14:textFill>
            <w14:solidFill>
              <w14:schemeClr w14:val="tx1"/>
            </w14:solidFill>
          </w14:textFill>
        </w:rPr>
        <w:t>3</w:t>
      </w:r>
      <w:r>
        <w:rPr>
          <w:rFonts w:hint="eastAsia" w:ascii="宋体" w:hAnsi="宋体" w:eastAsia="宋体" w:cs="宋体"/>
          <w:b/>
          <w:bCs/>
          <w:color w:val="000000" w:themeColor="text1"/>
          <w:szCs w:val="21"/>
          <w:lang w:bidi="ar"/>
          <w14:textFill>
            <w14:solidFill>
              <w14:schemeClr w14:val="tx1"/>
            </w14:solidFill>
          </w14:textFill>
        </w:rPr>
        <w:t>）数据库安全审计设计</w:t>
      </w:r>
      <w:bookmarkEnd w:id="176"/>
    </w:p>
    <w:p w14:paraId="528DC07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在安全管理中心部署数据库审计设备针对数据库进程运转情况、绕过应用软件直接操作数据库的违规访问行为、对数据库配置的更改、资料备份操作和其它维护管理操作、对重要资料的访问和更改、资料完整性等进行审计。并定期上传审计日志至安全管理中心，对系统安全进行综合分析和统计。所有安全审计的记录通过安全存储设备(磁带库)予以及时备份并保存半年以上。同时，审计记录将严格遵循有关执法部门对记录格式的要求，以利于有关执法部门的监管。</w:t>
      </w:r>
    </w:p>
    <w:p w14:paraId="231EB5E9">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7" w:name="_Toc419575711"/>
      <w:r>
        <w:rPr>
          <w:rFonts w:hint="eastAsia" w:ascii="宋体" w:hAnsi="宋体" w:eastAsia="宋体" w:cs="宋体"/>
          <w:b/>
          <w:bCs/>
          <w:color w:val="000000" w:themeColor="text1"/>
          <w:szCs w:val="21"/>
          <w:lang w:bidi="ar"/>
          <w14:textFill>
            <w14:solidFill>
              <w14:schemeClr w14:val="tx1"/>
            </w14:solidFill>
          </w14:textFill>
        </w:rPr>
        <w:t>（4）集中日志审计设计</w:t>
      </w:r>
      <w:bookmarkEnd w:id="177"/>
    </w:p>
    <w:p w14:paraId="6C35631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22239-2008）在主机方面的要求，通过安全管理区域现有集中日志管理系统，加强区域内的安全事件、应用系统运行状况等的监测和响应能力。通过集中日志管理系统实现以下功能：</w:t>
      </w:r>
    </w:p>
    <w:p w14:paraId="5727531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审计范围应覆盖到服务器和重要客户端上的每个操作系统用户和数据库用户；</w:t>
      </w:r>
    </w:p>
    <w:p w14:paraId="1AAB0B7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审计内容应包括重要用户行为、系统资源的异常使用和重要系统命令的使用等系统内重要的安全相关事件；</w:t>
      </w:r>
    </w:p>
    <w:p w14:paraId="2EE4C9D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审计记录应包括事件的日期、时间、类型、主体标识、客体标识和结果等；</w:t>
      </w:r>
    </w:p>
    <w:p w14:paraId="1A1F7075">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根据记录数据进行分析，并生成审计报表；</w:t>
      </w:r>
    </w:p>
    <w:p w14:paraId="4329F2F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保护审计记录，避免受到未预期的删除、修改或覆盖等。</w:t>
      </w:r>
    </w:p>
    <w:p w14:paraId="3B5A21D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通过在安全管理中心部署堡垒主机对主机系统的运维进行安全审计。</w:t>
      </w:r>
    </w:p>
    <w:p w14:paraId="0BD09BC9">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8" w:name="_Toc419575712"/>
      <w:r>
        <w:rPr>
          <w:rFonts w:hint="eastAsia" w:ascii="宋体" w:hAnsi="宋体" w:eastAsia="宋体" w:cs="宋体"/>
          <w:b/>
          <w:bCs/>
          <w:color w:val="000000" w:themeColor="text1"/>
          <w:szCs w:val="21"/>
          <w:lang w:bidi="ar"/>
          <w14:textFill>
            <w14:solidFill>
              <w14:schemeClr w14:val="tx1"/>
            </w14:solidFill>
          </w14:textFill>
        </w:rPr>
        <w:t>（5）安全漏洞评估设计</w:t>
      </w:r>
      <w:bookmarkEnd w:id="178"/>
    </w:p>
    <w:p w14:paraId="5CF5125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漏洞检测和安全评估系统主要用于识别检测对象的系统资源，分析这一资源被攻击的可能指数，了解系统本身的脆弱性，评估可能存在的安全风险。因此，漏洞检测和安全评估系统是投资项目信息管理平台安全保障体系中的重要组成部分。此部分利用原有设备进行检测和安全评估。</w:t>
      </w:r>
    </w:p>
    <w:p w14:paraId="40CE30EF">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79" w:name="_Toc419575713"/>
      <w:r>
        <w:rPr>
          <w:rFonts w:hint="eastAsia" w:ascii="宋体" w:hAnsi="宋体" w:eastAsia="宋体" w:cs="宋体"/>
          <w:b/>
          <w:bCs/>
          <w:color w:val="000000" w:themeColor="text1"/>
          <w:szCs w:val="21"/>
          <w:lang w:bidi="ar"/>
          <w14:textFill>
            <w14:solidFill>
              <w14:schemeClr w14:val="tx1"/>
            </w14:solidFill>
          </w14:textFill>
        </w:rPr>
        <w:t>（6）远程运维安全管理措施</w:t>
      </w:r>
      <w:bookmarkEnd w:id="179"/>
    </w:p>
    <w:p w14:paraId="41380EAD">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本次安全技术设计，将通过在在安全管理中心部署堡垒主机，加强网络设备和主机设备的远程维护安全防护。通过堡垒主机，实现以下安全保障：</w:t>
      </w:r>
    </w:p>
    <w:p w14:paraId="1E97D220">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当对服务器进行远程管理时，采取必要措施，防止鉴别信息在网络传输过程中被窃听；</w:t>
      </w:r>
    </w:p>
    <w:p w14:paraId="4164CFD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启用访问控制功能，依据安全策略控制用户对资源的访问；</w:t>
      </w:r>
    </w:p>
    <w:p w14:paraId="5386707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根据管理用户的角色分配权限，实现管理用户的权限分离，仅授予管理用户所需的最小权限；</w:t>
      </w:r>
    </w:p>
    <w:p w14:paraId="6795DE7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严格限制默认帐户的访问权限，重命名系统默认帐户，修改这些帐户的默认口令；</w:t>
      </w:r>
    </w:p>
    <w:p w14:paraId="7B83AB5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及时删除多余的、过期的帐户，避免共享帐户的存在。</w:t>
      </w:r>
    </w:p>
    <w:p w14:paraId="0551AA2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依据安全策略严格控制用户对有敏感标记重要信息资源的操作。</w:t>
      </w:r>
    </w:p>
    <w:p w14:paraId="28F8BFBB">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7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⑦</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审计范围应覆盖到服务器和重要客户端上的每个操作系统用户和数据库用户；</w:t>
      </w:r>
    </w:p>
    <w:p w14:paraId="69E0398E">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8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⑧</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审计内容应包括重要用户行为、系统资源的异常使用和重要系统命令的使用等系统内重要的安 全相关事件；</w:t>
      </w:r>
    </w:p>
    <w:p w14:paraId="5A0CE78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9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⑨</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审计记录应包括事件的日期、时间、类型、主体标识、客体标识和结果等；</w:t>
      </w:r>
    </w:p>
    <w:p w14:paraId="3C1A47C9">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10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⑩</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能够根据记录数据进行分析，并生成审计报表。</w:t>
      </w:r>
    </w:p>
    <w:p w14:paraId="5740B087">
      <w:pPr>
        <w:pStyle w:val="8"/>
        <w:widowControl/>
        <w:spacing w:line="360" w:lineRule="auto"/>
        <w:jc w:val="left"/>
        <w:rPr>
          <w:rFonts w:hint="eastAsia" w:ascii="宋体" w:hAnsi="宋体" w:eastAsia="宋体"/>
          <w:sz w:val="21"/>
          <w:szCs w:val="21"/>
        </w:rPr>
      </w:pPr>
      <w:bookmarkStart w:id="180" w:name="_Toc419575714"/>
      <w:r>
        <w:rPr>
          <w:rFonts w:hint="eastAsia" w:ascii="宋体" w:hAnsi="宋体" w:eastAsia="宋体"/>
          <w:sz w:val="21"/>
          <w:szCs w:val="21"/>
        </w:rPr>
        <w:t>应用安全设计</w:t>
      </w:r>
      <w:bookmarkEnd w:id="180"/>
    </w:p>
    <w:p w14:paraId="67C101F5">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22239-2008）在应用安全方面的要求，结合平台的设计方案，分别从应用系统开发、统一认证体系、应用安全审计、WEB防篡改等方面进行设计，具体设计内容如下。</w:t>
      </w:r>
    </w:p>
    <w:p w14:paraId="727508D0">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1" w:name="_Toc419575715"/>
      <w:r>
        <w:rPr>
          <w:rFonts w:hint="eastAsia" w:ascii="宋体" w:hAnsi="宋体" w:eastAsia="宋体" w:cs="宋体"/>
          <w:b/>
          <w:bCs/>
          <w:color w:val="000000" w:themeColor="text1"/>
          <w:szCs w:val="21"/>
          <w:lang w:bidi="ar"/>
          <w14:textFill>
            <w14:solidFill>
              <w14:schemeClr w14:val="tx1"/>
            </w14:solidFill>
          </w14:textFill>
        </w:rPr>
        <w:t>（1）应用系统开发安全设计</w:t>
      </w:r>
      <w:bookmarkEnd w:id="181"/>
    </w:p>
    <w:p w14:paraId="0EE01A96">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22239-2008）在主机方面的要求，结合平台的设计方案，应用系统开发安全设计内容如下：</w:t>
      </w:r>
    </w:p>
    <w:p w14:paraId="4668AC4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①</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系统设计带有系统登录功能，对用户的身份进行鉴别；</w:t>
      </w:r>
    </w:p>
    <w:p w14:paraId="38A5298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2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②</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系统用户设置口令功能，包括口令长度、复杂度、有效期限限制；</w:t>
      </w:r>
    </w:p>
    <w:p w14:paraId="333814AA">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3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③</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系统设置审计员帐户，在帐户间形成相互制约的关系；</w:t>
      </w:r>
    </w:p>
    <w:p w14:paraId="097D7CB4">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4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④</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系统日志对用户登录退出情况进行记录；</w:t>
      </w:r>
    </w:p>
    <w:p w14:paraId="2E25A8AF">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5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⑤</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系统设置通信双方提供数据原发和接收证据的功能；</w:t>
      </w:r>
    </w:p>
    <w:p w14:paraId="75C50A40">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6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⑥</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系统设置过滤特殊字符；</w:t>
      </w:r>
    </w:p>
    <w:p w14:paraId="232740C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7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⑦</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系统对一个访问用户或一个请求进程占用的资源分配最大限额和最小限额设置；</w:t>
      </w:r>
    </w:p>
    <w:p w14:paraId="33ED9C37">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8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⑧</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系统提设置服务优先级设定功能；</w:t>
      </w:r>
    </w:p>
    <w:p w14:paraId="3D8EB61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9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⑨</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系统设置登录失败处理功能；</w:t>
      </w:r>
    </w:p>
    <w:p w14:paraId="26ED18A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fldChar w:fldCharType="begin"/>
      </w:r>
      <w:r>
        <w:rPr>
          <w:rFonts w:ascii="宋体" w:hAnsi="宋体" w:eastAsia="宋体" w:cs="宋体"/>
          <w:color w:val="000000" w:themeColor="text1"/>
          <w:szCs w:val="21"/>
          <w:lang w:bidi="ar"/>
          <w14:textFill>
            <w14:solidFill>
              <w14:schemeClr w14:val="tx1"/>
            </w14:solidFill>
          </w14:textFill>
        </w:rPr>
        <w:instrText xml:space="preserve"> </w:instrText>
      </w:r>
      <w:r>
        <w:rPr>
          <w:rFonts w:hint="eastAsia" w:ascii="宋体" w:hAnsi="宋体" w:eastAsia="宋体" w:cs="宋体"/>
          <w:color w:val="000000" w:themeColor="text1"/>
          <w:szCs w:val="21"/>
          <w:lang w:bidi="ar"/>
          <w14:textFill>
            <w14:solidFill>
              <w14:schemeClr w14:val="tx1"/>
            </w14:solidFill>
          </w14:textFill>
        </w:rPr>
        <w:instrText xml:space="preserve">= 10 \* GB3</w:instrText>
      </w:r>
      <w:r>
        <w:rPr>
          <w:rFonts w:ascii="宋体" w:hAnsi="宋体" w:eastAsia="宋体" w:cs="宋体"/>
          <w:color w:val="000000" w:themeColor="text1"/>
          <w:szCs w:val="21"/>
          <w:lang w:bidi="ar"/>
          <w14:textFill>
            <w14:solidFill>
              <w14:schemeClr w14:val="tx1"/>
            </w14:solidFill>
          </w14:textFill>
        </w:rPr>
        <w:instrText xml:space="preserve"> </w:instrText>
      </w:r>
      <w:r>
        <w:rPr>
          <w:rFonts w:ascii="宋体" w:hAnsi="宋体" w:eastAsia="宋体" w:cs="宋体"/>
          <w:color w:val="000000" w:themeColor="text1"/>
          <w:szCs w:val="21"/>
          <w:lang w:bidi="ar"/>
          <w14:textFill>
            <w14:solidFill>
              <w14:schemeClr w14:val="tx1"/>
            </w14:solidFill>
          </w14:textFill>
        </w:rPr>
        <w:fldChar w:fldCharType="separate"/>
      </w:r>
      <w:r>
        <w:rPr>
          <w:rFonts w:hint="eastAsia" w:ascii="宋体" w:hAnsi="宋体" w:eastAsia="宋体" w:cs="宋体"/>
          <w:color w:val="000000" w:themeColor="text1"/>
          <w:szCs w:val="21"/>
          <w:lang w:bidi="ar"/>
          <w14:textFill>
            <w14:solidFill>
              <w14:schemeClr w14:val="tx1"/>
            </w14:solidFill>
          </w14:textFill>
        </w:rPr>
        <w:t>⑩</w:t>
      </w:r>
      <w:r>
        <w:rPr>
          <w:rFonts w:ascii="宋体" w:hAnsi="宋体" w:eastAsia="宋体" w:cs="宋体"/>
          <w:color w:val="000000" w:themeColor="text1"/>
          <w:szCs w:val="21"/>
          <w:lang w:bidi="ar"/>
          <w14:textFill>
            <w14:solidFill>
              <w14:schemeClr w14:val="tx1"/>
            </w14:solidFill>
          </w14:textFill>
        </w:rPr>
        <w:fldChar w:fldCharType="end"/>
      </w:r>
      <w:r>
        <w:rPr>
          <w:rFonts w:hint="eastAsia" w:ascii="宋体" w:hAnsi="宋体" w:eastAsia="宋体" w:cs="宋体"/>
          <w:color w:val="000000" w:themeColor="text1"/>
          <w:szCs w:val="21"/>
          <w:lang w:bidi="ar"/>
          <w14:textFill>
            <w14:solidFill>
              <w14:schemeClr w14:val="tx1"/>
            </w14:solidFill>
          </w14:textFill>
        </w:rPr>
        <w:t>系统开发完成后，进行代码安全检测；</w:t>
      </w:r>
    </w:p>
    <w:p w14:paraId="70D6A4C3">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2" w:name="_Toc419575716"/>
      <w:r>
        <w:rPr>
          <w:rFonts w:hint="eastAsia" w:ascii="宋体" w:hAnsi="宋体" w:eastAsia="宋体" w:cs="宋体"/>
          <w:b/>
          <w:bCs/>
          <w:color w:val="000000" w:themeColor="text1"/>
          <w:szCs w:val="21"/>
          <w:lang w:bidi="ar"/>
          <w14:textFill>
            <w14:solidFill>
              <w14:schemeClr w14:val="tx1"/>
            </w14:solidFill>
          </w14:textFill>
        </w:rPr>
        <w:t>（2）统一信任体系设计</w:t>
      </w:r>
      <w:bookmarkEnd w:id="182"/>
    </w:p>
    <w:p w14:paraId="757BC99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应用安全方面的要求，结合平台的设计方案，分别建设CA认证系统对固定资产投资项目信息安全管理平台的用户进行统一认证，采用动态口令系统和权限管理系统相结合的方法，提供对系统中实体（用户、设备）真实身份的鉴别，以及对信息的正确性、完整性和不可否认性的鉴别。</w:t>
      </w:r>
    </w:p>
    <w:p w14:paraId="28F1B6B2">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3" w:name="_Toc419575717"/>
      <w:r>
        <w:rPr>
          <w:rFonts w:hint="eastAsia" w:ascii="宋体" w:hAnsi="宋体" w:eastAsia="宋体" w:cs="宋体"/>
          <w:b/>
          <w:bCs/>
          <w:color w:val="000000" w:themeColor="text1"/>
          <w:szCs w:val="21"/>
          <w:lang w:bidi="ar"/>
          <w14:textFill>
            <w14:solidFill>
              <w14:schemeClr w14:val="tx1"/>
            </w14:solidFill>
          </w14:textFill>
        </w:rPr>
        <w:t>（3）应用安全审计设计</w:t>
      </w:r>
      <w:bookmarkEnd w:id="183"/>
    </w:p>
    <w:p w14:paraId="5BFA827C">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22239-2008）在应用安全方面的要求，结合平台的设计方案，平自带安全审计功能，并提供相应的接口。通过平台对用户操作行为进行审计，并对审计的结果进行分析和统计。</w:t>
      </w:r>
    </w:p>
    <w:p w14:paraId="346CB540">
      <w:pPr>
        <w:pStyle w:val="8"/>
        <w:widowControl/>
        <w:spacing w:line="360" w:lineRule="auto"/>
        <w:jc w:val="left"/>
        <w:rPr>
          <w:rFonts w:hint="eastAsia" w:ascii="宋体" w:hAnsi="宋体" w:eastAsia="宋体"/>
          <w:sz w:val="21"/>
          <w:szCs w:val="21"/>
        </w:rPr>
      </w:pPr>
      <w:bookmarkStart w:id="184" w:name="_Toc419575719"/>
      <w:r>
        <w:rPr>
          <w:rFonts w:hint="eastAsia" w:ascii="宋体" w:hAnsi="宋体" w:eastAsia="宋体"/>
          <w:sz w:val="21"/>
          <w:szCs w:val="21"/>
        </w:rPr>
        <w:t>安全管理中心设计</w:t>
      </w:r>
      <w:bookmarkEnd w:id="184"/>
    </w:p>
    <w:p w14:paraId="497228CC">
      <w:pPr>
        <w:spacing w:line="360" w:lineRule="auto"/>
        <w:ind w:left="420" w:firstLine="48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根据《信息安全技术 信息系统安全等级保护基本要求》（GB/T 22239-2008）在技术安全方面的要求，结合平台的设计方案，分别从系统管理、安全管理、审计管理等方面进行设计。</w:t>
      </w:r>
    </w:p>
    <w:p w14:paraId="3B93FE10">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5" w:name="_Toc419575720"/>
      <w:r>
        <w:rPr>
          <w:rFonts w:hint="eastAsia" w:ascii="宋体" w:hAnsi="宋体" w:eastAsia="宋体" w:cs="宋体"/>
          <w:b/>
          <w:bCs/>
          <w:color w:val="000000" w:themeColor="text1"/>
          <w:szCs w:val="21"/>
          <w:lang w:bidi="ar"/>
          <w14:textFill>
            <w14:solidFill>
              <w14:schemeClr w14:val="tx1"/>
            </w14:solidFill>
          </w14:textFill>
        </w:rPr>
        <w:t>（1）系统管理设计</w:t>
      </w:r>
      <w:bookmarkEnd w:id="185"/>
    </w:p>
    <w:p w14:paraId="3786917E">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通过系统管理员对系统的资源和运行进行配置、控制和管理，包括用户身份管理、系统资源配置、系统加载和启动、系统运行的异常处理以及支持管理本地和（或）异地灾难备份与恢复等。 应对系统管理员进行身份鉴别，只允许其通过特定的命令或操作界面进行系统管理操作，并对这些操作进行审计。</w:t>
      </w:r>
    </w:p>
    <w:p w14:paraId="408854E8">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6" w:name="_Toc419575721"/>
      <w:r>
        <w:rPr>
          <w:rFonts w:hint="eastAsia" w:ascii="宋体" w:hAnsi="宋体" w:eastAsia="宋体" w:cs="宋体"/>
          <w:b/>
          <w:bCs/>
          <w:color w:val="000000" w:themeColor="text1"/>
          <w:szCs w:val="21"/>
          <w:lang w:bidi="ar"/>
          <w14:textFill>
            <w14:solidFill>
              <w14:schemeClr w14:val="tx1"/>
            </w14:solidFill>
          </w14:textFill>
        </w:rPr>
        <w:t>（2）安全管理设计</w:t>
      </w:r>
      <w:bookmarkEnd w:id="186"/>
    </w:p>
    <w:p w14:paraId="492E22B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通过安全管理员对系统中的主体、客体进行统一标记，对主体进行授权，配置一致的安全策略。应对安全管理员进行身份鉴别，只允许其通过特定的命令或操作界面进行安全管理操作，并进行审计。</w:t>
      </w:r>
    </w:p>
    <w:p w14:paraId="09F6CFE7">
      <w:pPr>
        <w:spacing w:line="360" w:lineRule="auto"/>
        <w:ind w:left="420" w:firstLine="422" w:firstLineChars="200"/>
        <w:rPr>
          <w:rFonts w:hint="eastAsia" w:ascii="宋体" w:hAnsi="宋体" w:eastAsia="宋体" w:cs="宋体"/>
          <w:b/>
          <w:bCs/>
          <w:color w:val="000000" w:themeColor="text1"/>
          <w:szCs w:val="21"/>
          <w:lang w:bidi="ar"/>
          <w14:textFill>
            <w14:solidFill>
              <w14:schemeClr w14:val="tx1"/>
            </w14:solidFill>
          </w14:textFill>
        </w:rPr>
      </w:pPr>
      <w:bookmarkStart w:id="187" w:name="_Toc419575722"/>
      <w:r>
        <w:rPr>
          <w:rFonts w:hint="eastAsia" w:ascii="宋体" w:hAnsi="宋体" w:eastAsia="宋体" w:cs="宋体"/>
          <w:b/>
          <w:bCs/>
          <w:color w:val="000000" w:themeColor="text1"/>
          <w:szCs w:val="21"/>
          <w:lang w:bidi="ar"/>
          <w14:textFill>
            <w14:solidFill>
              <w14:schemeClr w14:val="tx1"/>
            </w14:solidFill>
          </w14:textFill>
        </w:rPr>
        <w:t>（3）审计管理设计</w:t>
      </w:r>
      <w:bookmarkEnd w:id="187"/>
    </w:p>
    <w:p w14:paraId="5C928956">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通过安全审计员对分布在系统各个组成部分的安全审计机制进行集中管理，包括根据安全审计策略对审计记录进行分类；提供按时间段开启和关闭相应类型的安全审计机制；对各类审计记录进行存储、管理和查询等。对审计记录应进行分析，并根据分析结果进行处理。 应对安全审计员进行身份鉴别，只允许其通过特定的命令或操作界面进行安全审计操作。</w:t>
      </w:r>
    </w:p>
    <w:p w14:paraId="7CAB9FD3">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针对上述要求，本次建设设计，将在安全管理中心集中部署安全管理平台、防病系统、集中日志审计、数据库安全审计等技术手段和措施。</w:t>
      </w:r>
    </w:p>
    <w:p w14:paraId="5F1F5DF5">
      <w:pPr>
        <w:pStyle w:val="8"/>
        <w:widowControl/>
        <w:spacing w:line="360" w:lineRule="auto"/>
        <w:jc w:val="left"/>
        <w:rPr>
          <w:rFonts w:hint="eastAsia" w:ascii="宋体" w:hAnsi="宋体" w:eastAsia="宋体"/>
          <w:sz w:val="21"/>
          <w:szCs w:val="21"/>
        </w:rPr>
      </w:pPr>
      <w:bookmarkStart w:id="188" w:name="_Toc419575725"/>
      <w:r>
        <w:rPr>
          <w:rFonts w:hint="eastAsia" w:ascii="宋体" w:hAnsi="宋体" w:eastAsia="宋体"/>
          <w:sz w:val="21"/>
          <w:szCs w:val="21"/>
        </w:rPr>
        <w:t>应急响应体系</w:t>
      </w:r>
      <w:bookmarkEnd w:id="188"/>
    </w:p>
    <w:p w14:paraId="51646708">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1</w:t>
      </w:r>
      <w:r>
        <w:rPr>
          <w:rFonts w:ascii="宋体" w:hAnsi="宋体" w:eastAsia="宋体" w:cs="宋体"/>
          <w:color w:val="000000" w:themeColor="text1"/>
          <w:szCs w:val="21"/>
          <w:lang w:bidi="ar"/>
          <w14:textFill>
            <w14:solidFill>
              <w14:schemeClr w14:val="tx1"/>
            </w14:solidFill>
          </w14:textFill>
        </w:rPr>
        <w:t>.</w:t>
      </w:r>
      <w:r>
        <w:rPr>
          <w:rFonts w:hint="eastAsia" w:ascii="宋体" w:hAnsi="宋体" w:eastAsia="宋体" w:cs="宋体"/>
          <w:color w:val="000000" w:themeColor="text1"/>
          <w:szCs w:val="21"/>
          <w:lang w:bidi="ar"/>
          <w14:textFill>
            <w14:solidFill>
              <w14:schemeClr w14:val="tx1"/>
            </w14:solidFill>
          </w14:textFill>
        </w:rPr>
        <w:t>建立应急响应组织，专职负责各种突发信息安全事件的处理工作。</w:t>
      </w:r>
    </w:p>
    <w:p w14:paraId="13D16E62">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2</w:t>
      </w:r>
      <w:r>
        <w:rPr>
          <w:rFonts w:ascii="宋体" w:hAnsi="宋体" w:eastAsia="宋体" w:cs="宋体"/>
          <w:color w:val="000000" w:themeColor="text1"/>
          <w:szCs w:val="21"/>
          <w:lang w:bidi="ar"/>
          <w14:textFill>
            <w14:solidFill>
              <w14:schemeClr w14:val="tx1"/>
            </w14:solidFill>
          </w14:textFill>
        </w:rPr>
        <w:t>.</w:t>
      </w:r>
      <w:r>
        <w:rPr>
          <w:rFonts w:hint="eastAsia" w:ascii="宋体" w:hAnsi="宋体" w:eastAsia="宋体" w:cs="宋体"/>
          <w:color w:val="000000" w:themeColor="text1"/>
          <w:szCs w:val="21"/>
          <w:lang w:bidi="ar"/>
          <w14:textFill>
            <w14:solidFill>
              <w14:schemeClr w14:val="tx1"/>
            </w14:solidFill>
          </w14:textFill>
        </w:rPr>
        <w:t>建立一支应急响应和支援的技术队伍，对应急情况进行支援（包括病毒防治、网络防护、关键数据修复和技术人员重大任务和突发情况下的支援等）。</w:t>
      </w:r>
    </w:p>
    <w:p w14:paraId="64845C39">
      <w:pPr>
        <w:pStyle w:val="8"/>
        <w:widowControl/>
        <w:spacing w:line="360" w:lineRule="auto"/>
        <w:jc w:val="left"/>
        <w:rPr>
          <w:rFonts w:hint="eastAsia" w:ascii="宋体" w:hAnsi="宋体" w:eastAsia="宋体"/>
          <w:sz w:val="21"/>
          <w:szCs w:val="21"/>
        </w:rPr>
      </w:pPr>
      <w:bookmarkStart w:id="189" w:name="_Toc419575726"/>
      <w:r>
        <w:rPr>
          <w:rFonts w:hint="eastAsia" w:ascii="宋体" w:hAnsi="宋体" w:eastAsia="宋体"/>
          <w:sz w:val="21"/>
          <w:szCs w:val="21"/>
        </w:rPr>
        <w:t>安全服务与风险评估</w:t>
      </w:r>
      <w:bookmarkEnd w:id="189"/>
    </w:p>
    <w:p w14:paraId="44D2E081">
      <w:pPr>
        <w:spacing w:line="360" w:lineRule="auto"/>
        <w:ind w:left="420" w:firstLine="420" w:firstLineChars="200"/>
        <w:rPr>
          <w:rFonts w:hint="eastAsia" w:ascii="宋体" w:hAnsi="宋体" w:eastAsia="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安全必须通过持续不断的安全服务来保障信息系统长期稳定地运行。为此，需要引入高水平安全服务机构的安全服务机制，共同组建信息系统的安全保障服务队伍，其主要工作包括：威胁与脆弱点分析、系统安全风险分析、系统安全设计、安全需求分析、更新补丁、安全风险分析、安全审计分析、安全策略调整、系统安全测试。</w:t>
      </w:r>
    </w:p>
    <w:p w14:paraId="68FBA0FC">
      <w:pPr>
        <w:spacing w:line="360" w:lineRule="auto"/>
        <w:ind w:left="420"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通过定期进行风险评估预先发现信息系统面临的威胁、将安全威胁发生的可能性和造成的影响都降到最低。防范黑客入侵、防止病毒感染、防止非法使用资源、防止信息的泄露或篡改，使业务系统的安全保护性能得到充分地发挥。</w:t>
      </w:r>
    </w:p>
    <w:p w14:paraId="185BC182">
      <w:pPr>
        <w:pStyle w:val="6"/>
        <w:widowControl/>
        <w:spacing w:before="260" w:after="260"/>
        <w:ind w:left="0" w:firstLine="0"/>
        <w:rPr>
          <w:rFonts w:hint="eastAsia" w:ascii="宋体" w:hAnsi="宋体"/>
          <w:szCs w:val="24"/>
        </w:rPr>
      </w:pPr>
      <w:bookmarkStart w:id="190" w:name="_Toc180265618"/>
      <w:r>
        <w:rPr>
          <w:rFonts w:hint="eastAsia" w:ascii="宋体" w:hAnsi="宋体"/>
          <w:szCs w:val="24"/>
        </w:rPr>
        <w:t>应用安全方案</w:t>
      </w:r>
      <w:bookmarkEnd w:id="190"/>
    </w:p>
    <w:p w14:paraId="131B6987">
      <w:pPr>
        <w:pStyle w:val="7"/>
        <w:widowControl/>
        <w:spacing w:before="280" w:after="290"/>
        <w:ind w:left="0" w:firstLine="0"/>
        <w:rPr>
          <w:rFonts w:hint="eastAsia" w:ascii="宋体" w:hAnsi="宋体"/>
          <w:sz w:val="21"/>
          <w:szCs w:val="21"/>
        </w:rPr>
      </w:pPr>
      <w:r>
        <w:rPr>
          <w:rFonts w:hint="eastAsia" w:ascii="宋体" w:hAnsi="宋体"/>
          <w:sz w:val="21"/>
          <w:szCs w:val="21"/>
        </w:rPr>
        <w:t>用户认证</w:t>
      </w:r>
    </w:p>
    <w:p w14:paraId="1DAC1698">
      <w:pPr>
        <w:widowControl/>
        <w:numPr>
          <w:ilvl w:val="0"/>
          <w:numId w:val="33"/>
        </w:numPr>
        <w:spacing w:line="360" w:lineRule="auto"/>
        <w:ind w:leftChars="200" w:firstLine="420" w:firstLineChars="200"/>
        <w:jc w:val="left"/>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基于烟草行业数字中台用户中心进行用户认证，支持多种用户认证方式，包括用户名口令、手机短信、移动应用等方式；</w:t>
      </w:r>
    </w:p>
    <w:p w14:paraId="6DEB81AF">
      <w:pPr>
        <w:widowControl/>
        <w:numPr>
          <w:ilvl w:val="0"/>
          <w:numId w:val="33"/>
        </w:numPr>
        <w:spacing w:line="360" w:lineRule="auto"/>
        <w:ind w:leftChars="200" w:firstLine="420" w:firstLineChars="200"/>
        <w:jc w:val="left"/>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支持双因子认证，支持CA数字证书集成；</w:t>
      </w:r>
    </w:p>
    <w:p w14:paraId="7EDB06D0">
      <w:pPr>
        <w:widowControl/>
        <w:numPr>
          <w:ilvl w:val="0"/>
          <w:numId w:val="33"/>
        </w:numPr>
        <w:spacing w:line="360" w:lineRule="auto"/>
        <w:ind w:leftChars="200" w:firstLine="420" w:firstLineChars="200"/>
        <w:jc w:val="left"/>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支持账号密码强度、账户有效期、密码修改时限等账号策略设置。</w:t>
      </w:r>
    </w:p>
    <w:p w14:paraId="33A15DAA">
      <w:pPr>
        <w:widowControl/>
        <w:numPr>
          <w:ilvl w:val="0"/>
          <w:numId w:val="33"/>
        </w:numPr>
        <w:spacing w:line="360" w:lineRule="auto"/>
        <w:ind w:leftChars="200" w:firstLine="420" w:firstLineChars="200"/>
        <w:jc w:val="left"/>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支持定期删除无关账号、空账号和临时账号；</w:t>
      </w:r>
    </w:p>
    <w:p w14:paraId="5092FF39">
      <w:pPr>
        <w:widowControl/>
        <w:numPr>
          <w:ilvl w:val="0"/>
          <w:numId w:val="33"/>
        </w:numPr>
        <w:spacing w:line="360" w:lineRule="auto"/>
        <w:ind w:leftChars="200" w:firstLine="420" w:firstLineChars="200"/>
        <w:jc w:val="left"/>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支持定期清理僵尸账号，锁定僵尸账号，如重新启用需通过管理员解锁或其他可靠方式激活。</w:t>
      </w:r>
    </w:p>
    <w:p w14:paraId="32561DF3">
      <w:pPr>
        <w:pStyle w:val="7"/>
        <w:widowControl/>
        <w:spacing w:before="280" w:after="290"/>
        <w:ind w:left="0" w:firstLine="0"/>
        <w:rPr>
          <w:rFonts w:hint="eastAsia" w:ascii="宋体" w:hAnsi="宋体"/>
          <w:sz w:val="21"/>
          <w:szCs w:val="21"/>
        </w:rPr>
      </w:pPr>
      <w:r>
        <w:rPr>
          <w:rFonts w:hint="eastAsia" w:ascii="宋体" w:hAnsi="宋体"/>
          <w:sz w:val="21"/>
          <w:szCs w:val="21"/>
        </w:rPr>
        <w:t>系统授权</w:t>
      </w:r>
    </w:p>
    <w:p w14:paraId="2CC7D0DD">
      <w:pPr>
        <w:spacing w:line="360" w:lineRule="auto"/>
        <w:ind w:left="420" w:firstLine="420" w:firstLineChars="200"/>
        <w:rPr>
          <w:rFonts w:hint="eastAsia" w:ascii="宋体" w:hAnsi="宋体" w:eastAsia="宋体"/>
          <w:szCs w:val="21"/>
        </w:rPr>
      </w:pPr>
      <w:r>
        <w:rPr>
          <w:rFonts w:hint="eastAsia" w:ascii="宋体" w:hAnsi="宋体" w:eastAsia="宋体"/>
          <w:szCs w:val="21"/>
        </w:rPr>
        <w:t>用户分级授权：基于RBAC（基于角色的访问控制）模型，我们为用户设定了不同的角色和权限，实现用户访问的分级控制。通过精细化的权限管理，我们确保用户只能访问其所需的信息和资源，降低信息泄露的风险。</w:t>
      </w:r>
    </w:p>
    <w:p w14:paraId="08A4831C">
      <w:pPr>
        <w:spacing w:line="360" w:lineRule="auto"/>
        <w:ind w:left="420" w:firstLine="420" w:firstLineChars="200"/>
        <w:rPr>
          <w:rFonts w:hint="eastAsia" w:ascii="宋体" w:hAnsi="宋体" w:eastAsia="宋体"/>
          <w:szCs w:val="21"/>
        </w:rPr>
      </w:pPr>
      <w:r>
        <w:rPr>
          <w:rFonts w:hint="eastAsia" w:ascii="宋体" w:hAnsi="宋体" w:eastAsia="宋体"/>
          <w:szCs w:val="21"/>
        </w:rPr>
        <w:t>基于系统数据的重要性，须建立面向角色岗位的权限管理体系，提供严格的系统访问权限控制，包括IP地址限制、内外网访问限制等；提供用户会话控制策略设置，包括会话保持一定时间后自动注销等；支持限制同一设备同一时段仅限登录一个账户；支持自动锁定可疑账户以进行平台访问熔断。</w:t>
      </w:r>
    </w:p>
    <w:p w14:paraId="2A466DF7">
      <w:pPr>
        <w:pStyle w:val="7"/>
        <w:widowControl/>
        <w:spacing w:before="280" w:after="290"/>
        <w:ind w:left="0" w:firstLine="0"/>
        <w:rPr>
          <w:rFonts w:hint="eastAsia" w:ascii="宋体" w:hAnsi="宋体"/>
          <w:sz w:val="21"/>
          <w:szCs w:val="21"/>
        </w:rPr>
      </w:pPr>
      <w:r>
        <w:rPr>
          <w:rFonts w:hint="eastAsia" w:ascii="宋体" w:hAnsi="宋体"/>
          <w:sz w:val="21"/>
          <w:szCs w:val="21"/>
        </w:rPr>
        <w:t>数据安全</w:t>
      </w:r>
    </w:p>
    <w:p w14:paraId="6AF55752">
      <w:pPr>
        <w:pStyle w:val="2"/>
        <w:spacing w:line="360" w:lineRule="auto"/>
        <w:rPr>
          <w:rFonts w:hint="eastAsia" w:ascii="宋体" w:hAnsi="宋体"/>
          <w:szCs w:val="21"/>
        </w:rPr>
      </w:pPr>
      <w:r>
        <w:rPr>
          <w:rFonts w:hint="eastAsia" w:ascii="宋体" w:hAnsi="宋体"/>
          <w:szCs w:val="21"/>
        </w:rPr>
        <w:t>建立健全数据安全防护体系，围绕数据采集、传输、存储、交换、销毁等数据生命周期相关的数据活动，针对性实施数据加密、数据脱敏、数据防泄漏、鉴别授权、记录审计等安全防护技术措施。建立数据备份和数据恢复机制，对所有业务数据进行数据备份容灾。建立数据动态管理机制，对注销用户的数据库记录进行及时清除或重新分配，降低信息泄露风险。建立数据分类分级，按照数据重要性和敏感性进行分类分级，并根据不同类别和级别作出差异化数据管理。</w:t>
      </w:r>
    </w:p>
    <w:p w14:paraId="6123E6A3">
      <w:pPr>
        <w:pStyle w:val="7"/>
        <w:widowControl/>
        <w:spacing w:before="280" w:after="290"/>
        <w:ind w:left="0" w:firstLine="0"/>
        <w:rPr>
          <w:rFonts w:hint="eastAsia" w:ascii="宋体" w:hAnsi="宋体"/>
          <w:sz w:val="21"/>
          <w:szCs w:val="21"/>
        </w:rPr>
      </w:pPr>
      <w:r>
        <w:rPr>
          <w:rFonts w:hint="eastAsia" w:ascii="宋体" w:hAnsi="宋体"/>
          <w:sz w:val="21"/>
          <w:szCs w:val="21"/>
        </w:rPr>
        <w:t>脱敏处理</w:t>
      </w:r>
    </w:p>
    <w:p w14:paraId="3953F32D">
      <w:pPr>
        <w:spacing w:line="360" w:lineRule="auto"/>
        <w:ind w:left="420" w:firstLine="420" w:firstLineChars="200"/>
        <w:rPr>
          <w:rFonts w:hint="eastAsia" w:ascii="宋体" w:hAnsi="宋体" w:eastAsia="宋体"/>
          <w:szCs w:val="21"/>
        </w:rPr>
      </w:pPr>
      <w:r>
        <w:rPr>
          <w:rFonts w:hint="eastAsia" w:ascii="宋体" w:hAnsi="宋体" w:eastAsia="宋体"/>
          <w:szCs w:val="21"/>
        </w:rPr>
        <w:t>对外公开或一般权限使用人员（含运营及运维人员），针对个人身份信息和企业敏感信息进行脱敏处理。严格控制运维方擅自导出、留存、使用、泄露或者向其他第三方机构和个人提供行业数据资源或用于商业用途。</w:t>
      </w:r>
    </w:p>
    <w:p w14:paraId="64A4D7C4">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 xml:space="preserve">系统建设前和建设中，明确所涉及数据的安全级别； </w:t>
      </w:r>
    </w:p>
    <w:p w14:paraId="22F672EA">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涉及到敏感数据的通讯进行必要的加密；</w:t>
      </w:r>
    </w:p>
    <w:p w14:paraId="63A34662">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明确每个角色定义及信息查看权限，页面展示使用脱敏后信息，并确保脱敏是从服务器端完成的。必要时将内容图片化以防止文字复制或恶意查询；</w:t>
      </w:r>
    </w:p>
    <w:p w14:paraId="09D01378">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应用系统绝对不使用明文存储密码及其他敏感信信息。数据的加密存储 使用足够强的加密算法；</w:t>
      </w:r>
    </w:p>
    <w:p w14:paraId="0E878B5C">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针对敏感数据的查看、修改、下载等运维操作，应建立数据安全管控流 程和功能，来保护不同类型的数据需求和不同安全级别的数据；</w:t>
      </w:r>
    </w:p>
    <w:p w14:paraId="00F9F4B5">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加密算法须使用国产加密算法。如果现阶段国产加密算法不能满足功能 和安全上的需求，应在使用其他加密算法的同时，预留接口以便于后期修改为国产加密算法；</w:t>
      </w:r>
    </w:p>
    <w:p w14:paraId="102D84A5">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确保信息不被泄露给非授权的用户、实体或过程，或供其利用的特性。 即防止信息泄漏给非授权个人或实体，信息只为授权用户使用的特性。网页和 APP 页面增加水印（水印内容包括：用户个人信息以及时间信息）、附件下载时转换成 PDF 文档并内嵌水印（水印内容包括：用户个人信息以及时间信 息）。</w:t>
      </w:r>
    </w:p>
    <w:p w14:paraId="3D466CF5">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支持附件下载时自动将word、PPT、excel、jpg 转换成 PDF文档并内嵌 水印（水印内容包括：用户个人信息以及时间信息）</w:t>
      </w:r>
    </w:p>
    <w:p w14:paraId="51CECF21">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满足数据完整性要求：信息未经授权不能进行改变的特性。即信息在存储或传输过程中保持不被偶然或蓄意地删除、修改、伪造、乱序、重放、插入 等破坏和丢失的特性。要求保持信息的原样，即信息的正确生成和正确存储和 传输。</w:t>
      </w:r>
    </w:p>
    <w:p w14:paraId="05ECF82A">
      <w:pPr>
        <w:pStyle w:val="2"/>
        <w:widowControl/>
        <w:numPr>
          <w:ilvl w:val="0"/>
          <w:numId w:val="34"/>
        </w:numPr>
        <w:spacing w:line="360" w:lineRule="auto"/>
        <w:ind w:leftChars="0" w:firstLine="420"/>
        <w:jc w:val="left"/>
        <w:rPr>
          <w:rFonts w:hint="eastAsia" w:ascii="宋体" w:hAnsi="宋体"/>
          <w:szCs w:val="21"/>
        </w:rPr>
      </w:pPr>
      <w:r>
        <w:rPr>
          <w:rFonts w:hint="eastAsia" w:ascii="宋体" w:hAnsi="宋体"/>
          <w:szCs w:val="21"/>
        </w:rPr>
        <w:t>不可抵赖：在信息交互过程中，确信参与者的真实同一性。即所有参与者都不可能否认或抵赖曾经完成的操作和承诺。</w:t>
      </w:r>
    </w:p>
    <w:p w14:paraId="6EF90832">
      <w:pPr>
        <w:pStyle w:val="7"/>
        <w:widowControl/>
        <w:spacing w:before="280" w:after="290"/>
        <w:ind w:left="0" w:firstLine="0"/>
        <w:rPr>
          <w:rFonts w:hint="eastAsia" w:ascii="宋体" w:hAnsi="宋体"/>
          <w:sz w:val="21"/>
          <w:szCs w:val="21"/>
        </w:rPr>
      </w:pPr>
      <w:r>
        <w:rPr>
          <w:rFonts w:hint="eastAsia" w:ascii="宋体" w:hAnsi="宋体"/>
          <w:sz w:val="21"/>
          <w:szCs w:val="21"/>
        </w:rPr>
        <w:t>监控审计</w:t>
      </w:r>
    </w:p>
    <w:p w14:paraId="62BC550E">
      <w:pPr>
        <w:pStyle w:val="2"/>
        <w:spacing w:line="360" w:lineRule="auto"/>
        <w:rPr>
          <w:rFonts w:hint="eastAsia" w:ascii="宋体" w:hAnsi="宋体"/>
          <w:szCs w:val="21"/>
        </w:rPr>
      </w:pPr>
      <w:r>
        <w:rPr>
          <w:rFonts w:hint="eastAsia" w:ascii="宋体" w:hAnsi="宋体"/>
          <w:szCs w:val="21"/>
        </w:rPr>
        <w:t>综合运用流量监控、态势感知、数据审计、大数据管控等技术监测手段，加强网络安全预警和风险监测；提供用户操作审计功能，记录用户登录、关键功能使用、服务调用等操作的日志，包括操作用户、登录时间、客户端IP地址、所做操作、退出时间等，并对关键界面提供个人水印功能；提供网络安全等级保护要求所有用户的重要操作审计功能。</w:t>
      </w:r>
    </w:p>
    <w:p w14:paraId="6E17F3B1">
      <w:pPr>
        <w:pStyle w:val="7"/>
        <w:widowControl/>
        <w:spacing w:before="280" w:after="290"/>
        <w:ind w:left="0" w:firstLine="0"/>
        <w:rPr>
          <w:rFonts w:hint="eastAsia" w:ascii="宋体" w:hAnsi="宋体"/>
          <w:sz w:val="21"/>
          <w:szCs w:val="21"/>
        </w:rPr>
      </w:pPr>
      <w:r>
        <w:rPr>
          <w:rFonts w:hint="eastAsia" w:ascii="宋体" w:hAnsi="宋体"/>
          <w:sz w:val="21"/>
          <w:szCs w:val="21"/>
        </w:rPr>
        <w:t>入侵检测和漏洞风险预警</w:t>
      </w:r>
    </w:p>
    <w:p w14:paraId="27ECC5F0">
      <w:pPr>
        <w:pStyle w:val="2"/>
        <w:spacing w:line="360" w:lineRule="auto"/>
        <w:rPr>
          <w:rFonts w:hint="eastAsia" w:ascii="宋体" w:hAnsi="宋体"/>
          <w:szCs w:val="21"/>
        </w:rPr>
      </w:pPr>
      <w:r>
        <w:rPr>
          <w:rFonts w:hint="eastAsia" w:ascii="宋体" w:hAnsi="宋体"/>
          <w:szCs w:val="21"/>
        </w:rPr>
        <w:t>提供黑客入侵检测和漏洞风险预警等安全防护服务，包括密码破解拦截、重要账号登录限制、异常登录提醒、文件上传限制、输入框格式限制等安全功能，定期升级系统软件版本，及时更新安全组件的补丁程序。</w:t>
      </w:r>
    </w:p>
    <w:p w14:paraId="41724CBF">
      <w:pPr>
        <w:pStyle w:val="7"/>
        <w:widowControl/>
        <w:spacing w:before="280" w:after="290"/>
        <w:ind w:left="0" w:firstLine="0"/>
        <w:rPr>
          <w:rFonts w:hint="eastAsia" w:ascii="宋体" w:hAnsi="宋体"/>
          <w:sz w:val="21"/>
          <w:szCs w:val="21"/>
        </w:rPr>
      </w:pPr>
      <w:r>
        <w:rPr>
          <w:rFonts w:hint="eastAsia" w:ascii="宋体" w:hAnsi="宋体"/>
          <w:sz w:val="21"/>
          <w:szCs w:val="21"/>
        </w:rPr>
        <w:t>应急保障</w:t>
      </w:r>
    </w:p>
    <w:p w14:paraId="58F71CF1">
      <w:pPr>
        <w:pStyle w:val="2"/>
        <w:spacing w:line="360" w:lineRule="auto"/>
        <w:rPr>
          <w:rFonts w:hint="eastAsia" w:ascii="宋体" w:hAnsi="宋体"/>
          <w:szCs w:val="21"/>
        </w:rPr>
      </w:pPr>
      <w:r>
        <w:rPr>
          <w:rFonts w:hint="eastAsia" w:ascii="宋体" w:hAnsi="宋体"/>
          <w:szCs w:val="21"/>
        </w:rPr>
        <w:t>组织成立系统应急保障团队，制定应急保障方案，配备应急备品备件，定期组织应急演练，快速处置应急事件。</w:t>
      </w:r>
    </w:p>
    <w:p w14:paraId="1B1E366D">
      <w:pPr>
        <w:pStyle w:val="7"/>
        <w:widowControl/>
        <w:spacing w:before="280" w:after="290"/>
        <w:ind w:left="0" w:firstLine="0"/>
        <w:rPr>
          <w:rFonts w:hint="eastAsia" w:ascii="宋体" w:hAnsi="宋体"/>
          <w:sz w:val="21"/>
          <w:szCs w:val="21"/>
        </w:rPr>
      </w:pPr>
      <w:r>
        <w:rPr>
          <w:rFonts w:hint="eastAsia" w:ascii="宋体" w:hAnsi="宋体"/>
          <w:sz w:val="21"/>
          <w:szCs w:val="21"/>
        </w:rPr>
        <w:t>供应链安全</w:t>
      </w:r>
    </w:p>
    <w:p w14:paraId="711AA426">
      <w:pPr>
        <w:spacing w:line="360" w:lineRule="auto"/>
        <w:ind w:left="420" w:firstLine="420" w:firstLineChars="200"/>
        <w:rPr>
          <w:rFonts w:hint="eastAsia" w:ascii="宋体" w:hAnsi="宋体" w:eastAsia="宋体"/>
          <w:szCs w:val="21"/>
        </w:rPr>
      </w:pPr>
      <w:r>
        <w:rPr>
          <w:rFonts w:hint="eastAsia" w:ascii="宋体" w:hAnsi="宋体" w:eastAsia="宋体"/>
          <w:szCs w:val="21"/>
        </w:rPr>
        <w:t>建立项目成员列表，包括人员基本信息、项目中承担的职责、拥有的系统权限等。中标人项目团队负责人及重要工作人员变更、业务转型、合并重组、投资并购，应提前向招标人报告。配合做好安全检查、检测测评和安全整改等工作。</w:t>
      </w:r>
    </w:p>
    <w:p w14:paraId="26183A9F">
      <w:pPr>
        <w:pStyle w:val="7"/>
        <w:widowControl/>
        <w:spacing w:before="280" w:after="290"/>
        <w:ind w:left="0" w:firstLine="0"/>
        <w:rPr>
          <w:rFonts w:hint="eastAsia" w:ascii="宋体" w:hAnsi="宋体"/>
          <w:sz w:val="21"/>
          <w:szCs w:val="21"/>
        </w:rPr>
      </w:pPr>
      <w:r>
        <w:rPr>
          <w:rFonts w:hint="eastAsia" w:ascii="宋体" w:hAnsi="宋体"/>
          <w:sz w:val="21"/>
          <w:szCs w:val="21"/>
        </w:rPr>
        <w:t>商用密码安全</w:t>
      </w:r>
    </w:p>
    <w:p w14:paraId="0A8DA022">
      <w:pPr>
        <w:spacing w:line="360" w:lineRule="auto"/>
        <w:ind w:left="420" w:firstLine="420" w:firstLineChars="200"/>
        <w:rPr>
          <w:rFonts w:hint="eastAsia" w:ascii="宋体" w:hAnsi="宋体" w:eastAsia="宋体" w:cs="宋体"/>
          <w:color w:val="000000" w:themeColor="text1"/>
          <w:szCs w:val="21"/>
          <w:lang w:bidi="ar"/>
          <w14:textFill>
            <w14:solidFill>
              <w14:schemeClr w14:val="tx1"/>
            </w14:solidFill>
          </w14:textFill>
        </w:rPr>
      </w:pPr>
      <w:r>
        <w:rPr>
          <w:rFonts w:hint="eastAsia" w:ascii="宋体" w:hAnsi="宋体" w:eastAsia="宋体" w:cs="宋体"/>
          <w:color w:val="000000" w:themeColor="text1"/>
          <w:szCs w:val="21"/>
          <w:lang w:bidi="ar"/>
          <w14:textFill>
            <w14:solidFill>
              <w14:schemeClr w14:val="tx1"/>
            </w14:solidFill>
          </w14:textFill>
        </w:rPr>
        <w:t>按照《中华人民共和国密码法》《商用密码管理条例》等法律法规要求设计和应用密码方案；</w:t>
      </w:r>
    </w:p>
    <w:p w14:paraId="7644FEEE">
      <w:pPr>
        <w:spacing w:line="360" w:lineRule="auto"/>
        <w:ind w:left="420" w:firstLine="420" w:firstLineChars="200"/>
        <w:rPr>
          <w:rFonts w:hint="eastAsia" w:ascii="宋体" w:hAnsi="宋体" w:eastAsia="宋体" w:cs="宋体"/>
          <w:color w:val="000000" w:themeColor="text1"/>
          <w:szCs w:val="21"/>
          <w:lang w:bidi="ar"/>
          <w14:textFill>
            <w14:solidFill>
              <w14:schemeClr w14:val="tx1"/>
            </w14:solidFill>
          </w14:textFill>
        </w:rPr>
      </w:pPr>
      <w:r>
        <w:rPr>
          <w:rFonts w:ascii="宋体" w:hAnsi="宋体" w:eastAsia="宋体" w:cs="宋体"/>
          <w:color w:val="000000" w:themeColor="text1"/>
          <w:szCs w:val="21"/>
          <w:lang w:bidi="ar"/>
          <w14:textFill>
            <w14:solidFill>
              <w14:schemeClr w14:val="tx1"/>
            </w14:solidFill>
          </w14:textFill>
        </w:rPr>
        <w:t>为了保障商用密码的安全性，</w:t>
      </w:r>
      <w:r>
        <w:rPr>
          <w:rFonts w:hint="eastAsia" w:ascii="宋体" w:hAnsi="宋体" w:eastAsia="宋体" w:cs="宋体"/>
          <w:color w:val="000000" w:themeColor="text1"/>
          <w:szCs w:val="21"/>
          <w:lang w:bidi="ar"/>
          <w14:textFill>
            <w14:solidFill>
              <w14:schemeClr w14:val="tx1"/>
            </w14:solidFill>
          </w14:textFill>
        </w:rPr>
        <w:t>采用</w:t>
      </w:r>
      <w:r>
        <w:rPr>
          <w:rFonts w:ascii="宋体" w:hAnsi="宋体" w:eastAsia="宋体" w:cs="宋体"/>
          <w:color w:val="000000" w:themeColor="text1"/>
          <w:szCs w:val="21"/>
          <w:lang w:bidi="ar"/>
          <w14:textFill>
            <w14:solidFill>
              <w14:schemeClr w14:val="tx1"/>
            </w14:solidFill>
          </w14:textFill>
        </w:rPr>
        <w:t>国家密码局制定</w:t>
      </w:r>
      <w:r>
        <w:rPr>
          <w:rFonts w:hint="eastAsia" w:ascii="宋体" w:hAnsi="宋体" w:eastAsia="宋体" w:cs="宋体"/>
          <w:color w:val="000000" w:themeColor="text1"/>
          <w:szCs w:val="21"/>
          <w:lang w:bidi="ar"/>
          <w14:textFill>
            <w14:solidFill>
              <w14:schemeClr w14:val="tx1"/>
            </w14:solidFill>
          </w14:textFill>
        </w:rPr>
        <w:t>的</w:t>
      </w:r>
      <w:r>
        <w:rPr>
          <w:rFonts w:ascii="宋体" w:hAnsi="宋体" w:eastAsia="宋体" w:cs="宋体"/>
          <w:color w:val="000000" w:themeColor="text1"/>
          <w:szCs w:val="21"/>
          <w:lang w:bidi="ar"/>
          <w14:textFill>
            <w14:solidFill>
              <w14:schemeClr w14:val="tx1"/>
            </w14:solidFill>
          </w14:textFill>
        </w:rPr>
        <w:t>一系列密码标准，包括：SM2 、SM3 、SM4等</w:t>
      </w:r>
      <w:r>
        <w:rPr>
          <w:rFonts w:hint="eastAsia" w:ascii="宋体" w:hAnsi="宋体" w:eastAsia="宋体" w:cs="宋体"/>
          <w:color w:val="000000" w:themeColor="text1"/>
          <w:szCs w:val="21"/>
          <w:lang w:bidi="ar"/>
          <w14:textFill>
            <w14:solidFill>
              <w14:schemeClr w14:val="tx1"/>
            </w14:solidFill>
          </w14:textFill>
        </w:rPr>
        <w:t>进行数据加解密，平台主要应用于用户信息、会话信息、投标数据、专家信息等需要进行数据加解密的各个业务场景。</w:t>
      </w:r>
    </w:p>
    <w:p w14:paraId="4FF4F4B5">
      <w:pPr>
        <w:pStyle w:val="6"/>
        <w:widowControl/>
        <w:spacing w:before="260" w:after="260"/>
        <w:ind w:left="0" w:firstLine="0"/>
        <w:rPr>
          <w:rFonts w:hint="eastAsia" w:ascii="宋体" w:hAnsi="宋体"/>
          <w:sz w:val="21"/>
          <w:szCs w:val="21"/>
        </w:rPr>
      </w:pPr>
      <w:bookmarkStart w:id="191" w:name="_Toc180265619"/>
      <w:r>
        <w:rPr>
          <w:rFonts w:hint="eastAsia" w:ascii="宋体" w:hAnsi="宋体"/>
          <w:sz w:val="21"/>
          <w:szCs w:val="21"/>
        </w:rPr>
        <w:t>数据安全方案</w:t>
      </w:r>
      <w:bookmarkEnd w:id="191"/>
    </w:p>
    <w:p w14:paraId="035CB486">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数据分类与分级：根据数据的敏感程度和价值，对数据进行分类和分级管理，明确不同级别数据的保护要求。</w:t>
      </w:r>
    </w:p>
    <w:p w14:paraId="16863A52">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数据加密存储：采用先进的加密算法对数据进行加密存储，确保数据在存储过程中的安全性。</w:t>
      </w:r>
    </w:p>
    <w:p w14:paraId="367813C3">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数据访问控制：建立严格的访问控制机制，对不同用户或系统角色设定不同的访问权限，防止未经授权的访问。</w:t>
      </w:r>
    </w:p>
    <w:p w14:paraId="379AED9E">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数据备份与恢复：制定数据备份策略，确保数据的可靠性和可用性。同时，建立数据恢复机制，以便在数据丢失或损坏时能够迅速恢复。</w:t>
      </w:r>
    </w:p>
    <w:p w14:paraId="4D9A8EB4">
      <w:pPr>
        <w:pStyle w:val="7"/>
        <w:widowControl/>
        <w:spacing w:before="280" w:after="290"/>
        <w:ind w:left="0" w:firstLine="0"/>
        <w:rPr>
          <w:rFonts w:hint="eastAsia" w:ascii="宋体" w:hAnsi="宋体"/>
          <w:sz w:val="21"/>
          <w:szCs w:val="21"/>
        </w:rPr>
      </w:pPr>
      <w:r>
        <w:rPr>
          <w:rFonts w:hint="eastAsia" w:ascii="宋体" w:hAnsi="宋体"/>
          <w:sz w:val="21"/>
          <w:szCs w:val="21"/>
        </w:rPr>
        <w:t>数据存储安全</w:t>
      </w:r>
    </w:p>
    <w:p w14:paraId="3D617418">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为确保数据存储的安全性，本方案将采取分层、多维度的安全防护措施。首先，依据数据的敏感程度和价值，对敏感数据进行分类分级，并实施相应的加密策略。例如，对于最高级别的敏感数据，将采用国密SM4算法进行加密，以保障数据在存储过程中的机密性和完整性。</w:t>
      </w:r>
    </w:p>
    <w:p w14:paraId="5EAF9B5A">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其次，将建立数据备份机制，对关键数据进行定期备份，并将备份数据存储于安全的异地备份中心，以防数据丢失或损坏。同时，制定详细的灾难恢复计划，确保在发生重大故障或灾难时，能够迅速恢复数据，保障业务连续性。</w:t>
      </w:r>
    </w:p>
    <w:p w14:paraId="11E7B559">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此外，将实施严格的访问控制策略，对数据访问进行细粒度的权限管理，确保只有授权用户才能访问相应级别的数据。同时，通过审计日志记录所有数据访问行为，以便于追踪和分析潜在的安全威胁。</w:t>
      </w:r>
    </w:p>
    <w:p w14:paraId="0124CF28">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为了进一步加强数据存储安全，将采用先进的数据脱敏技术，对敏感信息进行脱敏处理，以降低数据泄露风险。同时，定期对存储系统进行安全评估和漏洞扫描，及时发现并修复安全漏洞，确保数据存储环境的安全稳定。</w:t>
      </w:r>
    </w:p>
    <w:p w14:paraId="7C2BF15E">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最后，将对数据存储安全进行持续的监控和审计，确保所有安全措施得到有效执行，并及时响应任何安全事件，确保数据存储安全无虞。</w:t>
      </w:r>
    </w:p>
    <w:p w14:paraId="3CD79A10">
      <w:pPr>
        <w:pStyle w:val="7"/>
        <w:widowControl/>
        <w:spacing w:before="280" w:after="290"/>
        <w:ind w:left="0" w:firstLine="0"/>
        <w:rPr>
          <w:rFonts w:hint="eastAsia" w:ascii="宋体" w:hAnsi="宋体"/>
          <w:sz w:val="21"/>
          <w:szCs w:val="21"/>
        </w:rPr>
      </w:pPr>
      <w:r>
        <w:rPr>
          <w:rFonts w:hint="eastAsia" w:ascii="宋体" w:hAnsi="宋体"/>
          <w:sz w:val="21"/>
          <w:szCs w:val="21"/>
        </w:rPr>
        <w:t>数据防泄漏防篡改方案</w:t>
      </w:r>
    </w:p>
    <w:p w14:paraId="363E2105">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数据传输安全：采用安全的传输协议（如HTTPS、SSL/TLS）进行数据传输，防止数据在传输过程中被窃取或篡改。</w:t>
      </w:r>
    </w:p>
    <w:p w14:paraId="0885820E">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数据完整性校验：采用数字签名、哈希值等技术对数据进行完整性校验，确保数据的真实性和完整性。</w:t>
      </w:r>
    </w:p>
    <w:p w14:paraId="04DB0046">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数据操作审计：记录数据操作日志，包括数据的创建、修改、删除等操作，以便在数据发生异常时能够追溯和定位。</w:t>
      </w:r>
    </w:p>
    <w:p w14:paraId="60A61ED9">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数据防泄漏技术：采用数据脱敏、数据水印等技术，防止敏感数据被泄露或滥用。</w:t>
      </w:r>
    </w:p>
    <w:p w14:paraId="5FFA451E">
      <w:pPr>
        <w:pStyle w:val="6"/>
        <w:widowControl/>
        <w:spacing w:before="260" w:after="260"/>
        <w:ind w:left="0" w:firstLine="0"/>
        <w:rPr>
          <w:rFonts w:hint="eastAsia" w:ascii="宋体" w:hAnsi="宋体"/>
          <w:szCs w:val="24"/>
        </w:rPr>
      </w:pPr>
      <w:bookmarkStart w:id="192" w:name="_Toc180265620"/>
      <w:r>
        <w:rPr>
          <w:rFonts w:hint="eastAsia" w:ascii="宋体" w:hAnsi="宋体"/>
          <w:szCs w:val="24"/>
        </w:rPr>
        <w:t>个人信息防护方案</w:t>
      </w:r>
      <w:bookmarkEnd w:id="192"/>
    </w:p>
    <w:p w14:paraId="1F3A8B62">
      <w:pPr>
        <w:pStyle w:val="7"/>
        <w:widowControl/>
        <w:spacing w:before="280" w:after="290"/>
        <w:ind w:left="0" w:firstLine="0"/>
        <w:rPr>
          <w:rFonts w:hint="eastAsia" w:ascii="宋体" w:hAnsi="宋体"/>
          <w:sz w:val="21"/>
          <w:szCs w:val="21"/>
        </w:rPr>
      </w:pPr>
      <w:r>
        <w:rPr>
          <w:rFonts w:hint="eastAsia" w:ascii="宋体" w:hAnsi="宋体"/>
          <w:sz w:val="21"/>
          <w:szCs w:val="21"/>
        </w:rPr>
        <w:t>个人信息处理原则</w:t>
      </w:r>
    </w:p>
    <w:p w14:paraId="2401EF44">
      <w:pPr>
        <w:pStyle w:val="2"/>
        <w:spacing w:line="360" w:lineRule="auto"/>
        <w:rPr>
          <w:rFonts w:hint="eastAsia" w:ascii="宋体" w:hAnsi="宋体"/>
          <w:szCs w:val="21"/>
        </w:rPr>
      </w:pPr>
      <w:r>
        <w:rPr>
          <w:rFonts w:hint="eastAsia" w:ascii="宋体" w:hAnsi="宋体"/>
          <w:szCs w:val="21"/>
        </w:rPr>
        <w:t>（1）合法性、正当性与必要性原则</w:t>
      </w:r>
    </w:p>
    <w:p w14:paraId="7944D42C">
      <w:pPr>
        <w:pStyle w:val="2"/>
        <w:spacing w:line="360" w:lineRule="auto"/>
        <w:rPr>
          <w:rFonts w:hint="eastAsia" w:ascii="宋体" w:hAnsi="宋体"/>
          <w:szCs w:val="21"/>
        </w:rPr>
      </w:pPr>
      <w:r>
        <w:rPr>
          <w:rFonts w:hint="eastAsia" w:ascii="宋体" w:hAnsi="宋体"/>
          <w:szCs w:val="21"/>
        </w:rPr>
        <w:t>在收集个人信息前，明确合法的依据，如获得用户明确授权、基于合同履行需要等。确保收集目的明确且正当，不通过欺骗、诱导等手段获取信息。</w:t>
      </w:r>
      <w:r>
        <w:rPr>
          <w:rFonts w:hint="eastAsia" w:ascii="宋体" w:hAnsi="宋体" w:cs="宋体"/>
          <w:color w:val="000000"/>
          <w:szCs w:val="21"/>
          <w:lang w:bidi="ar"/>
        </w:rPr>
        <w:t>遵循最小化原则，仅收集实现业务功能所必需的个人信息</w:t>
      </w:r>
      <w:r>
        <w:rPr>
          <w:rFonts w:hint="eastAsia" w:ascii="宋体" w:hAnsi="宋体"/>
          <w:szCs w:val="21"/>
        </w:rPr>
        <w:t>。</w:t>
      </w:r>
    </w:p>
    <w:p w14:paraId="608C9F55">
      <w:pPr>
        <w:pStyle w:val="2"/>
        <w:spacing w:line="360" w:lineRule="auto"/>
        <w:ind w:left="840" w:leftChars="400" w:firstLine="0" w:firstLineChars="0"/>
        <w:rPr>
          <w:rFonts w:hint="eastAsia" w:ascii="宋体" w:hAnsi="宋体" w:cs="宋体"/>
          <w:color w:val="000000"/>
          <w:szCs w:val="21"/>
          <w:lang w:bidi="ar"/>
        </w:rPr>
      </w:pPr>
      <w:r>
        <w:rPr>
          <w:rFonts w:hint="eastAsia" w:ascii="宋体" w:hAnsi="宋体" w:cs="宋体"/>
          <w:color w:val="000000"/>
          <w:szCs w:val="21"/>
          <w:lang w:bidi="ar"/>
        </w:rPr>
        <w:t>（2）信息删除与匿名化处理</w:t>
      </w:r>
    </w:p>
    <w:p w14:paraId="0DC969C2">
      <w:pPr>
        <w:pStyle w:val="2"/>
        <w:spacing w:line="360" w:lineRule="auto"/>
        <w:ind w:left="840" w:leftChars="400" w:firstLine="0" w:firstLineChars="0"/>
        <w:rPr>
          <w:rFonts w:hint="eastAsia" w:ascii="宋体" w:hAnsi="宋体" w:cs="宋体"/>
          <w:color w:val="000000"/>
          <w:szCs w:val="21"/>
          <w:lang w:bidi="ar"/>
        </w:rPr>
      </w:pPr>
      <w:r>
        <w:rPr>
          <w:rFonts w:hint="eastAsia" w:ascii="宋体" w:hAnsi="宋体" w:cs="宋体"/>
          <w:color w:val="000000"/>
          <w:szCs w:val="21"/>
          <w:lang w:bidi="ar"/>
        </w:rPr>
        <w:t>在个人信息不再需要时，及时删除或进行匿名化处理，降低个人信息泄露的风险。</w:t>
      </w:r>
    </w:p>
    <w:p w14:paraId="02EADDD8">
      <w:pPr>
        <w:pStyle w:val="7"/>
        <w:widowControl/>
        <w:spacing w:before="280" w:after="290"/>
        <w:ind w:left="0" w:firstLine="0"/>
        <w:rPr>
          <w:rFonts w:hint="eastAsia" w:ascii="宋体" w:hAnsi="宋体"/>
          <w:sz w:val="21"/>
          <w:szCs w:val="21"/>
        </w:rPr>
      </w:pPr>
      <w:r>
        <w:rPr>
          <w:rFonts w:hint="eastAsia" w:ascii="宋体" w:hAnsi="宋体"/>
          <w:sz w:val="21"/>
          <w:szCs w:val="21"/>
        </w:rPr>
        <w:t>个人信息全生命周期管理</w:t>
      </w:r>
    </w:p>
    <w:p w14:paraId="074D5AF3">
      <w:pPr>
        <w:pStyle w:val="2"/>
        <w:spacing w:line="360" w:lineRule="auto"/>
        <w:rPr>
          <w:rFonts w:hint="eastAsia" w:ascii="宋体" w:hAnsi="宋体"/>
          <w:szCs w:val="21"/>
        </w:rPr>
      </w:pPr>
      <w:r>
        <w:rPr>
          <w:rFonts w:hint="eastAsia" w:ascii="宋体" w:hAnsi="宋体"/>
          <w:szCs w:val="21"/>
        </w:rPr>
        <w:t>（1）收集阶段</w:t>
      </w:r>
    </w:p>
    <w:p w14:paraId="3DA6C797">
      <w:pPr>
        <w:pStyle w:val="2"/>
        <w:spacing w:line="360" w:lineRule="auto"/>
        <w:rPr>
          <w:rFonts w:hint="eastAsia" w:ascii="宋体" w:hAnsi="宋体"/>
          <w:szCs w:val="21"/>
        </w:rPr>
      </w:pPr>
      <w:r>
        <w:rPr>
          <w:rFonts w:hint="eastAsia" w:ascii="宋体" w:hAnsi="宋体"/>
          <w:szCs w:val="21"/>
        </w:rPr>
        <w:t>收集渠道规范，建立清晰、明确的信息收集渠道标识，无论是通过网站表单、移动应用界面还是线下纸质表格收集信息，都要向用户明示收集信息的目的、范围和使用方式。例如，在网站上设置显著的隐私政策链接，在应用首次打开时以弹窗形式展示隐私协议要点并获取用户同意。</w:t>
      </w:r>
    </w:p>
    <w:p w14:paraId="4243B5E0">
      <w:pPr>
        <w:pStyle w:val="2"/>
        <w:spacing w:line="360" w:lineRule="auto"/>
        <w:rPr>
          <w:rFonts w:hint="eastAsia" w:ascii="宋体" w:hAnsi="宋体"/>
          <w:szCs w:val="21"/>
        </w:rPr>
      </w:pPr>
      <w:r>
        <w:rPr>
          <w:rFonts w:hint="eastAsia" w:ascii="宋体" w:hAnsi="宋体"/>
          <w:szCs w:val="21"/>
        </w:rPr>
        <w:t>用户授权管理，采用明示同意机制，如通过勾选框、电子签名等方式确保用户在充分知情的情况下给予明确授权。对于敏感个人信息，如生物识别信息、金融账户信息等，应进行单独提示并获取用户的单独同意。</w:t>
      </w:r>
    </w:p>
    <w:p w14:paraId="3AA52E9D">
      <w:pPr>
        <w:pStyle w:val="2"/>
        <w:spacing w:line="360" w:lineRule="auto"/>
        <w:rPr>
          <w:rFonts w:hint="eastAsia" w:ascii="宋体" w:hAnsi="宋体"/>
          <w:szCs w:val="21"/>
        </w:rPr>
      </w:pPr>
      <w:r>
        <w:rPr>
          <w:rFonts w:hint="eastAsia" w:ascii="宋体" w:hAnsi="宋体"/>
          <w:szCs w:val="21"/>
        </w:rPr>
        <w:t>（2）存储阶段</w:t>
      </w:r>
    </w:p>
    <w:p w14:paraId="6DFA0783">
      <w:pPr>
        <w:pStyle w:val="2"/>
        <w:spacing w:line="360" w:lineRule="auto"/>
        <w:rPr>
          <w:rFonts w:hint="eastAsia" w:ascii="宋体" w:hAnsi="宋体"/>
          <w:szCs w:val="21"/>
        </w:rPr>
      </w:pPr>
      <w:r>
        <w:rPr>
          <w:rFonts w:hint="eastAsia" w:ascii="宋体" w:hAnsi="宋体"/>
          <w:szCs w:val="21"/>
        </w:rPr>
        <w:t>安全存储措施，对个人信息进行分类存储，根据敏感程度采用不同的加密技术。例如，使用加密算法对敏感信息进行加密存储，存储密钥进行严格管理和定期更新。将信息存储在安全可靠的数据库中，设置访问控制机制，只有经过授权的人员才能访问相关数据。</w:t>
      </w:r>
    </w:p>
    <w:p w14:paraId="2BFF1B8F">
      <w:pPr>
        <w:pStyle w:val="2"/>
        <w:spacing w:line="360" w:lineRule="auto"/>
        <w:rPr>
          <w:rFonts w:hint="eastAsia" w:ascii="宋体" w:hAnsi="宋体"/>
          <w:szCs w:val="21"/>
        </w:rPr>
      </w:pPr>
      <w:r>
        <w:rPr>
          <w:rFonts w:hint="eastAsia" w:ascii="宋体" w:hAnsi="宋体"/>
          <w:szCs w:val="21"/>
        </w:rPr>
        <w:t>存储期限管理，根据业务需求和法律法规规定，确定个人信息的存储期限。一旦超过存储期限，应采取安全删除或匿名化处理等措施。例如，对于用户的订单信息，在完成交易且售后服务期结束后，按照规定的期限进行处理。</w:t>
      </w:r>
    </w:p>
    <w:p w14:paraId="74D1173C">
      <w:pPr>
        <w:pStyle w:val="2"/>
        <w:spacing w:line="360" w:lineRule="auto"/>
        <w:rPr>
          <w:rFonts w:hint="eastAsia" w:ascii="宋体" w:hAnsi="宋体"/>
          <w:szCs w:val="21"/>
        </w:rPr>
      </w:pPr>
      <w:r>
        <w:rPr>
          <w:rFonts w:hint="eastAsia" w:ascii="宋体" w:hAnsi="宋体"/>
          <w:szCs w:val="21"/>
        </w:rPr>
        <w:t>（3）使用阶段</w:t>
      </w:r>
    </w:p>
    <w:p w14:paraId="14755448">
      <w:pPr>
        <w:pStyle w:val="2"/>
        <w:spacing w:line="360" w:lineRule="auto"/>
        <w:rPr>
          <w:rFonts w:hint="eastAsia" w:ascii="宋体" w:hAnsi="宋体"/>
          <w:szCs w:val="21"/>
        </w:rPr>
      </w:pPr>
      <w:r>
        <w:rPr>
          <w:rFonts w:hint="eastAsia" w:ascii="宋体" w:hAnsi="宋体"/>
          <w:szCs w:val="21"/>
        </w:rPr>
        <w:t>内部使用规范，建立严格的内部信息使用审批流程，明确规定哪些人员可以在何种业务场景下使用哪些个人信息。对个人信息的访问进行详细记录，包括访问时间、访问人员、访问内容等，以便进行审计和追溯。</w:t>
      </w:r>
    </w:p>
    <w:p w14:paraId="742F0ED1">
      <w:pPr>
        <w:pStyle w:val="2"/>
        <w:spacing w:line="360" w:lineRule="auto"/>
        <w:rPr>
          <w:rFonts w:hint="eastAsia" w:ascii="宋体" w:hAnsi="宋体"/>
          <w:szCs w:val="21"/>
        </w:rPr>
      </w:pPr>
      <w:r>
        <w:rPr>
          <w:rFonts w:hint="eastAsia" w:ascii="宋体" w:hAnsi="宋体"/>
          <w:szCs w:val="21"/>
        </w:rPr>
        <w:t>对外共享限制，在向第三方共享个人信息时，应进行严格的安全评估和用户授权。与第三方签订数据安全协议，明确双方的数据保护责任。例如，当向合作的营销公司提供用户部分信息时，需确保数据接收方采取不低于本方案的保护措施，并经过用户同意（如在隐私政策中明确告知共享情况并获取同意）。</w:t>
      </w:r>
    </w:p>
    <w:p w14:paraId="4C585EC3">
      <w:pPr>
        <w:pStyle w:val="2"/>
        <w:spacing w:line="360" w:lineRule="auto"/>
        <w:rPr>
          <w:rFonts w:hint="eastAsia" w:ascii="宋体" w:hAnsi="宋体"/>
          <w:szCs w:val="21"/>
        </w:rPr>
      </w:pPr>
      <w:r>
        <w:rPr>
          <w:rFonts w:hint="eastAsia" w:ascii="宋体" w:hAnsi="宋体"/>
          <w:szCs w:val="21"/>
        </w:rPr>
        <w:t>（4）传输阶段</w:t>
      </w:r>
    </w:p>
    <w:p w14:paraId="75383BF9">
      <w:pPr>
        <w:pStyle w:val="2"/>
        <w:spacing w:line="360" w:lineRule="auto"/>
        <w:rPr>
          <w:rFonts w:hint="eastAsia" w:ascii="宋体" w:hAnsi="宋体"/>
          <w:szCs w:val="21"/>
        </w:rPr>
      </w:pPr>
      <w:r>
        <w:rPr>
          <w:rFonts w:hint="eastAsia" w:ascii="宋体" w:hAnsi="宋体"/>
          <w:szCs w:val="21"/>
        </w:rPr>
        <w:t>加密传输，在个人信息通过网络进行传输时，无论是内部系统之间的数据传输还是与外部合作伙伴的数据交互，都应采用安全的加密传输协议，如 SSL/TLS 协议。防止信息在传输过程中被窃取、篡改。</w:t>
      </w:r>
    </w:p>
    <w:p w14:paraId="0961B732">
      <w:pPr>
        <w:pStyle w:val="7"/>
        <w:widowControl/>
        <w:spacing w:before="280" w:after="290"/>
        <w:ind w:left="0" w:firstLine="0"/>
        <w:rPr>
          <w:rFonts w:hint="eastAsia" w:ascii="宋体" w:hAnsi="宋体"/>
          <w:sz w:val="21"/>
          <w:szCs w:val="21"/>
        </w:rPr>
      </w:pPr>
      <w:r>
        <w:rPr>
          <w:rFonts w:hint="eastAsia" w:ascii="宋体" w:hAnsi="宋体"/>
          <w:sz w:val="21"/>
          <w:szCs w:val="21"/>
        </w:rPr>
        <w:t>用户权利保障机制</w:t>
      </w:r>
    </w:p>
    <w:p w14:paraId="04BDB6D6">
      <w:pPr>
        <w:pStyle w:val="2"/>
        <w:spacing w:line="360" w:lineRule="auto"/>
        <w:rPr>
          <w:rFonts w:hint="eastAsia" w:ascii="宋体" w:hAnsi="宋体"/>
          <w:szCs w:val="21"/>
        </w:rPr>
      </w:pPr>
      <w:r>
        <w:rPr>
          <w:rFonts w:hint="eastAsia" w:ascii="宋体" w:hAnsi="宋体"/>
          <w:szCs w:val="21"/>
        </w:rPr>
        <w:t>（1）知情权保障</w:t>
      </w:r>
    </w:p>
    <w:p w14:paraId="7D1BCFA9">
      <w:pPr>
        <w:pStyle w:val="2"/>
        <w:spacing w:line="360" w:lineRule="auto"/>
        <w:rPr>
          <w:rFonts w:hint="eastAsia" w:ascii="宋体" w:hAnsi="宋体"/>
          <w:szCs w:val="21"/>
        </w:rPr>
      </w:pPr>
      <w:r>
        <w:rPr>
          <w:rFonts w:hint="eastAsia" w:ascii="宋体" w:hAnsi="宋体"/>
          <w:szCs w:val="21"/>
        </w:rPr>
        <w:t>以清晰、易懂的方式向用户告知个人信息处理的相关情况，包括处理者的名称和联系方式、处理目的、处理方式、信息存储期限等。定期向用户推送个人信息处理情况报告，让用户清楚了解自己的信息如何被使用和管理。</w:t>
      </w:r>
    </w:p>
    <w:p w14:paraId="2EFA6EC5">
      <w:pPr>
        <w:pStyle w:val="2"/>
        <w:spacing w:line="360" w:lineRule="auto"/>
        <w:rPr>
          <w:rFonts w:hint="eastAsia" w:ascii="宋体" w:hAnsi="宋体"/>
          <w:szCs w:val="21"/>
        </w:rPr>
      </w:pPr>
      <w:r>
        <w:rPr>
          <w:rFonts w:hint="eastAsia" w:ascii="宋体" w:hAnsi="宋体"/>
          <w:szCs w:val="21"/>
        </w:rPr>
        <w:t>（2）访问权与更正权实现</w:t>
      </w:r>
    </w:p>
    <w:p w14:paraId="58785674">
      <w:pPr>
        <w:pStyle w:val="2"/>
        <w:spacing w:line="360" w:lineRule="auto"/>
        <w:rPr>
          <w:rFonts w:hint="eastAsia" w:ascii="宋体" w:hAnsi="宋体"/>
          <w:szCs w:val="21"/>
        </w:rPr>
      </w:pPr>
      <w:r>
        <w:rPr>
          <w:rFonts w:hint="eastAsia" w:ascii="宋体" w:hAnsi="宋体"/>
          <w:szCs w:val="21"/>
        </w:rPr>
        <w:t>建立便捷的用户查询渠道，如在网站或 APP 中设置用户个人信息查询功能，允许用户随时查看自己的个人信息。当用户发现信息有误时，提供简便的更正流程，及时处理用户的更正请求。</w:t>
      </w:r>
    </w:p>
    <w:p w14:paraId="1B9986A5">
      <w:pPr>
        <w:pStyle w:val="2"/>
        <w:spacing w:line="360" w:lineRule="auto"/>
        <w:rPr>
          <w:rFonts w:hint="eastAsia" w:ascii="宋体" w:hAnsi="宋体"/>
          <w:szCs w:val="21"/>
        </w:rPr>
      </w:pPr>
      <w:r>
        <w:rPr>
          <w:rFonts w:hint="eastAsia" w:ascii="宋体" w:hAnsi="宋体"/>
          <w:szCs w:val="21"/>
        </w:rPr>
        <w:t>（3）删除权响应</w:t>
      </w:r>
    </w:p>
    <w:p w14:paraId="6BCF2DFF">
      <w:pPr>
        <w:pStyle w:val="2"/>
        <w:spacing w:line="360" w:lineRule="auto"/>
        <w:rPr>
          <w:rFonts w:hint="eastAsia" w:ascii="宋体" w:hAnsi="宋体"/>
          <w:szCs w:val="21"/>
        </w:rPr>
      </w:pPr>
      <w:r>
        <w:rPr>
          <w:rFonts w:hint="eastAsia" w:ascii="宋体" w:hAnsi="宋体"/>
          <w:szCs w:val="21"/>
        </w:rPr>
        <w:t>当用户提出删除个人信息的请求时，在规定的时间内进行响应并完成删除操作。确保删除操作彻底，包括从数据库、备份文件等所有存储介质中删除相关信息。同时，将删除情况告知用户。</w:t>
      </w:r>
    </w:p>
    <w:p w14:paraId="06248979">
      <w:pPr>
        <w:pStyle w:val="7"/>
        <w:widowControl/>
        <w:spacing w:before="280" w:after="290"/>
        <w:ind w:left="0" w:firstLine="0"/>
        <w:rPr>
          <w:rFonts w:hint="eastAsia" w:ascii="宋体" w:hAnsi="宋体"/>
          <w:sz w:val="21"/>
          <w:szCs w:val="21"/>
        </w:rPr>
      </w:pPr>
      <w:r>
        <w:rPr>
          <w:rFonts w:hint="eastAsia" w:ascii="宋体" w:hAnsi="宋体"/>
          <w:sz w:val="21"/>
          <w:szCs w:val="21"/>
        </w:rPr>
        <w:t>应急响应与风险监测机制</w:t>
      </w:r>
    </w:p>
    <w:p w14:paraId="42BAA7EC">
      <w:pPr>
        <w:pStyle w:val="2"/>
        <w:spacing w:line="360" w:lineRule="auto"/>
        <w:rPr>
          <w:rFonts w:hint="eastAsia" w:ascii="宋体" w:hAnsi="宋体"/>
          <w:szCs w:val="21"/>
        </w:rPr>
      </w:pPr>
      <w:r>
        <w:rPr>
          <w:rFonts w:hint="eastAsia" w:ascii="宋体" w:hAnsi="宋体"/>
          <w:szCs w:val="21"/>
        </w:rPr>
        <w:t>（1）风险监测</w:t>
      </w:r>
    </w:p>
    <w:p w14:paraId="0DC8CEB9">
      <w:pPr>
        <w:pStyle w:val="2"/>
        <w:spacing w:line="360" w:lineRule="auto"/>
        <w:rPr>
          <w:rFonts w:hint="eastAsia" w:ascii="宋体" w:hAnsi="宋体"/>
          <w:szCs w:val="21"/>
        </w:rPr>
      </w:pPr>
      <w:r>
        <w:rPr>
          <w:rFonts w:hint="eastAsia" w:ascii="宋体" w:hAnsi="宋体"/>
          <w:szCs w:val="21"/>
        </w:rPr>
        <w:t>建立实时的个人信息风险监测系统，利用数据分析工具和技术，监测个人信息的收集、存储、使用等环节是否存在异常情况，如数据流量异常、频繁的访问尝试等。对监测到的风险及时进行预警。</w:t>
      </w:r>
    </w:p>
    <w:p w14:paraId="6BAF3558">
      <w:pPr>
        <w:pStyle w:val="2"/>
        <w:spacing w:line="360" w:lineRule="auto"/>
        <w:rPr>
          <w:rFonts w:hint="eastAsia" w:ascii="宋体" w:hAnsi="宋体"/>
          <w:szCs w:val="21"/>
        </w:rPr>
      </w:pPr>
      <w:r>
        <w:rPr>
          <w:rFonts w:hint="eastAsia" w:ascii="宋体" w:hAnsi="宋体"/>
          <w:szCs w:val="21"/>
        </w:rPr>
        <w:t>（2）应急响应预案</w:t>
      </w:r>
    </w:p>
    <w:p w14:paraId="3B9E5C44">
      <w:pPr>
        <w:pStyle w:val="2"/>
        <w:spacing w:line="360" w:lineRule="auto"/>
        <w:rPr>
          <w:rFonts w:hint="eastAsia" w:ascii="宋体" w:hAnsi="宋体"/>
          <w:szCs w:val="21"/>
        </w:rPr>
      </w:pPr>
      <w:r>
        <w:rPr>
          <w:rFonts w:hint="eastAsia" w:ascii="宋体" w:hAnsi="宋体"/>
          <w:szCs w:val="21"/>
        </w:rPr>
        <w:t>制定完善的应急响应预案，在发生个人信息泄露、篡改等安全事件时，能够迅速采取措施，如立即停止数据处理活动、通知受影响的用户、进行数据恢复等。同时，按照规定及时向监管部门报告安全事件情况。</w:t>
      </w:r>
    </w:p>
    <w:p w14:paraId="45467ABD">
      <w:pPr>
        <w:pStyle w:val="6"/>
        <w:widowControl/>
        <w:spacing w:before="260" w:after="260"/>
        <w:ind w:left="0" w:firstLine="0"/>
        <w:rPr>
          <w:rFonts w:hint="eastAsia" w:ascii="宋体" w:hAnsi="宋体"/>
          <w:szCs w:val="24"/>
        </w:rPr>
      </w:pPr>
      <w:bookmarkStart w:id="193" w:name="_Toc180265621"/>
      <w:r>
        <w:rPr>
          <w:rFonts w:hint="eastAsia" w:ascii="宋体" w:hAnsi="宋体"/>
          <w:szCs w:val="24"/>
        </w:rPr>
        <w:t>供应链安全管理方案</w:t>
      </w:r>
      <w:bookmarkEnd w:id="193"/>
    </w:p>
    <w:p w14:paraId="3BDF7CED">
      <w:pPr>
        <w:spacing w:line="360" w:lineRule="auto"/>
        <w:ind w:left="420" w:firstLine="420" w:firstLineChars="200"/>
        <w:rPr>
          <w:rFonts w:hint="eastAsia" w:ascii="宋体" w:hAnsi="宋体" w:eastAsia="宋体"/>
          <w:szCs w:val="21"/>
        </w:rPr>
      </w:pPr>
      <w:r>
        <w:rPr>
          <w:rFonts w:ascii="宋体" w:hAnsi="宋体" w:eastAsia="宋体"/>
          <w:szCs w:val="21"/>
        </w:rPr>
        <w:t>软件供应链是指在软件开发和交付过程中，涉及的所有组件、工具、服务和供应商的集合。它包括从源代码的编写、版本控制、构建和测试，到最终产品的部署和维护的整个生命周期。软件供应链安全是指保护软件开发和交付过程中涉及的所有环节、工具和组件的安全性，确保软件在从开发到部署的整个生命周期中不受恶意攻击、篡改或其他安全威胁。</w:t>
      </w:r>
      <w:r>
        <w:rPr>
          <w:rFonts w:hint="eastAsia" w:ascii="宋体" w:hAnsi="宋体" w:eastAsia="宋体"/>
          <w:szCs w:val="21"/>
        </w:rPr>
        <w:t>从以下几个方案加强供应链安全管理：</w:t>
      </w:r>
    </w:p>
    <w:p w14:paraId="07C868E4">
      <w:pPr>
        <w:pStyle w:val="7"/>
        <w:widowControl/>
        <w:spacing w:before="280" w:after="290"/>
        <w:ind w:left="0" w:firstLine="0"/>
        <w:rPr>
          <w:rFonts w:hint="eastAsia" w:ascii="宋体" w:hAnsi="宋体"/>
          <w:sz w:val="21"/>
          <w:szCs w:val="21"/>
        </w:rPr>
      </w:pPr>
      <w:r>
        <w:rPr>
          <w:rFonts w:hint="eastAsia" w:ascii="宋体" w:hAnsi="宋体"/>
          <w:sz w:val="21"/>
          <w:szCs w:val="21"/>
        </w:rPr>
        <w:t>供应商管理</w:t>
      </w:r>
    </w:p>
    <w:p w14:paraId="2E6CAFAC">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（1）供应商评估与选择</w:t>
      </w:r>
    </w:p>
    <w:p w14:paraId="1A9C1FD8">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建立严格的供应商评估标准，包括安全资质审查、过往安全记录调查等。对供应商的技术能力、安全管理体系进行深入评估，如查看是否有信息安全管理认证（如 ISO 27001）。优先选择安全声誉良好、有成熟安全实践经验的供应商合作。</w:t>
      </w:r>
    </w:p>
    <w:p w14:paraId="727E6A72">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定期审查供应商的运营状况，确保其持续符合安全要求。要求供应商提供定期的安全报告，涵盖网络安全态势、数据处理情况等内容。</w:t>
      </w:r>
    </w:p>
    <w:p w14:paraId="76C69477">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（2）合同与法律约束</w:t>
      </w:r>
    </w:p>
    <w:p w14:paraId="3B3A9F94">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在与供应商签订的合同中明确安全责任和义务条款。规定数据保护、知识产权保护、安全事件处理等方面的详细要求以及违约的惩罚措施。明确供应商在软件开发过程中对代码、算法等知识产权的归属问题，防止纠纷。</w:t>
      </w:r>
    </w:p>
    <w:p w14:paraId="5308BE77">
      <w:pPr>
        <w:pStyle w:val="7"/>
        <w:widowControl/>
        <w:spacing w:before="280" w:after="290"/>
        <w:ind w:left="0" w:firstLine="0"/>
        <w:rPr>
          <w:rFonts w:hint="eastAsia" w:ascii="宋体" w:hAnsi="宋体"/>
          <w:sz w:val="21"/>
          <w:szCs w:val="21"/>
        </w:rPr>
      </w:pPr>
      <w:r>
        <w:rPr>
          <w:rFonts w:hint="eastAsia" w:ascii="宋体" w:hAnsi="宋体"/>
          <w:sz w:val="21"/>
          <w:szCs w:val="21"/>
        </w:rPr>
        <w:t>代码与组件安全</w:t>
      </w:r>
    </w:p>
    <w:p w14:paraId="117FC2EF">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（1）代码来源审查</w:t>
      </w:r>
    </w:p>
    <w:p w14:paraId="6D660D48">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确保所有源代码来源合法、可追溯。对于开源代码，审查其许可证兼容性，避免因许可证冲突引发法律问题。跟踪开源组件的漏洞信息，及时更新或替换存在安全风险的组件。</w:t>
      </w:r>
    </w:p>
    <w:p w14:paraId="7F1887C7">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建立代码审查机制，通过静态代码分析工具和人工审查相结合的方式，检查代码中的安全漏洞、恶意代码植入风险等。例如，检查是否存在 SQL 注入、跨站脚本攻击等常见安全漏洞的代码模式。</w:t>
      </w:r>
    </w:p>
    <w:p w14:paraId="6B1DCA9C">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（2）组件安全基线管理</w:t>
      </w:r>
    </w:p>
    <w:p w14:paraId="70F2C379">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维护一个组件清单，记录所有使用的第三方组件信息，包括版本号、供应商信息、安全风险评估结果等。定期更新组件，确保使用最新的安全补丁版本。建立组件安全测试流程，在引入新组件或组件更新时进行安全测试，如渗透测试、功能兼容性测试等。</w:t>
      </w:r>
    </w:p>
    <w:p w14:paraId="2C41DC17">
      <w:pPr>
        <w:pStyle w:val="7"/>
        <w:widowControl/>
        <w:spacing w:before="280" w:after="290"/>
        <w:ind w:left="0" w:firstLine="0"/>
        <w:rPr>
          <w:rFonts w:hint="eastAsia" w:ascii="宋体" w:hAnsi="宋体"/>
          <w:sz w:val="21"/>
          <w:szCs w:val="21"/>
        </w:rPr>
      </w:pPr>
      <w:r>
        <w:rPr>
          <w:rFonts w:hint="eastAsia" w:ascii="宋体" w:hAnsi="宋体"/>
          <w:sz w:val="21"/>
          <w:szCs w:val="21"/>
        </w:rPr>
        <w:t>开发环境安全</w:t>
      </w:r>
    </w:p>
    <w:p w14:paraId="75A51DD1">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（1）网络安全防护</w:t>
      </w:r>
    </w:p>
    <w:p w14:paraId="5A75D55B">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对开发网络进行隔离，设置访问控制策略，仅允许授权设备和人员接入。采用防火墙、入侵检测 / 防御系统等安全设备监控网络流量，防止外部恶意攻击和非法访问。</w:t>
      </w:r>
    </w:p>
    <w:p w14:paraId="7586FCC4">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对开发环境中的服务器、终端设备等进行定期安全扫描和漏洞修复，确保系统安全。禁用不必要的服务和端口，减少攻击面。</w:t>
      </w:r>
    </w:p>
    <w:p w14:paraId="569BDCF1">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（2）权限管理</w:t>
      </w:r>
    </w:p>
    <w:p w14:paraId="3477FF90">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实施最小权限原则，为开发人员分配仅满足工作需求的权限。根据项目需求和人员职责划分不同的权限级别，如普通开发人员、项目负责人、安全管理员等各自拥有不同的权限范围。定期审查和更新人员权限，避免权限滥用。</w:t>
      </w:r>
    </w:p>
    <w:p w14:paraId="7A94145F">
      <w:pPr>
        <w:pStyle w:val="7"/>
        <w:widowControl/>
        <w:spacing w:before="280" w:after="290"/>
        <w:ind w:left="0" w:firstLine="0"/>
        <w:rPr>
          <w:rFonts w:hint="eastAsia" w:ascii="宋体" w:hAnsi="宋体"/>
          <w:sz w:val="21"/>
          <w:szCs w:val="21"/>
        </w:rPr>
      </w:pPr>
      <w:r>
        <w:rPr>
          <w:rFonts w:hint="eastAsia" w:ascii="宋体" w:hAnsi="宋体"/>
          <w:sz w:val="21"/>
          <w:szCs w:val="21"/>
        </w:rPr>
        <w:t>交付与部署安全</w:t>
      </w:r>
    </w:p>
    <w:p w14:paraId="1DDE7148">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（1）安全测试与验证</w:t>
      </w:r>
    </w:p>
    <w:p w14:paraId="79AC98DD">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在软件交付前进行全面的安全测试，包括功能测试、安全漏洞扫描、性能测试等，确保软件符合安全标准。进行模拟攻击测试，如渗透测试，以发现潜在的安全弱点并及时修复。</w:t>
      </w:r>
    </w:p>
    <w:p w14:paraId="6D7161F3">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制定安全的部署流程，确保软件在部署到生产环境时的安全性。对部署环境进行安全配置和检查，防止因配置不当引发安全问题。</w:t>
      </w:r>
    </w:p>
    <w:p w14:paraId="31C7974C">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（2）供应链监控与审计</w:t>
      </w:r>
    </w:p>
    <w:p w14:paraId="5104075D">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建立供应链安全监控体系，实时跟踪软件开发生命周期各环节的安全状况。对关键节点和操作进行审计记录，以便事后追溯分析。定期进行供应链安全审计，评估安全措施的有效性，发现并整改安全隐患。</w:t>
      </w:r>
    </w:p>
    <w:p w14:paraId="229B62F0">
      <w:pPr>
        <w:pStyle w:val="7"/>
        <w:widowControl/>
        <w:spacing w:before="280" w:after="290"/>
        <w:ind w:left="0" w:firstLine="0"/>
        <w:rPr>
          <w:rFonts w:hint="eastAsia" w:ascii="宋体" w:hAnsi="宋体"/>
          <w:sz w:val="21"/>
          <w:szCs w:val="21"/>
        </w:rPr>
      </w:pPr>
      <w:r>
        <w:rPr>
          <w:rFonts w:hint="eastAsia" w:ascii="宋体" w:hAnsi="宋体"/>
          <w:sz w:val="21"/>
          <w:szCs w:val="21"/>
        </w:rPr>
        <w:t>人员安全培训</w:t>
      </w:r>
    </w:p>
    <w:p w14:paraId="3E2F5719">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（1）安全意识教育</w:t>
      </w:r>
    </w:p>
    <w:p w14:paraId="392D1F9E">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为开发团队、供应商相关人员等提供定期的安全意识培训课程，使其了解供应链安全的重要性以及常见的安全风险和防范措施。通过案例分享、安全警示等方式增强人员的安全意识。</w:t>
      </w:r>
    </w:p>
    <w:p w14:paraId="1322B975">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（2）技能培训</w:t>
      </w:r>
    </w:p>
    <w:p w14:paraId="363174CD">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开展针对软件开发安全技能的培训，如安全编码培训、安全测试工具使用培训等，提高人员的专业安全技能水平，使其能够在开发过程中有效避免和处理安全问题。</w:t>
      </w:r>
    </w:p>
    <w:p w14:paraId="225AB843">
      <w:pPr>
        <w:pStyle w:val="7"/>
        <w:widowControl/>
        <w:spacing w:before="280" w:after="290"/>
        <w:ind w:left="0" w:firstLine="0"/>
        <w:rPr>
          <w:rFonts w:hint="eastAsia" w:ascii="宋体" w:hAnsi="宋体"/>
          <w:sz w:val="21"/>
          <w:szCs w:val="21"/>
        </w:rPr>
      </w:pPr>
      <w:r>
        <w:rPr>
          <w:rFonts w:hint="eastAsia" w:ascii="宋体" w:hAnsi="宋体"/>
          <w:sz w:val="21"/>
          <w:szCs w:val="21"/>
        </w:rPr>
        <w:t>风险监测与应急响应</w:t>
      </w:r>
    </w:p>
    <w:p w14:paraId="0D5BA960">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（1）供应链风险监测</w:t>
      </w:r>
    </w:p>
    <w:p w14:paraId="107D82D9">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建立供应链风险监测机制，及时发现和应对供应链中的安全风险</w:t>
      </w:r>
    </w:p>
    <w:p w14:paraId="3A11706F">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（2）供应链应急响应</w:t>
      </w:r>
    </w:p>
    <w:p w14:paraId="4A13359B">
      <w:pPr>
        <w:spacing w:line="360" w:lineRule="auto"/>
        <w:ind w:left="420" w:firstLine="420" w:firstLineChars="200"/>
        <w:rPr>
          <w:rFonts w:hint="eastAsia" w:ascii="宋体" w:hAnsi="宋体" w:eastAsia="宋体" w:cs="宋体"/>
          <w:szCs w:val="21"/>
        </w:rPr>
      </w:pPr>
      <w:r>
        <w:rPr>
          <w:rFonts w:hint="eastAsia" w:ascii="宋体" w:hAnsi="宋体" w:eastAsia="宋体" w:cs="宋体"/>
          <w:color w:val="000000"/>
          <w:szCs w:val="21"/>
          <w:lang w:bidi="ar"/>
        </w:rPr>
        <w:t>制定供应链应急响应计划，以便在供应链发生安全事件时能够迅速响应和处置</w:t>
      </w:r>
    </w:p>
    <w:p w14:paraId="5DFC48A2">
      <w:pPr>
        <w:pStyle w:val="5"/>
        <w:widowControl/>
        <w:spacing w:before="260" w:after="260"/>
        <w:ind w:left="0" w:firstLine="0"/>
        <w:rPr>
          <w:rFonts w:hint="eastAsia" w:ascii="宋体" w:hAnsi="宋体"/>
        </w:rPr>
      </w:pPr>
      <w:r>
        <w:rPr>
          <w:rFonts w:hint="eastAsia"/>
        </w:rPr>
        <w:t xml:space="preserve"> </w:t>
      </w:r>
      <w:bookmarkStart w:id="194" w:name="_Toc180265622"/>
      <w:r>
        <w:rPr>
          <w:rFonts w:hint="eastAsia" w:ascii="宋体" w:hAnsi="宋体"/>
        </w:rPr>
        <w:t>性能响应方案</w:t>
      </w:r>
      <w:bookmarkEnd w:id="194"/>
    </w:p>
    <w:p w14:paraId="327B5A13">
      <w:pPr>
        <w:spacing w:line="360" w:lineRule="auto"/>
        <w:ind w:left="420" w:firstLine="420" w:firstLineChars="200"/>
        <w:rPr>
          <w:rFonts w:hint="eastAsia" w:ascii="宋体" w:hAnsi="宋体" w:eastAsia="宋体"/>
        </w:rPr>
      </w:pPr>
      <w:r>
        <w:rPr>
          <w:rFonts w:hint="eastAsia" w:ascii="宋体" w:hAnsi="宋体" w:eastAsia="宋体"/>
        </w:rPr>
        <w:t>系统在设计和实现过程中，充分考虑了高并发、大数据量和高可靠性的需求，确保能够满足全国 19 家工业公司、33 个省级商业公司等内部用户，以及外部代理机构、中标人（供应商）、评审专家等外部用户在线开展采购交易监管业务的性能要求。以下是针对系统性能响应要求的具体方案和设计描述。</w:t>
      </w:r>
    </w:p>
    <w:p w14:paraId="413B61F8">
      <w:pPr>
        <w:pStyle w:val="6"/>
        <w:widowControl/>
        <w:spacing w:before="260" w:after="260"/>
        <w:ind w:left="0" w:firstLine="0"/>
        <w:rPr>
          <w:rFonts w:hint="eastAsia" w:ascii="宋体" w:hAnsi="宋体"/>
        </w:rPr>
      </w:pPr>
      <w:r>
        <w:rPr>
          <w:rFonts w:hint="eastAsia" w:ascii="宋体" w:hAnsi="宋体"/>
        </w:rPr>
        <w:t xml:space="preserve"> </w:t>
      </w:r>
      <w:bookmarkStart w:id="195" w:name="_Toc180265623"/>
      <w:r>
        <w:rPr>
          <w:rFonts w:hint="eastAsia" w:ascii="宋体" w:hAnsi="宋体"/>
        </w:rPr>
        <w:t>系统响应速度和性能稳定性</w:t>
      </w:r>
      <w:bookmarkEnd w:id="195"/>
      <w:r>
        <w:rPr>
          <w:rFonts w:hint="eastAsia" w:ascii="宋体" w:hAnsi="宋体"/>
        </w:rPr>
        <w:t xml:space="preserve"> </w:t>
      </w:r>
    </w:p>
    <w:p w14:paraId="1E2A437C">
      <w:pPr>
        <w:pStyle w:val="7"/>
        <w:widowControl/>
        <w:spacing w:before="280" w:after="290"/>
        <w:ind w:left="0" w:firstLine="0"/>
        <w:rPr>
          <w:rFonts w:hint="eastAsia" w:ascii="宋体" w:hAnsi="宋体"/>
          <w:sz w:val="21"/>
          <w:szCs w:val="22"/>
        </w:rPr>
      </w:pPr>
      <w:r>
        <w:rPr>
          <w:rFonts w:hint="eastAsia" w:ascii="宋体" w:hAnsi="宋体"/>
          <w:sz w:val="21"/>
          <w:szCs w:val="22"/>
        </w:rPr>
        <w:t>页面响应速度</w:t>
      </w:r>
    </w:p>
    <w:p w14:paraId="566B9E19">
      <w:pPr>
        <w:spacing w:line="360" w:lineRule="auto"/>
        <w:ind w:left="420" w:firstLine="420" w:firstLineChars="200"/>
        <w:rPr>
          <w:rFonts w:hint="eastAsia" w:ascii="宋体" w:hAnsi="宋体" w:eastAsia="宋体"/>
        </w:rPr>
      </w:pPr>
      <w:r>
        <w:rPr>
          <w:rFonts w:hint="eastAsia" w:ascii="宋体" w:hAnsi="宋体" w:eastAsia="宋体"/>
        </w:rPr>
        <w:t>系统前端页面的响应速度，完全满足招标人“响应页面打开响应时间不大于3秒”的要求。具体系统通过如下技术手段来达成此要求。</w:t>
      </w:r>
    </w:p>
    <w:p w14:paraId="799D0BCE">
      <w:pPr>
        <w:pStyle w:val="2"/>
        <w:widowControl/>
        <w:numPr>
          <w:ilvl w:val="0"/>
          <w:numId w:val="35"/>
        </w:numPr>
        <w:spacing w:line="360" w:lineRule="auto"/>
        <w:ind w:left="1280" w:leftChars="0" w:hanging="440" w:firstLineChars="0"/>
        <w:jc w:val="left"/>
        <w:rPr>
          <w:rFonts w:hint="eastAsia" w:ascii="宋体" w:hAnsi="宋体"/>
        </w:rPr>
      </w:pPr>
      <w:r>
        <w:rPr>
          <w:rFonts w:hint="eastAsia" w:ascii="宋体" w:hAnsi="宋体"/>
        </w:rPr>
        <w:t>通过优化页面代码，以及</w:t>
      </w:r>
      <w:r>
        <w:rPr>
          <w:rFonts w:hint="eastAsia" w:ascii="宋体" w:hAnsi="宋体"/>
          <w:b/>
          <w:bCs/>
        </w:rPr>
        <w:t>代码压缩技术（M</w:t>
      </w:r>
      <w:r>
        <w:rPr>
          <w:rFonts w:ascii="宋体" w:hAnsi="宋体"/>
          <w:b/>
          <w:bCs/>
        </w:rPr>
        <w:t>inify</w:t>
      </w:r>
      <w:r>
        <w:rPr>
          <w:rFonts w:hint="eastAsia" w:ascii="宋体" w:hAnsi="宋体"/>
          <w:b/>
          <w:bCs/>
        </w:rPr>
        <w:t>）</w:t>
      </w:r>
      <w:r>
        <w:rPr>
          <w:rFonts w:hint="eastAsia" w:ascii="宋体" w:hAnsi="宋体"/>
        </w:rPr>
        <w:t>，系统可以减少前端</w:t>
      </w:r>
      <w:r>
        <w:rPr>
          <w:rFonts w:ascii="宋体" w:hAnsi="宋体"/>
        </w:rPr>
        <w:t>JavaScript</w:t>
      </w:r>
      <w:r>
        <w:rPr>
          <w:rFonts w:hint="eastAsia" w:ascii="宋体" w:hAnsi="宋体"/>
        </w:rPr>
        <w:t>、HTML、CSS代码资源的网络传输大小，传输的文件体积减小，可以加快用户的浏览器下载这些资源的速度，代码资源下载速度越快，用户看到页面结果的时间越短。</w:t>
      </w:r>
    </w:p>
    <w:p w14:paraId="18DADF2A">
      <w:pPr>
        <w:pStyle w:val="2"/>
        <w:widowControl/>
        <w:numPr>
          <w:ilvl w:val="0"/>
          <w:numId w:val="35"/>
        </w:numPr>
        <w:spacing w:line="360" w:lineRule="auto"/>
        <w:ind w:left="1280" w:leftChars="0" w:hanging="440" w:firstLineChars="0"/>
        <w:jc w:val="left"/>
        <w:rPr>
          <w:rFonts w:hint="eastAsia" w:ascii="宋体" w:hAnsi="宋体"/>
        </w:rPr>
      </w:pPr>
      <w:r>
        <w:rPr>
          <w:rFonts w:hint="eastAsia" w:ascii="宋体" w:hAnsi="宋体"/>
        </w:rPr>
        <w:t>通过</w:t>
      </w:r>
      <w:r>
        <w:rPr>
          <w:rFonts w:hint="eastAsia" w:ascii="宋体" w:hAnsi="宋体"/>
          <w:b/>
          <w:bCs/>
        </w:rPr>
        <w:t>代码混淆技术（</w:t>
      </w:r>
      <w:r>
        <w:rPr>
          <w:rFonts w:ascii="宋体" w:hAnsi="宋体"/>
          <w:b/>
          <w:bCs/>
        </w:rPr>
        <w:t>Obfuscation</w:t>
      </w:r>
      <w:r>
        <w:rPr>
          <w:rFonts w:hint="eastAsia" w:ascii="宋体" w:hAnsi="宋体"/>
          <w:b/>
          <w:bCs/>
        </w:rPr>
        <w:t>）</w:t>
      </w:r>
      <w:r>
        <w:rPr>
          <w:rFonts w:hint="eastAsia" w:ascii="宋体" w:hAnsi="宋体"/>
        </w:rPr>
        <w:t>，我们可以进一步在压缩的基础上，对代码中的变量、函数名进行替换，使代码变得难以阅读和理解，从而达到一定的安全保护效果。混淆后的代码不仅体积更小，而且可读性非常低，增加了逆向工程和恶意修改的难度。</w:t>
      </w:r>
    </w:p>
    <w:p w14:paraId="1FB01584">
      <w:pPr>
        <w:pStyle w:val="2"/>
        <w:widowControl/>
        <w:numPr>
          <w:ilvl w:val="0"/>
          <w:numId w:val="35"/>
        </w:numPr>
        <w:spacing w:line="360" w:lineRule="auto"/>
        <w:ind w:left="1280" w:leftChars="0" w:hanging="440" w:firstLineChars="0"/>
        <w:jc w:val="left"/>
        <w:rPr>
          <w:rFonts w:hint="eastAsia" w:ascii="宋体" w:hAnsi="宋体"/>
        </w:rPr>
      </w:pPr>
      <w:r>
        <w:rPr>
          <w:rFonts w:hint="eastAsia" w:ascii="宋体" w:hAnsi="宋体"/>
        </w:rPr>
        <w:t>通过</w:t>
      </w:r>
      <w:r>
        <w:rPr>
          <w:rFonts w:hint="eastAsia" w:ascii="宋体" w:hAnsi="宋体"/>
          <w:b/>
          <w:bCs/>
        </w:rPr>
        <w:t>懒加载技术（</w:t>
      </w:r>
      <w:r>
        <w:rPr>
          <w:rFonts w:ascii="宋体" w:hAnsi="宋体"/>
          <w:b/>
          <w:bCs/>
        </w:rPr>
        <w:t>Lazy Loading</w:t>
      </w:r>
      <w:r>
        <w:rPr>
          <w:rFonts w:hint="eastAsia" w:ascii="宋体" w:hAnsi="宋体"/>
          <w:b/>
          <w:bCs/>
        </w:rPr>
        <w:t>）</w:t>
      </w:r>
      <w:r>
        <w:rPr>
          <w:rFonts w:hint="eastAsia" w:ascii="宋体" w:hAnsi="宋体"/>
        </w:rPr>
        <w:t>，或称延迟加载技术，对于页面中的图片、视频或其他资源，只有在用户需要的时候才进行加载。这可以显著减少初始加载时间。通过此技术，一方面可以减少用户打开页面需要加载的资源数量和大小，另外一方面可以减少加载页面资源所需的电脑性能需求，减少客户端系统性能的压力。</w:t>
      </w:r>
    </w:p>
    <w:p w14:paraId="413638D4">
      <w:pPr>
        <w:pStyle w:val="2"/>
        <w:widowControl/>
        <w:numPr>
          <w:ilvl w:val="0"/>
          <w:numId w:val="35"/>
        </w:numPr>
        <w:spacing w:line="360" w:lineRule="auto"/>
        <w:ind w:left="1280" w:leftChars="0" w:hanging="440" w:firstLineChars="0"/>
        <w:jc w:val="left"/>
        <w:rPr>
          <w:rFonts w:hint="eastAsia" w:ascii="宋体" w:hAnsi="宋体"/>
        </w:rPr>
      </w:pPr>
      <w:r>
        <w:rPr>
          <w:rFonts w:hint="eastAsia" w:ascii="宋体" w:hAnsi="宋体"/>
        </w:rPr>
        <w:t>通过</w:t>
      </w:r>
      <w:r>
        <w:rPr>
          <w:rFonts w:hint="eastAsia" w:ascii="宋体" w:hAnsi="宋体"/>
          <w:b/>
          <w:bCs/>
        </w:rPr>
        <w:t>预加载与预取（Preload &amp; Prefetch）</w:t>
      </w:r>
      <w:r>
        <w:rPr>
          <w:rFonts w:hint="eastAsia" w:ascii="宋体" w:hAnsi="宋体"/>
        </w:rPr>
        <w:t>技术，系统会预加载关键资源（如字体、样式表等）以</w:t>
      </w:r>
      <w:r>
        <w:rPr>
          <w:rFonts w:ascii="宋体" w:hAnsi="宋体"/>
        </w:rPr>
        <w:t>加速页面渲染</w:t>
      </w:r>
      <w:r>
        <w:rPr>
          <w:rFonts w:hint="eastAsia" w:ascii="宋体" w:hAnsi="宋体"/>
        </w:rPr>
        <w:t>，</w:t>
      </w:r>
      <w:r>
        <w:rPr>
          <w:rFonts w:ascii="宋体" w:hAnsi="宋体"/>
        </w:rPr>
        <w:t>用于提前加载可能会在后续页面中用到的资源。</w:t>
      </w:r>
    </w:p>
    <w:p w14:paraId="582EE89E">
      <w:pPr>
        <w:pStyle w:val="2"/>
        <w:spacing w:line="360" w:lineRule="auto"/>
        <w:ind w:leftChars="0" w:firstLineChars="0"/>
        <w:rPr>
          <w:rFonts w:hint="eastAsia" w:ascii="宋体" w:hAnsi="宋体"/>
        </w:rPr>
      </w:pPr>
      <w:r>
        <w:rPr>
          <w:rFonts w:hint="eastAsia" w:ascii="宋体" w:hAnsi="宋体"/>
        </w:rPr>
        <w:t>其他的包括但不限于代码拆分与按需加载、异步加载资源、减少重定向（Redirect）、减少DOM操作和优化渲染、减少HTTP请求数量等技术的支持，系统可以保障招标人“响应页面打开响应时间不大于3秒”的要求，在用户打开页面时获得良好的使用体验。</w:t>
      </w:r>
    </w:p>
    <w:p w14:paraId="1A9ED9CE">
      <w:pPr>
        <w:pStyle w:val="7"/>
        <w:widowControl/>
        <w:spacing w:before="280" w:after="290"/>
        <w:ind w:left="0" w:firstLine="0"/>
        <w:rPr>
          <w:rFonts w:hint="eastAsia" w:ascii="宋体" w:hAnsi="宋体"/>
          <w:sz w:val="21"/>
          <w:szCs w:val="21"/>
        </w:rPr>
      </w:pPr>
      <w:r>
        <w:rPr>
          <w:rFonts w:hint="eastAsia" w:ascii="宋体" w:hAnsi="宋体"/>
          <w:sz w:val="21"/>
          <w:szCs w:val="21"/>
        </w:rPr>
        <w:t>复杂数据查询的响应</w:t>
      </w:r>
    </w:p>
    <w:p w14:paraId="5B167699">
      <w:pPr>
        <w:spacing w:line="360" w:lineRule="auto"/>
        <w:ind w:left="420" w:firstLine="420" w:firstLineChars="200"/>
        <w:rPr>
          <w:rFonts w:hint="eastAsia" w:ascii="宋体" w:hAnsi="宋体" w:eastAsia="宋体"/>
        </w:rPr>
      </w:pPr>
      <w:r>
        <w:rPr>
          <w:rFonts w:hint="eastAsia" w:ascii="宋体" w:hAnsi="宋体" w:eastAsia="宋体"/>
        </w:rPr>
        <w:t>系统后台的数据查询同样完全满足招标人对响应时间的要求，对非结构化复杂查询的响应的时间为秒级。系统通过分布式数据库架构、查询索引以及优化、缓存机制、异步处理等技术，充分发挥服务器的硬件资源潜能，在有限的计算资源内，达到最佳的数据查询效率和性能。</w:t>
      </w:r>
    </w:p>
    <w:p w14:paraId="07D09F5B">
      <w:pPr>
        <w:pStyle w:val="2"/>
        <w:widowControl/>
        <w:numPr>
          <w:ilvl w:val="0"/>
          <w:numId w:val="36"/>
        </w:numPr>
        <w:spacing w:line="360" w:lineRule="auto"/>
        <w:ind w:left="866" w:leftChars="0" w:hanging="440" w:firstLineChars="0"/>
        <w:jc w:val="left"/>
        <w:rPr>
          <w:rFonts w:hint="eastAsia" w:ascii="宋体" w:hAnsi="宋体"/>
        </w:rPr>
      </w:pPr>
      <w:r>
        <w:rPr>
          <w:rFonts w:hint="eastAsia" w:ascii="宋体" w:hAnsi="宋体"/>
          <w:b/>
          <w:bCs/>
        </w:rPr>
        <w:t>分布式数据库架构，</w:t>
      </w:r>
      <w:r>
        <w:rPr>
          <w:rFonts w:hint="eastAsia" w:ascii="宋体" w:hAnsi="宋体"/>
        </w:rPr>
        <w:t>系统将业务系统的数据库实例和统计查询的数据库实例分离，保证对于数据库的高压力查询不会影响业务系统的数据库操作，通过读写分离的实现方式，保障业务系统的操作秒级响应。同时分布式数据库架构支持部署更多的数据库实例，在读写分离的大框架下，读实例和写实例同样可以部署多个实例，实现水平方向上的扩展，我们会根据实际的数据量和数据库压力，扩展数据库的实例数量。采用分布式数据库技术，将数据存储在多个节点上，系统可以轻松支持海量数据的高效查询和存储。</w:t>
      </w:r>
    </w:p>
    <w:p w14:paraId="697E1C61">
      <w:pPr>
        <w:pStyle w:val="2"/>
        <w:widowControl/>
        <w:numPr>
          <w:ilvl w:val="0"/>
          <w:numId w:val="36"/>
        </w:numPr>
        <w:spacing w:line="360" w:lineRule="auto"/>
        <w:ind w:left="866" w:leftChars="0" w:hanging="440" w:firstLineChars="0"/>
        <w:jc w:val="left"/>
        <w:rPr>
          <w:rFonts w:hint="eastAsia" w:ascii="宋体" w:hAnsi="宋体"/>
        </w:rPr>
      </w:pPr>
      <w:r>
        <w:rPr>
          <w:rFonts w:hint="eastAsia" w:ascii="宋体" w:hAnsi="宋体"/>
          <w:b/>
          <w:bCs/>
        </w:rPr>
        <w:t>索引与优化，</w:t>
      </w:r>
      <w:r>
        <w:rPr>
          <w:rFonts w:hint="eastAsia" w:ascii="宋体" w:hAnsi="宋体"/>
        </w:rPr>
        <w:t>对于复杂的数据查询,系统在开发设计阶段已经对数据库表和表之间的关系进行了分析,对数据索引、数据类型、数据关系、数据量等都进行了考量和预估。数据库表的设计都已经进行了合理的设计和优化，确保所有的查询都是最优的查询方案。同时，对于招标人要求的对于复杂数据查询响应时间，系统完全满足。</w:t>
      </w:r>
    </w:p>
    <w:p w14:paraId="2613A987">
      <w:pPr>
        <w:pStyle w:val="2"/>
        <w:widowControl/>
        <w:numPr>
          <w:ilvl w:val="0"/>
          <w:numId w:val="36"/>
        </w:numPr>
        <w:spacing w:line="360" w:lineRule="auto"/>
        <w:ind w:left="866" w:leftChars="0" w:hanging="440" w:firstLineChars="0"/>
        <w:jc w:val="left"/>
        <w:rPr>
          <w:rFonts w:hint="eastAsia" w:ascii="宋体" w:hAnsi="宋体"/>
        </w:rPr>
      </w:pPr>
      <w:r>
        <w:rPr>
          <w:rFonts w:hint="eastAsia" w:ascii="宋体" w:hAnsi="宋体"/>
          <w:b/>
          <w:bCs/>
        </w:rPr>
        <w:t>缓存机制，</w:t>
      </w:r>
      <w:r>
        <w:rPr>
          <w:rFonts w:hint="eastAsia" w:ascii="宋体" w:hAnsi="宋体"/>
        </w:rPr>
        <w:t>对于系统中的热点数据，即系统中被大量用户频繁访问的热点数据，使用缓存可以极大地提升响应速度，降低数据库的压力。系统使用Redis作为系统主要的缓存服务，在用户尝试访问这些数据时，系统会优先调用缓存中的数据，缓存服务一般由高性能的服务器和存储器组成，对于热点数据的支持，缓存机制是普遍使用并且已经是行业中的普遍做法，已经经过了长时间的考验。缓存机制主要在以下几个需求场景中被使用，包括热点数据的高频访问、计算复杂度高的查询、数据更新频率低的数据、临时的数据共享等。同时缓存机制也支持分布式架构，我们将会结合招标人的数据实际情况，深入分析，确定系统的缓存方案。我们将使用Redis集群的形式来实现缓存的分布式架构，同时保证高可用性与扩展性。</w:t>
      </w:r>
    </w:p>
    <w:p w14:paraId="5B5B7649">
      <w:pPr>
        <w:pStyle w:val="2"/>
        <w:widowControl/>
        <w:numPr>
          <w:ilvl w:val="0"/>
          <w:numId w:val="36"/>
        </w:numPr>
        <w:spacing w:line="360" w:lineRule="auto"/>
        <w:ind w:left="866" w:leftChars="0" w:hanging="440" w:firstLineChars="0"/>
        <w:jc w:val="left"/>
        <w:rPr>
          <w:rFonts w:hint="eastAsia" w:ascii="宋体" w:hAnsi="宋体"/>
        </w:rPr>
      </w:pPr>
      <w:r>
        <w:rPr>
          <w:rFonts w:hint="eastAsia" w:ascii="宋体" w:hAnsi="宋体"/>
          <w:b/>
          <w:bCs/>
        </w:rPr>
        <w:t>异步处理，</w:t>
      </w:r>
      <w:r>
        <w:rPr>
          <w:rFonts w:hint="eastAsia" w:ascii="宋体" w:hAnsi="宋体"/>
        </w:rPr>
        <w:t>对于复杂的查询、不能立刻给出结果的查询等，系统使用了异步处理来对这些场景进行支持。这种做法也是业界的最优实践，可以避免主线程阻塞，提高系统的并发处理能力。系统通过使用线程池来对支持异步的任务线程进行管理，我们也可以实时对这些线程进行监控，确保异步线程的执行准确性和性能。同时系统的数据库连接也使用了Druid连接池，它集成了数据库连接池、SQL监控、防火墙、日志输出等功能，提供丰富的监控数据和管理界面，便于性能调优和问题定位。</w:t>
      </w:r>
    </w:p>
    <w:p w14:paraId="5ED5AAFB">
      <w:pPr>
        <w:pStyle w:val="7"/>
        <w:widowControl/>
        <w:spacing w:before="280" w:after="290"/>
        <w:ind w:left="0" w:firstLine="0"/>
        <w:rPr>
          <w:rFonts w:hint="eastAsia" w:ascii="宋体" w:hAnsi="宋体"/>
          <w:sz w:val="21"/>
          <w:szCs w:val="21"/>
        </w:rPr>
      </w:pPr>
      <w:r>
        <w:rPr>
          <w:rFonts w:hint="eastAsia" w:ascii="宋体" w:hAnsi="宋体"/>
          <w:sz w:val="21"/>
          <w:szCs w:val="21"/>
        </w:rPr>
        <w:t>性能稳定性</w:t>
      </w:r>
    </w:p>
    <w:p w14:paraId="460D3E91">
      <w:pPr>
        <w:spacing w:line="360" w:lineRule="auto"/>
        <w:ind w:left="420" w:firstLine="420" w:firstLineChars="200"/>
        <w:rPr>
          <w:rFonts w:hint="eastAsia" w:ascii="宋体" w:hAnsi="宋体" w:eastAsia="宋体"/>
        </w:rPr>
      </w:pPr>
      <w:r>
        <w:rPr>
          <w:rFonts w:hint="eastAsia" w:ascii="宋体" w:hAnsi="宋体" w:eastAsia="宋体"/>
        </w:rPr>
        <w:t>为了保证招标人对于性能稳定性的要求，系统支持应用和服务资源的水平扩展性。系统性能不随数据量和文件数量的增加而降低，支持通过增加硬件资源进行水平扩展，数据库规模仅受硬件资源的限制。</w:t>
      </w:r>
    </w:p>
    <w:p w14:paraId="05262349">
      <w:pPr>
        <w:spacing w:line="360" w:lineRule="auto"/>
        <w:ind w:left="420"/>
        <w:rPr>
          <w:rFonts w:hint="eastAsia" w:ascii="宋体" w:hAnsi="宋体" w:eastAsia="宋体"/>
        </w:rPr>
      </w:pPr>
      <w:r>
        <w:rPr>
          <w:rFonts w:ascii="宋体" w:hAnsi="宋体" w:eastAsia="宋体"/>
        </w:rPr>
        <w:tab/>
      </w:r>
      <w:r>
        <w:rPr>
          <w:rFonts w:hint="eastAsia" w:ascii="宋体" w:hAnsi="宋体" w:eastAsia="宋体"/>
        </w:rPr>
        <w:t>同时系统采用软硬件负载均衡技术Nginx，将用户请求均匀分配到各个服务器实例，防止单点过载。用户的数据请求可以均匀的分散到各个应用服务集群中，通过分摊压力的方式降低单点的系统负载。同时Nginx也支持多种负载均衡策略，包括轮询（Round Robin）、权重（Weight）、IP 哈希（IP Hash）、最少连接数（Least Connections）、URL 哈希（Hash）和自定义策略，系统可以灵活的配置如何均衡的负载用户的请求。</w:t>
      </w:r>
    </w:p>
    <w:p w14:paraId="23245C7F">
      <w:pPr>
        <w:spacing w:line="360" w:lineRule="auto"/>
        <w:ind w:left="420"/>
        <w:rPr>
          <w:rFonts w:hint="eastAsia" w:ascii="宋体" w:hAnsi="宋体" w:eastAsia="宋体"/>
        </w:rPr>
      </w:pPr>
      <w:r>
        <w:rPr>
          <w:rFonts w:ascii="宋体" w:hAnsi="宋体" w:eastAsia="宋体"/>
        </w:rPr>
        <w:tab/>
      </w:r>
      <w:r>
        <w:rPr>
          <w:rFonts w:hint="eastAsia" w:ascii="宋体" w:hAnsi="宋体" w:eastAsia="宋体"/>
        </w:rPr>
        <w:t>我们会根据招标人实际的使用情况，作出最优的负载均衡策略，保障系统的稳定性和可靠性。</w:t>
      </w:r>
    </w:p>
    <w:p w14:paraId="44FD37B9">
      <w:pPr>
        <w:pStyle w:val="6"/>
        <w:widowControl/>
        <w:spacing w:before="260" w:after="260"/>
        <w:ind w:left="0" w:firstLine="0"/>
        <w:rPr>
          <w:rFonts w:hint="eastAsia" w:ascii="宋体" w:hAnsi="宋体"/>
        </w:rPr>
      </w:pPr>
      <w:r>
        <w:rPr>
          <w:rFonts w:hint="eastAsia" w:ascii="宋体" w:hAnsi="宋体"/>
        </w:rPr>
        <w:t xml:space="preserve"> </w:t>
      </w:r>
      <w:bookmarkStart w:id="196" w:name="_Toc180265624"/>
      <w:r>
        <w:rPr>
          <w:rFonts w:hint="eastAsia" w:ascii="宋体" w:hAnsi="宋体"/>
        </w:rPr>
        <w:t>高可用性与不间断服务</w:t>
      </w:r>
      <w:bookmarkEnd w:id="196"/>
    </w:p>
    <w:p w14:paraId="414F87E7">
      <w:pPr>
        <w:pStyle w:val="7"/>
        <w:widowControl/>
        <w:spacing w:before="280" w:after="290"/>
        <w:ind w:left="0" w:firstLine="0"/>
        <w:rPr>
          <w:rFonts w:hint="eastAsia" w:ascii="宋体" w:hAnsi="宋体"/>
          <w:sz w:val="21"/>
          <w:szCs w:val="21"/>
        </w:rPr>
      </w:pPr>
      <w:r>
        <w:rPr>
          <w:rFonts w:hint="eastAsia" w:ascii="宋体" w:hAnsi="宋体"/>
          <w:sz w:val="21"/>
          <w:szCs w:val="21"/>
        </w:rPr>
        <w:t>多实例服务集群</w:t>
      </w:r>
    </w:p>
    <w:p w14:paraId="231D7EA3">
      <w:pPr>
        <w:spacing w:line="360" w:lineRule="auto"/>
        <w:ind w:left="420" w:firstLine="420" w:firstLineChars="200"/>
        <w:rPr>
          <w:rFonts w:hint="eastAsia" w:ascii="宋体" w:hAnsi="宋体" w:eastAsia="宋体"/>
        </w:rPr>
      </w:pPr>
      <w:r>
        <w:rPr>
          <w:rFonts w:hint="eastAsia" w:ascii="宋体" w:hAnsi="宋体" w:eastAsia="宋体"/>
        </w:rPr>
        <w:t>系统利用容器化集群服务，将服务部署为多个实例，形成服务集群，提高系统的容错能力和可用性。每个服务均有多个相同的应用容器对上层调用提供服务支持，多个应用容器组成的服务组同样支持负载均衡，可以将来自上层服务的数据请求分散给各个应用容器，提高整个服务组的承载力。</w:t>
      </w:r>
    </w:p>
    <w:p w14:paraId="3D900543">
      <w:pPr>
        <w:spacing w:line="360" w:lineRule="auto"/>
        <w:ind w:left="420" w:firstLine="420" w:firstLineChars="200"/>
        <w:rPr>
          <w:rFonts w:hint="eastAsia" w:ascii="宋体" w:hAnsi="宋体" w:eastAsia="宋体"/>
        </w:rPr>
      </w:pPr>
      <w:r>
        <w:rPr>
          <w:rFonts w:hint="eastAsia" w:ascii="宋体" w:hAnsi="宋体" w:eastAsia="宋体"/>
        </w:rPr>
        <w:t>系统采用 Kubernetes 容器编排工具，对服务实例进行统一管理和调度，实现服务的自动部署、扩展和缩减。详细的部署架构可以参考15.4.5章节。</w:t>
      </w:r>
    </w:p>
    <w:p w14:paraId="5926B135">
      <w:pPr>
        <w:pStyle w:val="7"/>
        <w:widowControl/>
        <w:spacing w:before="280" w:after="290"/>
        <w:ind w:left="0" w:firstLine="0"/>
        <w:rPr>
          <w:rFonts w:hint="eastAsia" w:ascii="宋体" w:hAnsi="宋体"/>
          <w:sz w:val="21"/>
          <w:szCs w:val="21"/>
        </w:rPr>
      </w:pPr>
      <w:r>
        <w:rPr>
          <w:rFonts w:hint="eastAsia" w:ascii="宋体" w:hAnsi="宋体"/>
          <w:sz w:val="21"/>
          <w:szCs w:val="21"/>
        </w:rPr>
        <w:t>实时异常检测与自动恢复</w:t>
      </w:r>
    </w:p>
    <w:p w14:paraId="3C691E3D">
      <w:pPr>
        <w:spacing w:line="360" w:lineRule="auto"/>
        <w:ind w:left="420" w:firstLine="420" w:firstLineChars="200"/>
        <w:rPr>
          <w:rFonts w:hint="eastAsia" w:ascii="宋体" w:hAnsi="宋体" w:eastAsia="宋体"/>
        </w:rPr>
      </w:pPr>
      <w:r>
        <w:rPr>
          <w:rFonts w:hint="eastAsia" w:ascii="宋体" w:hAnsi="宋体" w:eastAsia="宋体"/>
        </w:rPr>
        <w:t>对于系统运行过程中可能产生的异常情况，系统可以通过实时的异常检测获知。当系统出现异常情况时，系统可以根据预设的异常处理方案进行处理。自动下线和重启异常的服务实例。保障系统整体的无影响运行。</w:t>
      </w:r>
    </w:p>
    <w:p w14:paraId="27B9D7CA">
      <w:pPr>
        <w:spacing w:line="360" w:lineRule="auto"/>
        <w:ind w:left="420" w:firstLine="422" w:firstLineChars="200"/>
        <w:rPr>
          <w:rFonts w:hint="eastAsia" w:ascii="宋体" w:hAnsi="宋体" w:eastAsia="宋体"/>
        </w:rPr>
      </w:pPr>
      <w:r>
        <w:rPr>
          <w:rFonts w:ascii="宋体" w:hAnsi="宋体" w:eastAsia="宋体"/>
          <w:b/>
          <w:bCs/>
        </w:rPr>
        <w:t>健康检查</w:t>
      </w:r>
      <w:r>
        <w:rPr>
          <w:rFonts w:ascii="宋体" w:hAnsi="宋体" w:eastAsia="宋体"/>
        </w:rPr>
        <w:t>：系统</w:t>
      </w:r>
      <w:r>
        <w:rPr>
          <w:rFonts w:hint="eastAsia" w:ascii="宋体" w:hAnsi="宋体" w:eastAsia="宋体"/>
        </w:rPr>
        <w:t>会</w:t>
      </w:r>
      <w:r>
        <w:rPr>
          <w:rFonts w:ascii="宋体" w:hAnsi="宋体" w:eastAsia="宋体"/>
        </w:rPr>
        <w:t>对各个</w:t>
      </w:r>
      <w:r>
        <w:rPr>
          <w:rFonts w:hint="eastAsia" w:ascii="宋体" w:hAnsi="宋体" w:eastAsia="宋体"/>
        </w:rPr>
        <w:t>应用容器</w:t>
      </w:r>
      <w:r>
        <w:rPr>
          <w:rFonts w:ascii="宋体" w:hAnsi="宋体" w:eastAsia="宋体"/>
        </w:rPr>
        <w:t>实例进行实时健康监测，发现异常立即触发告警和处理机制。</w:t>
      </w:r>
    </w:p>
    <w:p w14:paraId="1F981AC1">
      <w:pPr>
        <w:spacing w:line="360" w:lineRule="auto"/>
        <w:ind w:left="420" w:firstLine="422" w:firstLineChars="200"/>
        <w:rPr>
          <w:rFonts w:hint="eastAsia" w:ascii="宋体" w:hAnsi="宋体" w:eastAsia="宋体"/>
        </w:rPr>
      </w:pPr>
      <w:r>
        <w:rPr>
          <w:rFonts w:ascii="宋体" w:hAnsi="宋体" w:eastAsia="宋体"/>
          <w:b/>
          <w:bCs/>
        </w:rPr>
        <w:t>自动重启</w:t>
      </w:r>
      <w:r>
        <w:rPr>
          <w:rFonts w:ascii="宋体" w:hAnsi="宋体" w:eastAsia="宋体"/>
        </w:rPr>
        <w:t>：支持对异常服务实例的自动重启，利用容器编排平台的自愈功能，确保服务的持续可用。</w:t>
      </w:r>
    </w:p>
    <w:p w14:paraId="294724B3">
      <w:pPr>
        <w:spacing w:line="360" w:lineRule="auto"/>
        <w:ind w:left="420" w:firstLine="422" w:firstLineChars="200"/>
        <w:rPr>
          <w:rFonts w:hint="eastAsia" w:ascii="宋体" w:hAnsi="宋体" w:eastAsia="宋体"/>
        </w:rPr>
      </w:pPr>
      <w:r>
        <w:rPr>
          <w:rFonts w:ascii="宋体" w:hAnsi="宋体" w:eastAsia="宋体"/>
          <w:b/>
          <w:bCs/>
        </w:rPr>
        <w:t>无影响运行</w:t>
      </w:r>
      <w:r>
        <w:rPr>
          <w:rFonts w:ascii="宋体" w:hAnsi="宋体" w:eastAsia="宋体"/>
        </w:rPr>
        <w:t>：异常实例的处理不会影响其他服务实例的正常运行，保证整体服务的稳定性。</w:t>
      </w:r>
    </w:p>
    <w:p w14:paraId="29579E8D">
      <w:pPr>
        <w:pStyle w:val="6"/>
        <w:widowControl/>
        <w:spacing w:before="260" w:after="260"/>
        <w:ind w:left="0" w:firstLine="0"/>
        <w:rPr>
          <w:rFonts w:hint="eastAsia" w:ascii="宋体" w:hAnsi="宋体"/>
          <w:szCs w:val="24"/>
        </w:rPr>
      </w:pPr>
      <w:r>
        <w:rPr>
          <w:rFonts w:hint="eastAsia" w:ascii="宋体" w:hAnsi="宋体"/>
          <w:sz w:val="21"/>
          <w:szCs w:val="21"/>
        </w:rPr>
        <w:t xml:space="preserve"> </w:t>
      </w:r>
      <w:bookmarkStart w:id="197" w:name="_Toc180265625"/>
      <w:r>
        <w:rPr>
          <w:rFonts w:hint="eastAsia" w:ascii="宋体" w:hAnsi="宋体"/>
          <w:szCs w:val="24"/>
        </w:rPr>
        <w:t>弹性伸缩与高并发支持</w:t>
      </w:r>
      <w:bookmarkEnd w:id="197"/>
    </w:p>
    <w:p w14:paraId="216A518E">
      <w:pPr>
        <w:pStyle w:val="7"/>
        <w:widowControl/>
        <w:spacing w:before="280" w:after="290"/>
        <w:ind w:left="0" w:firstLine="0"/>
        <w:rPr>
          <w:rFonts w:hint="eastAsia" w:ascii="宋体" w:hAnsi="宋体"/>
          <w:sz w:val="21"/>
          <w:szCs w:val="21"/>
        </w:rPr>
      </w:pPr>
      <w:r>
        <w:rPr>
          <w:rFonts w:hint="eastAsia" w:ascii="宋体" w:hAnsi="宋体"/>
          <w:sz w:val="21"/>
          <w:szCs w:val="21"/>
        </w:rPr>
        <w:t>服务实例的按需调整</w:t>
      </w:r>
    </w:p>
    <w:p w14:paraId="06C76F42">
      <w:pPr>
        <w:pStyle w:val="2"/>
        <w:spacing w:line="360" w:lineRule="auto"/>
        <w:ind w:left="0" w:leftChars="0"/>
        <w:rPr>
          <w:rFonts w:hint="eastAsia" w:ascii="宋体" w:hAnsi="宋体" w:cstheme="minorBidi"/>
          <w:szCs w:val="21"/>
        </w:rPr>
      </w:pPr>
      <w:r>
        <w:rPr>
          <w:rFonts w:hint="eastAsia" w:ascii="宋体" w:hAnsi="宋体"/>
          <w:szCs w:val="21"/>
        </w:rPr>
        <w:t>为满足系统在不同业务负载下的性能要求，我们采用 Kubernetes（K8S） 作为容器编排平台，实</w:t>
      </w:r>
      <w:r>
        <w:rPr>
          <w:rFonts w:hint="eastAsia" w:ascii="宋体" w:hAnsi="宋体" w:cstheme="minorBidi"/>
          <w:szCs w:val="21"/>
        </w:rPr>
        <w:t>现服务实例的按需调整，支持弹性伸缩和高并发处理能力。</w:t>
      </w:r>
    </w:p>
    <w:p w14:paraId="2C03F312">
      <w:pPr>
        <w:spacing w:line="360" w:lineRule="auto"/>
        <w:ind w:firstLine="422" w:firstLineChars="200"/>
        <w:rPr>
          <w:rFonts w:hint="eastAsia" w:ascii="宋体" w:hAnsi="宋体" w:eastAsia="宋体"/>
          <w:szCs w:val="21"/>
        </w:rPr>
      </w:pPr>
      <w:r>
        <w:rPr>
          <w:rFonts w:ascii="宋体" w:hAnsi="宋体" w:eastAsia="宋体"/>
          <w:b/>
          <w:bCs/>
          <w:szCs w:val="21"/>
        </w:rPr>
        <w:t>自动伸缩策略</w:t>
      </w:r>
      <w:r>
        <w:rPr>
          <w:rFonts w:ascii="宋体" w:hAnsi="宋体" w:eastAsia="宋体"/>
          <w:szCs w:val="21"/>
        </w:rPr>
        <w:t>：</w:t>
      </w:r>
      <w:r>
        <w:rPr>
          <w:rFonts w:hint="eastAsia" w:ascii="宋体" w:hAnsi="宋体" w:eastAsia="宋体"/>
          <w:szCs w:val="21"/>
        </w:rPr>
        <w:t>自动伸缩策略包含</w:t>
      </w:r>
      <w:r>
        <w:rPr>
          <w:rFonts w:hint="eastAsia" w:ascii="宋体" w:hAnsi="宋体" w:eastAsia="宋体"/>
          <w:b/>
          <w:bCs/>
          <w:szCs w:val="21"/>
        </w:rPr>
        <w:t>水平自动伸缩（Horizontal Pod Autoscaling，HPA）</w:t>
      </w:r>
      <w:r>
        <w:rPr>
          <w:rFonts w:hint="eastAsia" w:ascii="宋体" w:hAnsi="宋体" w:eastAsia="宋体"/>
          <w:szCs w:val="21"/>
        </w:rPr>
        <w:t>和</w:t>
      </w:r>
      <w:r>
        <w:rPr>
          <w:rFonts w:hint="eastAsia" w:ascii="宋体" w:hAnsi="宋体" w:eastAsia="宋体"/>
          <w:b/>
          <w:bCs/>
          <w:szCs w:val="21"/>
        </w:rPr>
        <w:t>垂直自动伸缩（Vertical Pod Autoscaling，VPA）</w:t>
      </w:r>
      <w:r>
        <w:rPr>
          <w:rFonts w:ascii="宋体" w:hAnsi="宋体" w:eastAsia="宋体"/>
          <w:szCs w:val="21"/>
        </w:rPr>
        <w:t>。</w:t>
      </w:r>
    </w:p>
    <w:p w14:paraId="2E90C6F1">
      <w:pPr>
        <w:pStyle w:val="73"/>
        <w:widowControl/>
        <w:numPr>
          <w:ilvl w:val="0"/>
          <w:numId w:val="37"/>
        </w:numPr>
        <w:spacing w:line="360" w:lineRule="auto"/>
        <w:ind w:left="420" w:leftChars="200" w:firstLineChars="0"/>
        <w:jc w:val="left"/>
        <w:rPr>
          <w:rFonts w:hint="eastAsia" w:ascii="宋体" w:hAnsi="宋体" w:eastAsia="宋体"/>
        </w:rPr>
      </w:pPr>
      <w:r>
        <w:rPr>
          <w:rFonts w:hint="eastAsia" w:ascii="宋体" w:hAnsi="宋体" w:eastAsia="宋体"/>
          <w:szCs w:val="21"/>
        </w:rPr>
        <w:t>水平自动伸缩,系统会根据工作负载的实时指标（如 CPU 使用率、内存使用率、请求响应时间、自定义的应</w:t>
      </w:r>
      <w:r>
        <w:rPr>
          <w:rFonts w:hint="eastAsia" w:ascii="宋体" w:hAnsi="宋体" w:eastAsia="宋体"/>
        </w:rPr>
        <w:t>用指标等），自动调整 Pod（容器实例）的副本数量。当业务负载增加时，HPA 会自动扩容，增加服务实例数量，提升系统的并发处理能力。当负载降低时，HPA 自动缩容，释放资源，降低运营成本。</w:t>
      </w:r>
    </w:p>
    <w:p w14:paraId="032CD762">
      <w:pPr>
        <w:pStyle w:val="73"/>
        <w:widowControl/>
        <w:numPr>
          <w:ilvl w:val="0"/>
          <w:numId w:val="37"/>
        </w:numPr>
        <w:spacing w:line="360" w:lineRule="auto"/>
        <w:ind w:left="420" w:leftChars="200" w:firstLineChars="0"/>
        <w:jc w:val="left"/>
        <w:rPr>
          <w:rFonts w:hint="eastAsia" w:ascii="宋体" w:hAnsi="宋体" w:eastAsia="宋体"/>
        </w:rPr>
      </w:pPr>
      <w:r>
        <w:rPr>
          <w:rFonts w:hint="eastAsia" w:ascii="宋体" w:hAnsi="宋体" w:eastAsia="宋体"/>
        </w:rPr>
        <w:t>垂直自动伸缩, 系统会根据容器的资源使用情况，自动调整 Pod 所请求的 CPU 和内存资源大小。使用垂直自动伸缩的优势在于确保每个 Pod 拥有适当的资源，防止资源不足或浪费，同时可以优化单个实例的性能，提高服务质量。</w:t>
      </w:r>
    </w:p>
    <w:p w14:paraId="6A4F772F">
      <w:pPr>
        <w:pStyle w:val="2"/>
        <w:spacing w:line="360" w:lineRule="auto"/>
        <w:ind w:left="0" w:leftChars="0" w:firstLine="411" w:firstLineChars="195"/>
        <w:rPr>
          <w:rFonts w:hint="eastAsia" w:ascii="宋体" w:hAnsi="宋体"/>
        </w:rPr>
      </w:pPr>
      <w:r>
        <w:rPr>
          <w:rFonts w:ascii="宋体" w:hAnsi="宋体"/>
          <w:b/>
          <w:bCs/>
        </w:rPr>
        <w:t>手动调整</w:t>
      </w:r>
      <w:r>
        <w:rPr>
          <w:rFonts w:ascii="宋体" w:hAnsi="宋体"/>
        </w:rPr>
        <w:t>：</w:t>
      </w:r>
      <w:r>
        <w:rPr>
          <w:rFonts w:hint="eastAsia" w:ascii="宋体" w:hAnsi="宋体"/>
        </w:rPr>
        <w:t>研发和运维人员，可以通过</w:t>
      </w:r>
      <w:r>
        <w:rPr>
          <w:rFonts w:ascii="宋体" w:hAnsi="宋体"/>
        </w:rPr>
        <w:t xml:space="preserve"> Kubernetes Dashboard 或运维平台，直观地查看服务实例的运行状态。</w:t>
      </w:r>
      <w:r>
        <w:rPr>
          <w:rFonts w:hint="eastAsia" w:ascii="宋体" w:hAnsi="宋体"/>
        </w:rPr>
        <w:t>在特殊业务场景或突发情况下，允许运维人员手动调整服务实例数量，确保系统的稳定性。</w:t>
      </w:r>
    </w:p>
    <w:p w14:paraId="059C22D7">
      <w:pPr>
        <w:pStyle w:val="7"/>
        <w:widowControl/>
        <w:spacing w:before="280" w:after="290"/>
        <w:ind w:left="0" w:firstLine="0"/>
        <w:rPr>
          <w:rFonts w:hint="eastAsia" w:ascii="宋体" w:hAnsi="宋体"/>
          <w:sz w:val="21"/>
          <w:szCs w:val="21"/>
        </w:rPr>
      </w:pPr>
      <w:r>
        <w:rPr>
          <w:rFonts w:hint="eastAsia" w:ascii="宋体" w:hAnsi="宋体"/>
          <w:sz w:val="21"/>
          <w:szCs w:val="21"/>
        </w:rPr>
        <w:t>系统架构的灵活扩展</w:t>
      </w:r>
    </w:p>
    <w:p w14:paraId="51F157A3">
      <w:pPr>
        <w:spacing w:line="360" w:lineRule="auto"/>
        <w:ind w:left="420" w:firstLine="420" w:firstLineChars="200"/>
        <w:rPr>
          <w:rFonts w:hint="eastAsia" w:ascii="宋体" w:hAnsi="宋体" w:eastAsia="宋体"/>
        </w:rPr>
      </w:pPr>
      <w:r>
        <w:rPr>
          <w:rFonts w:hint="eastAsia" w:ascii="宋体" w:hAnsi="宋体" w:eastAsia="宋体"/>
        </w:rPr>
        <w:t>为了满足需求和数据的不断变化和增长，系统具备灵活的扩展能力，包括支持数据并发访问增长、管理功能的延伸等。系统采用领域驱动设计（DDD），将整体业务功能拆分为多个独立的微服务，每个微服务专注于特定的业务领域，每个微服务独立部署、独立运行，拥有自己的数据库和数据存储，实现高内聚、低耦合的架构。</w:t>
      </w:r>
    </w:p>
    <w:p w14:paraId="32BBF7A2">
      <w:pPr>
        <w:spacing w:line="360" w:lineRule="auto"/>
        <w:ind w:left="420" w:firstLine="420" w:firstLineChars="200"/>
        <w:rPr>
          <w:rFonts w:hint="eastAsia" w:ascii="宋体" w:hAnsi="宋体" w:eastAsia="宋体"/>
        </w:rPr>
      </w:pPr>
      <w:r>
        <w:rPr>
          <w:rFonts w:hint="eastAsia" w:ascii="宋体" w:hAnsi="宋体" w:eastAsia="宋体"/>
        </w:rPr>
        <w:t>同时系统引入了消息队列RocketMQ，实现异步通信和事件驱动，解耦服务，提升系统的可扩展性和可靠性。</w:t>
      </w:r>
    </w:p>
    <w:p w14:paraId="7017DF82">
      <w:pPr>
        <w:pStyle w:val="7"/>
        <w:widowControl/>
        <w:spacing w:before="280" w:after="290"/>
        <w:ind w:left="0" w:hanging="142"/>
        <w:rPr>
          <w:rFonts w:hint="eastAsia" w:ascii="宋体" w:hAnsi="宋体"/>
          <w:sz w:val="21"/>
          <w:szCs w:val="21"/>
        </w:rPr>
      </w:pPr>
      <w:r>
        <w:rPr>
          <w:rFonts w:hint="eastAsia" w:ascii="宋体" w:hAnsi="宋体"/>
          <w:sz w:val="21"/>
          <w:szCs w:val="21"/>
        </w:rPr>
        <w:t>高峰期的稳定性保障</w:t>
      </w:r>
    </w:p>
    <w:p w14:paraId="5EE68060">
      <w:pPr>
        <w:spacing w:line="360" w:lineRule="auto"/>
        <w:ind w:left="420" w:firstLine="420" w:firstLineChars="200"/>
        <w:rPr>
          <w:rFonts w:hint="eastAsia" w:ascii="宋体" w:hAnsi="宋体" w:eastAsia="宋体"/>
        </w:rPr>
      </w:pPr>
      <w:r>
        <w:rPr>
          <w:rFonts w:hint="eastAsia" w:ascii="宋体" w:hAnsi="宋体" w:eastAsia="宋体"/>
          <w:szCs w:val="21"/>
        </w:rPr>
        <w:t>当系统高峰期来临时，系统能够利用容器编排平台的资源调度功能，合理分配计算资源，防止资源竞争。运维团队将与</w:t>
      </w:r>
      <w:r>
        <w:rPr>
          <w:rFonts w:hint="eastAsia" w:ascii="宋体" w:hAnsi="宋体" w:eastAsia="宋体"/>
        </w:rPr>
        <w:t>研发团队和运营团队相互合作，根据历史数据和业务预测，进行容量规划，提前准备充足的硬件资源。运维团队也会定期进行压力测试，发现系统瓶颈，持续优化性能。</w:t>
      </w:r>
    </w:p>
    <w:p w14:paraId="4BD7D058">
      <w:pPr>
        <w:pStyle w:val="6"/>
        <w:widowControl/>
        <w:spacing w:before="260" w:after="260"/>
        <w:ind w:left="0" w:firstLine="0"/>
        <w:rPr>
          <w:rFonts w:hint="eastAsia" w:ascii="宋体" w:hAnsi="宋体"/>
        </w:rPr>
      </w:pPr>
      <w:r>
        <w:rPr>
          <w:rFonts w:hint="eastAsia" w:ascii="宋体" w:hAnsi="宋体"/>
        </w:rPr>
        <w:t xml:space="preserve"> </w:t>
      </w:r>
      <w:bookmarkStart w:id="198" w:name="_Toc180265626"/>
      <w:r>
        <w:rPr>
          <w:rFonts w:hint="eastAsia" w:ascii="宋体" w:hAnsi="宋体"/>
        </w:rPr>
        <w:t>用户友好性与易用性</w:t>
      </w:r>
      <w:bookmarkEnd w:id="198"/>
    </w:p>
    <w:p w14:paraId="3160A845">
      <w:pPr>
        <w:pStyle w:val="20"/>
        <w:spacing w:line="360" w:lineRule="auto"/>
        <w:ind w:left="420" w:firstLine="422" w:firstLineChars="200"/>
        <w:rPr>
          <w:rFonts w:hint="eastAsia" w:ascii="宋体" w:hAnsi="宋体"/>
        </w:rPr>
      </w:pPr>
      <w:r>
        <w:rPr>
          <w:rFonts w:hint="eastAsia" w:ascii="宋体" w:hAnsi="宋体"/>
          <w:b/>
          <w:bCs/>
        </w:rPr>
        <w:t>符合用户操作习惯</w:t>
      </w:r>
      <w:r>
        <w:rPr>
          <w:rFonts w:hint="eastAsia" w:ascii="宋体" w:hAnsi="宋体"/>
        </w:rPr>
        <w:t>：系统的各个子系统的页面和功能均由我们专业的产品团队、设计团队精心设计，各项功能的设计是我们多年沉淀的结果。招标服务的系统设计，经受住了我们近千家代理机构、几万名专业的项目经理用户的考验。系统的可靠性、合理性、易用性均是行业中的领先水平。同时我们的投标服务也经过了几十万投标人的考验，不管是从合理性、易用性还是性能方面，都完全满足投标人对于投标服务的需求。</w:t>
      </w:r>
    </w:p>
    <w:p w14:paraId="642432E9">
      <w:pPr>
        <w:pStyle w:val="20"/>
        <w:spacing w:line="360" w:lineRule="auto"/>
        <w:ind w:left="420" w:firstLine="422" w:firstLineChars="200"/>
        <w:rPr>
          <w:rFonts w:hint="eastAsia" w:ascii="宋体" w:hAnsi="宋体"/>
        </w:rPr>
      </w:pPr>
      <w:r>
        <w:rPr>
          <w:rFonts w:hint="eastAsia" w:ascii="宋体" w:hAnsi="宋体"/>
          <w:b/>
          <w:bCs/>
        </w:rPr>
        <w:t>易学易用</w:t>
      </w:r>
      <w:r>
        <w:rPr>
          <w:rFonts w:hint="eastAsia" w:ascii="宋体" w:hAnsi="宋体"/>
        </w:rPr>
        <w:t>：我们提供了详尽完善的用户使用手册，其中详细包含了各个系统、功能的使用说明，用户手册覆盖了系统中的所有功能。可供招标人提供功能使用方面的查阅。我们也会为用户提供系统的培训服务，提升用户对系统的熟悉程度。培训服务会随着系统的更新迭代持续不断的进行，确保客户掌握的是准确、最新的信息。</w:t>
      </w:r>
    </w:p>
    <w:p w14:paraId="5BC1F84C">
      <w:pPr>
        <w:pStyle w:val="20"/>
        <w:spacing w:line="360" w:lineRule="auto"/>
        <w:ind w:left="420" w:firstLine="420" w:firstLineChars="200"/>
        <w:rPr>
          <w:rFonts w:hint="eastAsia" w:ascii="宋体" w:hAnsi="宋体"/>
        </w:rPr>
      </w:pPr>
      <w:r>
        <w:rPr>
          <w:rFonts w:hint="eastAsia" w:ascii="宋体" w:hAnsi="宋体"/>
        </w:rPr>
        <w:t>系统依据招标、投标流程，合理的设计了系统的主要操作页面，用户可以一目了然的了解到项目的整个流程以及每个流程中所包含的业务单元。用户甚至可以直接通过页面就能清楚如何在各个业务单元进行操作。具体的页面和操作，详见使用手册。</w:t>
      </w:r>
    </w:p>
    <w:p w14:paraId="3B5F6BC7">
      <w:pPr>
        <w:pStyle w:val="20"/>
        <w:spacing w:line="360" w:lineRule="auto"/>
        <w:ind w:left="420" w:firstLine="422" w:firstLineChars="200"/>
        <w:rPr>
          <w:rFonts w:hint="eastAsia" w:ascii="宋体" w:hAnsi="宋体"/>
        </w:rPr>
      </w:pPr>
      <w:r>
        <w:rPr>
          <w:rFonts w:hint="eastAsia" w:ascii="宋体" w:hAnsi="宋体"/>
          <w:b/>
          <w:bCs/>
        </w:rPr>
        <w:t>个性化定制</w:t>
      </w:r>
      <w:r>
        <w:rPr>
          <w:rFonts w:hint="eastAsia" w:ascii="宋体" w:hAnsi="宋体"/>
        </w:rPr>
        <w:t>：系统为用户提供了丰富的个性化定制功能，包括租户配置、特定流程功能配置等，用户可以根据不同的情况对不同的业务功能进行定制化配置。</w:t>
      </w:r>
    </w:p>
    <w:p w14:paraId="56B687E9">
      <w:pPr>
        <w:pStyle w:val="20"/>
        <w:spacing w:line="360" w:lineRule="auto"/>
        <w:ind w:left="420" w:firstLine="420" w:firstLineChars="200"/>
        <w:rPr>
          <w:rFonts w:hint="eastAsia" w:ascii="宋体" w:hAnsi="宋体"/>
        </w:rPr>
      </w:pPr>
      <w:r>
        <w:rPr>
          <w:rFonts w:hint="eastAsia" w:ascii="宋体" w:hAnsi="宋体"/>
        </w:rPr>
        <w:t>尽管我们的系统已经充分考虑了招标人对于各系统的使用需求，但招标人可能仍然存在个性化定制需求，对此我们将提供完整的技术支持，设计出最适合招标人需求的功能。</w:t>
      </w:r>
    </w:p>
    <w:p w14:paraId="3388CE96">
      <w:pPr>
        <w:pStyle w:val="6"/>
        <w:widowControl/>
        <w:spacing w:before="260" w:after="260"/>
        <w:ind w:left="0" w:firstLine="0"/>
        <w:rPr>
          <w:rFonts w:hint="eastAsia" w:ascii="宋体" w:hAnsi="宋体"/>
        </w:rPr>
      </w:pPr>
      <w:r>
        <w:rPr>
          <w:rFonts w:hint="eastAsia" w:ascii="宋体" w:hAnsi="宋体"/>
        </w:rPr>
        <w:t xml:space="preserve"> </w:t>
      </w:r>
      <w:bookmarkStart w:id="199" w:name="_Toc180265627"/>
      <w:r>
        <w:rPr>
          <w:rFonts w:hint="eastAsia" w:ascii="宋体" w:hAnsi="宋体"/>
        </w:rPr>
        <w:t>性能验收与用户满意度</w:t>
      </w:r>
      <w:bookmarkEnd w:id="199"/>
    </w:p>
    <w:p w14:paraId="226A1B46">
      <w:pPr>
        <w:spacing w:line="360" w:lineRule="auto"/>
        <w:ind w:left="420" w:firstLine="420" w:firstLineChars="200"/>
        <w:rPr>
          <w:rFonts w:hint="eastAsia" w:ascii="宋体" w:hAnsi="宋体" w:eastAsia="宋体"/>
        </w:rPr>
      </w:pPr>
      <w:r>
        <w:rPr>
          <w:rFonts w:hint="eastAsia" w:ascii="宋体" w:hAnsi="宋体" w:eastAsia="宋体"/>
        </w:rPr>
        <w:t>系统上线后，我们将会全力配合招标人对系统性能的验收工作，同时建立性能问题跟踪机制，及时记录和处理因特殊原因导致的性能问题。针对发现的问题，提供专业的优化方案，改善系统性能。</w:t>
      </w:r>
    </w:p>
    <w:p w14:paraId="5BA50A8B">
      <w:pPr>
        <w:spacing w:line="360" w:lineRule="auto"/>
        <w:ind w:left="420" w:firstLine="420" w:firstLineChars="200"/>
        <w:rPr>
          <w:rFonts w:hint="eastAsia" w:ascii="宋体" w:hAnsi="宋体" w:eastAsia="宋体" w:cs="宋体"/>
          <w:szCs w:val="21"/>
        </w:rPr>
      </w:pPr>
      <w:r>
        <w:rPr>
          <w:rFonts w:hint="eastAsia" w:ascii="宋体" w:hAnsi="宋体" w:eastAsia="宋体"/>
        </w:rPr>
        <w:t>我们十分重视用户的反馈意见，我们将会定期收集用户对系统性能的评价。开展用户满意度调查，根据用户反馈，持续改进系统性能，提升用户体验。对于用户的特殊性能需求，提供定制化的解决方案。</w:t>
      </w:r>
    </w:p>
    <w:p w14:paraId="65926696">
      <w:pPr>
        <w:spacing w:line="360" w:lineRule="auto"/>
        <w:ind w:left="420"/>
        <w:rPr>
          <w:rFonts w:hint="eastAsia" w:ascii="宋体" w:hAnsi="宋体" w:eastAsia="宋体" w:cs="宋体"/>
          <w:szCs w:val="21"/>
        </w:rPr>
      </w:pPr>
    </w:p>
    <w:p w14:paraId="3C767E81">
      <w:pPr>
        <w:pStyle w:val="5"/>
        <w:widowControl/>
        <w:spacing w:before="260" w:after="260"/>
        <w:ind w:left="0" w:firstLine="0"/>
        <w:rPr>
          <w:rFonts w:hint="eastAsia" w:ascii="宋体" w:hAnsi="宋体"/>
        </w:rPr>
      </w:pPr>
      <w:r>
        <w:rPr>
          <w:rFonts w:hint="eastAsia" w:ascii="宋体" w:hAnsi="宋体"/>
        </w:rPr>
        <w:t xml:space="preserve"> </w:t>
      </w:r>
      <w:bookmarkStart w:id="200" w:name="_Toc180265628"/>
      <w:r>
        <w:rPr>
          <w:rFonts w:hint="eastAsia" w:ascii="宋体" w:hAnsi="宋体"/>
        </w:rPr>
        <w:t>其他技术要求响应</w:t>
      </w:r>
      <w:bookmarkEnd w:id="200"/>
    </w:p>
    <w:p w14:paraId="28DFF7ED">
      <w:pPr>
        <w:pStyle w:val="6"/>
        <w:widowControl/>
        <w:spacing w:before="260" w:after="260"/>
        <w:ind w:left="0" w:firstLine="0"/>
        <w:rPr>
          <w:rFonts w:hint="eastAsia" w:ascii="宋体" w:hAnsi="宋体"/>
        </w:rPr>
      </w:pPr>
      <w:bookmarkStart w:id="201" w:name="_Toc180265629"/>
      <w:r>
        <w:rPr>
          <w:rFonts w:hint="eastAsia" w:ascii="宋体" w:hAnsi="宋体"/>
        </w:rPr>
        <w:t>信创适配方案</w:t>
      </w:r>
      <w:bookmarkEnd w:id="201"/>
    </w:p>
    <w:p w14:paraId="33370981">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中招联合招标采购平台是完全自主研发、安全可控的采购平台。整个系统从设计、研发、测试、部署到上线运行，在系统建设的全生命周期里采用了国内自主知识产权的技术。</w:t>
      </w:r>
    </w:p>
    <w:p w14:paraId="61745B80">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平台建设基于Java核心技术。Java技术由于其跨平台特性，面向对象特性，安全特性等使之已经成为构建各类应用的标准。平台的运行时采用OpenJDK，支持国内的阿里巴巴开源的OpenJDK版本Dragonwell、腾讯OpenJDK Kona等。</w:t>
      </w:r>
    </w:p>
    <w:p w14:paraId="47E71BD6">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Java技术的跨平台特性以及国内主流厂商在开源OpenJDK上的研发成果，利用国内厂商开发的OpenJDK，将使得基于此上开发的应用系统运行在各项国产主流的操作系统上，龙蜥、麒麟、 UOS 、深度等国产操作系统，同时支持国产主流的CPU芯片。</w:t>
      </w:r>
    </w:p>
    <w:p w14:paraId="0823AE86">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基于Java的数据库访问技术JDBC，能使得系统很容易支持国产主流操作数据库，均提供JDBC的访问驱动供应用系统接入，同时平台将采用标准开放的SQL技术，但由于不同的数据库厂商对SQL标准的支持程度不一，实际适配国产数据库时，我们建议安装Mysql完全兼容的国产数据库，以减少适配工作量，降低项目实施风险。</w:t>
      </w:r>
    </w:p>
    <w:p w14:paraId="5BEAEC9F">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平台基于B/S技术，只需要通过浏览器即可访问系统，采用标准的Web技术，兼容市面上主流的浏览器例如IE11、360浏览器等，同时兼容Chromium开源内核技术进行开发的国产浏览器等，与所在操作系统无关。</w:t>
      </w:r>
    </w:p>
    <w:p w14:paraId="5E847477">
      <w:pPr>
        <w:spacing w:line="360" w:lineRule="auto"/>
        <w:ind w:left="420"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在安全上，平台支持多个国内CA，除了支持国际标准算法，例如RSA算法外，也支持国产密钥算法如非对称密钥算法SM2、哈希算法SM3以及对称。</w:t>
      </w:r>
    </w:p>
    <w:p w14:paraId="1A74D7DE">
      <w:pPr>
        <w:spacing w:line="360" w:lineRule="auto"/>
        <w:ind w:left="420" w:firstLine="422" w:firstLineChars="200"/>
        <w:rPr>
          <w:rFonts w:hint="eastAsia" w:ascii="宋体" w:hAnsi="宋体" w:eastAsia="宋体" w:cs="宋体"/>
          <w:b/>
          <w:bCs/>
          <w:iCs/>
          <w:color w:val="000000" w:themeColor="text1"/>
          <w:szCs w:val="21"/>
          <w14:textFill>
            <w14:solidFill>
              <w14:schemeClr w14:val="tx1"/>
            </w14:solidFill>
          </w14:textFill>
        </w:rPr>
      </w:pPr>
      <w:r>
        <w:rPr>
          <w:rFonts w:hint="eastAsia" w:ascii="宋体" w:hAnsi="宋体" w:eastAsia="宋体" w:cs="宋体"/>
          <w:b/>
          <w:bCs/>
          <w:iCs/>
          <w:color w:val="000000" w:themeColor="text1"/>
          <w:szCs w:val="21"/>
          <w14:textFill>
            <w14:solidFill>
              <w14:schemeClr w14:val="tx1"/>
            </w14:solidFill>
          </w14:textFill>
        </w:rPr>
        <w:t>（1）后台服务信创适配路线</w:t>
      </w:r>
    </w:p>
    <w:p w14:paraId="0F8A22F0">
      <w:pPr>
        <w:spacing w:line="360" w:lineRule="auto"/>
        <w:ind w:firstLine="420"/>
        <w:rPr>
          <w:rFonts w:hint="eastAsia" w:ascii="宋体" w:hAnsi="宋体" w:eastAsia="宋体" w:cs="宋体"/>
          <w:color w:val="000000"/>
          <w:szCs w:val="21"/>
          <w:lang w:bidi="ar"/>
        </w:rPr>
      </w:pPr>
      <w:r>
        <w:rPr>
          <w:rFonts w:hint="eastAsia" w:ascii="宋体" w:hAnsi="宋体" w:eastAsia="宋体" w:cs="宋体"/>
          <w:color w:val="000000"/>
          <w:szCs w:val="21"/>
          <w:lang w:bidi="ar"/>
        </w:rPr>
        <w:t>后台服务选择应用组件的基本标准为通过中国信息安全测评中心组织的安全可靠测评、或者进入信创采购目录的软硬件产品。</w:t>
      </w:r>
    </w:p>
    <w:p w14:paraId="416B0902">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服务器，符合安全可靠测评或信创要求的国产服务器</w:t>
      </w:r>
    </w:p>
    <w:p w14:paraId="424577EE">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操作系统，选择龙蜥服务器操作系统。</w:t>
      </w:r>
    </w:p>
    <w:p w14:paraId="7E16B601">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数据库，选择兼容Mysql的国产数据库。</w:t>
      </w:r>
    </w:p>
    <w:p w14:paraId="48514EAE">
      <w:pPr>
        <w:spacing w:line="360" w:lineRule="auto"/>
        <w:ind w:left="420" w:firstLine="422" w:firstLineChars="200"/>
        <w:rPr>
          <w:rFonts w:hint="eastAsia" w:ascii="宋体" w:hAnsi="宋体" w:eastAsia="宋体" w:cs="宋体"/>
          <w:iCs/>
          <w:color w:val="000000" w:themeColor="text1"/>
          <w:szCs w:val="21"/>
          <w14:textFill>
            <w14:solidFill>
              <w14:schemeClr w14:val="tx1"/>
            </w14:solidFill>
          </w14:textFill>
        </w:rPr>
      </w:pPr>
      <w:r>
        <w:rPr>
          <w:rFonts w:hint="eastAsia" w:ascii="宋体" w:hAnsi="宋体" w:eastAsia="宋体" w:cs="宋体"/>
          <w:b/>
          <w:bCs/>
          <w:iCs/>
          <w:color w:val="000000" w:themeColor="text1"/>
          <w:szCs w:val="21"/>
          <w14:textFill>
            <w14:solidFill>
              <w14:schemeClr w14:val="tx1"/>
            </w14:solidFill>
          </w14:textFill>
        </w:rPr>
        <w:t>（2）前台应用信创适配路线</w:t>
      </w:r>
    </w:p>
    <w:p w14:paraId="72444F09">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招标环节，招标文件实行电子编制，评标配置等环节由于设置较为复杂，为减少项目经理的工作，实现一次编辑完成文件编制和结构化配置信息保存，目前主要依赖基于Windows操作系统研发的对应客户端实现。为适配信创操作系统，平台计划将编制功能完全迁移通过浏览器实现，并与现有Windows客户端并行应用，便于项目经理逐步过渡至国产信创操作系统。</w:t>
      </w:r>
    </w:p>
    <w:p w14:paraId="419906B4">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投标环节，面向的投标人客户群体复杂多样，主要以Windows电脑为主，在编制投标文件，加密文件和投标时应保证其电脑使用习惯，国产信创操作系统支持为可选方案。</w:t>
      </w:r>
    </w:p>
    <w:p w14:paraId="26A2F9BD">
      <w:pPr>
        <w:widowControl/>
        <w:numPr>
          <w:ilvl w:val="0"/>
          <w:numId w:val="38"/>
        </w:numPr>
        <w:spacing w:line="360" w:lineRule="auto"/>
        <w:jc w:val="left"/>
        <w:rPr>
          <w:rFonts w:hint="eastAsia" w:ascii="宋体" w:hAnsi="宋体" w:eastAsia="宋体" w:cs="宋体"/>
          <w:color w:val="000000"/>
          <w:szCs w:val="21"/>
          <w:lang w:bidi="ar"/>
        </w:rPr>
      </w:pPr>
      <w:r>
        <w:rPr>
          <w:rFonts w:hint="eastAsia" w:ascii="宋体" w:hAnsi="宋体" w:eastAsia="宋体" w:cs="宋体"/>
          <w:color w:val="000000"/>
          <w:szCs w:val="21"/>
          <w:lang w:bidi="ar"/>
        </w:rPr>
        <w:t>开标环节，通过浏览器方式进行开标，并对开标过程进行记录和确认，支持项目经理、采购人监督使用国产信创操作系统进行操作。</w:t>
      </w:r>
    </w:p>
    <w:p w14:paraId="55539309">
      <w:pPr>
        <w:widowControl/>
        <w:numPr>
          <w:ilvl w:val="0"/>
          <w:numId w:val="38"/>
        </w:numPr>
        <w:spacing w:line="360" w:lineRule="auto"/>
        <w:jc w:val="left"/>
        <w:rPr>
          <w:rFonts w:hint="eastAsia" w:ascii="宋体" w:hAnsi="宋体" w:eastAsia="宋体" w:cs="宋体"/>
          <w:szCs w:val="21"/>
        </w:rPr>
      </w:pPr>
      <w:r>
        <w:rPr>
          <w:rFonts w:hint="eastAsia" w:ascii="宋体" w:hAnsi="宋体" w:eastAsia="宋体" w:cs="宋体"/>
          <w:color w:val="000000"/>
          <w:szCs w:val="21"/>
          <w:lang w:bidi="ar"/>
        </w:rPr>
        <w:t>评标环节，评标环节通过浏览器进行评标，评标专家评标等功能在使用国产化信创操作系统均不受影响。</w:t>
      </w:r>
    </w:p>
    <w:p w14:paraId="023CB623">
      <w:pPr>
        <w:widowControl/>
        <w:numPr>
          <w:ilvl w:val="0"/>
          <w:numId w:val="38"/>
        </w:numPr>
        <w:spacing w:line="360" w:lineRule="auto"/>
        <w:jc w:val="left"/>
        <w:rPr>
          <w:rFonts w:hint="eastAsia" w:ascii="宋体" w:hAnsi="宋体" w:eastAsia="宋体" w:cs="宋体"/>
          <w:szCs w:val="21"/>
        </w:rPr>
      </w:pPr>
      <w:r>
        <w:rPr>
          <w:rFonts w:hint="eastAsia" w:ascii="宋体" w:hAnsi="宋体" w:eastAsia="宋体" w:cs="宋体"/>
          <w:color w:val="000000"/>
          <w:szCs w:val="21"/>
          <w:lang w:bidi="ar"/>
        </w:rPr>
        <w:t>定标环节，目前通过浏览器操作，代理机构和采购人在使用国产化信创操作系统亦不受影响。</w:t>
      </w:r>
    </w:p>
    <w:p w14:paraId="6E240579">
      <w:pPr>
        <w:pStyle w:val="2"/>
        <w:spacing w:line="360" w:lineRule="auto"/>
        <w:rPr>
          <w:rFonts w:hint="eastAsia" w:ascii="宋体" w:hAnsi="宋体" w:cs="宋体"/>
          <w:szCs w:val="21"/>
        </w:rPr>
      </w:pPr>
    </w:p>
    <w:p w14:paraId="76F2EBF7">
      <w:pPr>
        <w:pStyle w:val="6"/>
        <w:widowControl/>
        <w:spacing w:before="260" w:after="260"/>
        <w:ind w:left="0" w:firstLine="0"/>
        <w:rPr>
          <w:rFonts w:hint="eastAsia" w:ascii="宋体" w:hAnsi="宋体"/>
        </w:rPr>
      </w:pPr>
      <w:bookmarkStart w:id="202" w:name="_Toc180265630"/>
      <w:r>
        <w:rPr>
          <w:rFonts w:hint="eastAsia" w:ascii="宋体" w:hAnsi="宋体"/>
        </w:rPr>
        <w:t>数据入湖方案</w:t>
      </w:r>
      <w:bookmarkEnd w:id="202"/>
    </w:p>
    <w:p w14:paraId="605360FC">
      <w:pPr>
        <w:pStyle w:val="2"/>
        <w:spacing w:line="360" w:lineRule="auto"/>
        <w:rPr>
          <w:rFonts w:hint="eastAsia" w:ascii="宋体" w:hAnsi="宋体" w:cs="宋体"/>
          <w:szCs w:val="21"/>
        </w:rPr>
      </w:pPr>
      <w:r>
        <w:rPr>
          <w:rFonts w:hint="eastAsia" w:ascii="宋体" w:hAnsi="宋体" w:cs="宋体"/>
          <w:szCs w:val="21"/>
        </w:rPr>
        <w:t>为满足招标人关于通过数字中台开展数据元、数字对象、数据模型标准化注册，实现数据入湖的要求，本方案旨在提供一个完整的数据入湖解决方案。描述数据入湖的实施步骤、数据标准化的方法等，确保数据的准确性、完整性和一致性，满足业务需求。</w:t>
      </w:r>
    </w:p>
    <w:p w14:paraId="79BC7FEE">
      <w:pPr>
        <w:pStyle w:val="7"/>
        <w:widowControl/>
        <w:spacing w:before="280" w:after="290"/>
        <w:ind w:left="0" w:firstLine="0"/>
        <w:rPr>
          <w:rFonts w:hint="eastAsia" w:ascii="宋体" w:hAnsi="宋体"/>
          <w:sz w:val="21"/>
          <w:szCs w:val="21"/>
        </w:rPr>
      </w:pPr>
      <w:r>
        <w:rPr>
          <w:rFonts w:hint="eastAsia" w:ascii="宋体" w:hAnsi="宋体"/>
          <w:sz w:val="21"/>
          <w:szCs w:val="21"/>
        </w:rPr>
        <w:t>数据入湖的具体步骤</w:t>
      </w:r>
    </w:p>
    <w:p w14:paraId="4F84CC3D">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（1）需求分析</w:t>
      </w:r>
    </w:p>
    <w:p w14:paraId="349C26E3">
      <w:pPr>
        <w:pStyle w:val="2"/>
        <w:spacing w:line="360" w:lineRule="auto"/>
        <w:rPr>
          <w:rFonts w:hint="eastAsia" w:ascii="宋体" w:hAnsi="宋体" w:cs="宋体"/>
          <w:szCs w:val="21"/>
        </w:rPr>
      </w:pPr>
      <w:r>
        <w:rPr>
          <w:rFonts w:hint="eastAsia" w:ascii="宋体" w:hAnsi="宋体" w:cs="宋体"/>
          <w:szCs w:val="21"/>
        </w:rPr>
        <w:t>数据范围确定：与招标人沟通，明确需要入湖的数据范围，包括哪些数据元、数字对象、数据模型等，以及非结构化数据的数据范围。</w:t>
      </w:r>
    </w:p>
    <w:p w14:paraId="658CAD6D">
      <w:pPr>
        <w:pStyle w:val="2"/>
        <w:spacing w:line="360" w:lineRule="auto"/>
        <w:rPr>
          <w:rFonts w:hint="eastAsia" w:ascii="宋体" w:hAnsi="宋体" w:cs="宋体"/>
          <w:szCs w:val="21"/>
        </w:rPr>
      </w:pPr>
      <w:r>
        <w:rPr>
          <w:rFonts w:hint="eastAsia" w:ascii="宋体" w:hAnsi="宋体" w:cs="宋体"/>
          <w:szCs w:val="21"/>
        </w:rPr>
        <w:t>数据标准制定：制定数据标准和规范，包括命名规则、数据格式、元数据要求等，确保数据的标准化。</w:t>
      </w:r>
    </w:p>
    <w:p w14:paraId="60E61C11">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（2）数字中台对接</w:t>
      </w:r>
    </w:p>
    <w:p w14:paraId="76CFA079">
      <w:pPr>
        <w:pStyle w:val="2"/>
        <w:spacing w:line="360" w:lineRule="auto"/>
        <w:rPr>
          <w:rFonts w:hint="eastAsia" w:ascii="宋体" w:hAnsi="宋体" w:cs="宋体"/>
          <w:szCs w:val="21"/>
        </w:rPr>
      </w:pPr>
      <w:r>
        <w:rPr>
          <w:rFonts w:hint="eastAsia" w:ascii="宋体" w:hAnsi="宋体" w:cs="宋体"/>
          <w:szCs w:val="21"/>
        </w:rPr>
        <w:t>数据交换方式：确定与烟草行业数字中台的数据交换方式，定义数据交换基本规则，确认数据交换的安全策略和认证规则。</w:t>
      </w:r>
    </w:p>
    <w:p w14:paraId="164C3C2B">
      <w:pPr>
        <w:pStyle w:val="2"/>
        <w:spacing w:line="360" w:lineRule="auto"/>
        <w:rPr>
          <w:rFonts w:hint="eastAsia" w:ascii="宋体" w:hAnsi="宋体" w:cs="宋体"/>
          <w:szCs w:val="21"/>
        </w:rPr>
      </w:pPr>
      <w:r>
        <w:rPr>
          <w:rFonts w:hint="eastAsia" w:ascii="宋体" w:hAnsi="宋体" w:cs="宋体"/>
          <w:szCs w:val="21"/>
        </w:rPr>
        <w:t>数据清洗与转换：编写数据处理流程，对采集的数据进行清洗和格式转换，确保满足数字中台对于数据质量的要求。</w:t>
      </w:r>
    </w:p>
    <w:p w14:paraId="05ACFAFE">
      <w:pPr>
        <w:pStyle w:val="2"/>
        <w:spacing w:line="360" w:lineRule="auto"/>
        <w:rPr>
          <w:rFonts w:hint="eastAsia" w:ascii="宋体" w:hAnsi="宋体" w:cs="宋体"/>
          <w:szCs w:val="21"/>
        </w:rPr>
      </w:pPr>
      <w:r>
        <w:rPr>
          <w:rFonts w:hint="eastAsia" w:ascii="宋体" w:hAnsi="宋体" w:cs="宋体"/>
          <w:szCs w:val="21"/>
        </w:rPr>
        <w:t>数据标准化：按照数字中台的数据标准，对数据进行标准化处理，确保数据的一致性。</w:t>
      </w:r>
    </w:p>
    <w:p w14:paraId="58258CAF">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（3）数据注册</w:t>
      </w:r>
    </w:p>
    <w:p w14:paraId="3392E812">
      <w:pPr>
        <w:pStyle w:val="2"/>
        <w:spacing w:line="360" w:lineRule="auto"/>
        <w:rPr>
          <w:rFonts w:hint="eastAsia" w:ascii="宋体" w:hAnsi="宋体" w:cs="宋体"/>
          <w:szCs w:val="21"/>
        </w:rPr>
      </w:pPr>
      <w:r>
        <w:rPr>
          <w:rFonts w:hint="eastAsia" w:ascii="宋体" w:hAnsi="宋体" w:cs="宋体"/>
          <w:szCs w:val="21"/>
        </w:rPr>
        <w:t>元数据录入：在数字中台上录入数据元的元数据信息，建立统一的数据字典。</w:t>
      </w:r>
    </w:p>
    <w:p w14:paraId="25DDD3DB">
      <w:pPr>
        <w:pStyle w:val="2"/>
        <w:spacing w:line="360" w:lineRule="auto"/>
        <w:rPr>
          <w:rFonts w:hint="eastAsia" w:ascii="宋体" w:hAnsi="宋体" w:cs="宋体"/>
          <w:szCs w:val="21"/>
        </w:rPr>
      </w:pPr>
      <w:r>
        <w:rPr>
          <w:rFonts w:hint="eastAsia" w:ascii="宋体" w:hAnsi="宋体" w:cs="宋体"/>
          <w:szCs w:val="21"/>
        </w:rPr>
        <w:t>数字对象注册：登记数字对象的元数据和存储位置，便于管理和检索。</w:t>
      </w:r>
    </w:p>
    <w:p w14:paraId="4A153FD1">
      <w:pPr>
        <w:pStyle w:val="2"/>
        <w:spacing w:line="360" w:lineRule="auto"/>
        <w:rPr>
          <w:rFonts w:hint="eastAsia" w:ascii="宋体" w:hAnsi="宋体" w:cs="宋体"/>
          <w:szCs w:val="21"/>
        </w:rPr>
      </w:pPr>
      <w:r>
        <w:rPr>
          <w:rFonts w:hint="eastAsia" w:ascii="宋体" w:hAnsi="宋体" w:cs="宋体"/>
          <w:szCs w:val="21"/>
        </w:rPr>
        <w:t>数据模型注册：在数字中台上注册数据模型，明确数据的结构和关系，为数据共享和交换提供支持。</w:t>
      </w:r>
    </w:p>
    <w:p w14:paraId="2C3E04CD">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（4）数据入湖</w:t>
      </w:r>
    </w:p>
    <w:p w14:paraId="624AF813">
      <w:pPr>
        <w:pStyle w:val="2"/>
        <w:spacing w:line="360" w:lineRule="auto"/>
        <w:rPr>
          <w:rFonts w:hint="eastAsia" w:ascii="宋体" w:hAnsi="宋体" w:cs="宋体"/>
          <w:szCs w:val="21"/>
        </w:rPr>
      </w:pPr>
      <w:r>
        <w:rPr>
          <w:rFonts w:hint="eastAsia" w:ascii="宋体" w:hAnsi="宋体" w:cs="宋体"/>
          <w:szCs w:val="21"/>
        </w:rPr>
        <w:t>数据导入：将标准化后的数据导入到数据湖的存储系统，采用批量或实时的方式。</w:t>
      </w:r>
    </w:p>
    <w:p w14:paraId="711BD54E">
      <w:pPr>
        <w:pStyle w:val="2"/>
        <w:spacing w:line="360" w:lineRule="auto"/>
        <w:rPr>
          <w:rFonts w:hint="eastAsia" w:ascii="宋体" w:hAnsi="宋体" w:cs="宋体"/>
          <w:szCs w:val="21"/>
        </w:rPr>
      </w:pPr>
      <w:r>
        <w:rPr>
          <w:rFonts w:hint="eastAsia" w:ascii="宋体" w:hAnsi="宋体" w:cs="宋体"/>
          <w:szCs w:val="21"/>
        </w:rPr>
        <w:t>数据验证：对导入的数据进行校验，确保数据的完整性、准确性和一致性。</w:t>
      </w:r>
    </w:p>
    <w:p w14:paraId="53D2FA76">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（5）测试与优化</w:t>
      </w:r>
    </w:p>
    <w:p w14:paraId="5FDF54B6">
      <w:pPr>
        <w:pStyle w:val="2"/>
        <w:spacing w:line="360" w:lineRule="auto"/>
        <w:rPr>
          <w:rFonts w:hint="eastAsia" w:ascii="宋体" w:hAnsi="宋体" w:cs="宋体"/>
          <w:szCs w:val="21"/>
        </w:rPr>
      </w:pPr>
      <w:r>
        <w:rPr>
          <w:rFonts w:hint="eastAsia" w:ascii="宋体" w:hAnsi="宋体" w:cs="宋体"/>
          <w:szCs w:val="21"/>
        </w:rPr>
        <w:t>功能测试：验证数据入湖功能是否正常运行。</w:t>
      </w:r>
    </w:p>
    <w:p w14:paraId="15C1ADC6">
      <w:pPr>
        <w:pStyle w:val="2"/>
        <w:spacing w:line="360" w:lineRule="auto"/>
        <w:rPr>
          <w:rFonts w:hint="eastAsia" w:ascii="宋体" w:hAnsi="宋体" w:cs="宋体"/>
          <w:szCs w:val="21"/>
        </w:rPr>
      </w:pPr>
      <w:r>
        <w:rPr>
          <w:rFonts w:hint="eastAsia" w:ascii="宋体" w:hAnsi="宋体" w:cs="宋体"/>
          <w:szCs w:val="21"/>
        </w:rPr>
        <w:t>性能测试：测试系统在高并发、大数据量情况下的性能，优化系统配置和数据处理流程。</w:t>
      </w:r>
    </w:p>
    <w:p w14:paraId="42344EBC">
      <w:pPr>
        <w:pStyle w:val="2"/>
        <w:spacing w:line="360" w:lineRule="auto"/>
        <w:rPr>
          <w:rFonts w:hint="eastAsia" w:ascii="宋体" w:hAnsi="宋体" w:cs="宋体"/>
          <w:szCs w:val="21"/>
        </w:rPr>
      </w:pPr>
      <w:r>
        <w:rPr>
          <w:rFonts w:hint="eastAsia" w:ascii="宋体" w:hAnsi="宋体" w:cs="宋体"/>
          <w:szCs w:val="21"/>
        </w:rPr>
        <w:t>安全测试：进行安全性测试，检查权限控制、数据加密等安全措施的有效性。</w:t>
      </w:r>
    </w:p>
    <w:p w14:paraId="6BBD58E9">
      <w:pPr>
        <w:pStyle w:val="2"/>
        <w:spacing w:line="360" w:lineRule="auto"/>
        <w:ind w:left="426" w:leftChars="0" w:firstLine="0" w:firstLineChars="0"/>
        <w:rPr>
          <w:rFonts w:hint="eastAsia" w:ascii="宋体" w:hAnsi="宋体" w:cs="宋体"/>
          <w:b/>
          <w:bCs/>
          <w:szCs w:val="21"/>
        </w:rPr>
      </w:pPr>
      <w:r>
        <w:rPr>
          <w:rFonts w:hint="eastAsia" w:ascii="宋体" w:hAnsi="宋体" w:cs="宋体"/>
          <w:b/>
          <w:bCs/>
          <w:szCs w:val="21"/>
        </w:rPr>
        <w:t>（6）运行维护</w:t>
      </w:r>
    </w:p>
    <w:p w14:paraId="5A08E1F2">
      <w:pPr>
        <w:pStyle w:val="2"/>
        <w:spacing w:line="360" w:lineRule="auto"/>
        <w:rPr>
          <w:rFonts w:hint="eastAsia" w:ascii="宋体" w:hAnsi="宋体" w:cs="宋体"/>
          <w:szCs w:val="21"/>
        </w:rPr>
      </w:pPr>
      <w:r>
        <w:rPr>
          <w:rFonts w:hint="eastAsia" w:ascii="宋体" w:hAnsi="宋体" w:cs="宋体"/>
          <w:szCs w:val="21"/>
        </w:rPr>
        <w:t>运维计划：制定系统的运行维护计划，包括系统监控、日志管理、备份恢复、故障处理等。</w:t>
      </w:r>
    </w:p>
    <w:p w14:paraId="21D0F222">
      <w:pPr>
        <w:pStyle w:val="2"/>
        <w:spacing w:line="360" w:lineRule="auto"/>
        <w:rPr>
          <w:rFonts w:hint="eastAsia" w:ascii="宋体" w:hAnsi="宋体" w:cs="宋体"/>
          <w:szCs w:val="21"/>
        </w:rPr>
      </w:pPr>
      <w:r>
        <w:rPr>
          <w:rFonts w:hint="eastAsia" w:ascii="宋体" w:hAnsi="宋体" w:cs="宋体"/>
          <w:szCs w:val="21"/>
        </w:rPr>
        <w:t>培训支持：对运维人员和相关用户进行培训，确保系统的稳定运行和有效使用。</w:t>
      </w:r>
    </w:p>
    <w:p w14:paraId="67E5C76F">
      <w:pPr>
        <w:pStyle w:val="7"/>
        <w:widowControl/>
        <w:spacing w:before="280" w:after="290"/>
        <w:ind w:left="0" w:firstLine="0"/>
        <w:rPr>
          <w:rFonts w:hint="eastAsia" w:ascii="宋体" w:hAnsi="宋体"/>
        </w:rPr>
      </w:pPr>
      <w:r>
        <w:rPr>
          <w:rFonts w:hint="eastAsia" w:ascii="宋体" w:hAnsi="宋体"/>
        </w:rPr>
        <w:t>数据标准化方法</w:t>
      </w:r>
    </w:p>
    <w:p w14:paraId="7520D94B">
      <w:pPr>
        <w:spacing w:line="360" w:lineRule="auto"/>
        <w:ind w:left="420" w:firstLine="420" w:firstLineChars="200"/>
        <w:rPr>
          <w:rFonts w:hint="eastAsia" w:ascii="宋体" w:hAnsi="宋体" w:eastAsia="宋体"/>
        </w:rPr>
      </w:pPr>
      <w:r>
        <w:rPr>
          <w:rFonts w:hint="eastAsia" w:ascii="宋体" w:hAnsi="宋体" w:eastAsia="宋体"/>
        </w:rPr>
        <w:t>对于数据标准化的方法，我们认为应包含数据元标准化、数字对象标准化、数据模型标准化三个部分，各部分应遵循一定的规范和标准，以下是我们认为各个部分应遵守的具体规则。</w:t>
      </w:r>
    </w:p>
    <w:p w14:paraId="083D08A3">
      <w:pPr>
        <w:spacing w:line="360" w:lineRule="auto"/>
        <w:rPr>
          <w:rFonts w:hint="eastAsia" w:ascii="宋体" w:hAnsi="宋体" w:eastAsia="宋体"/>
        </w:rPr>
      </w:pPr>
      <w:r>
        <w:rPr>
          <w:rFonts w:hint="eastAsia" w:ascii="宋体" w:hAnsi="宋体" w:eastAsia="宋体"/>
          <w:b/>
          <w:bCs/>
        </w:rPr>
        <w:t>（1）数据元标准化</w:t>
      </w:r>
    </w:p>
    <w:p w14:paraId="42935E3E">
      <w:pPr>
        <w:spacing w:line="360" w:lineRule="auto"/>
        <w:ind w:firstLine="420" w:firstLineChars="200"/>
        <w:rPr>
          <w:rFonts w:hint="eastAsia" w:ascii="宋体" w:hAnsi="宋体" w:eastAsia="宋体"/>
        </w:rPr>
      </w:pPr>
      <w:r>
        <w:rPr>
          <w:rFonts w:hint="eastAsia" w:ascii="宋体" w:hAnsi="宋体" w:eastAsia="宋体"/>
        </w:rPr>
        <w:t>统一命名规范：制定数据元的命名规则，采用统一的前缀、缩写和大小写风格，确保名称的唯一性和可读性。</w:t>
      </w:r>
    </w:p>
    <w:p w14:paraId="54C73DCC">
      <w:pPr>
        <w:spacing w:line="360" w:lineRule="auto"/>
        <w:ind w:firstLine="420" w:firstLineChars="200"/>
        <w:rPr>
          <w:rFonts w:hint="eastAsia" w:ascii="宋体" w:hAnsi="宋体" w:eastAsia="宋体"/>
        </w:rPr>
      </w:pPr>
      <w:r>
        <w:rPr>
          <w:rFonts w:hint="eastAsia" w:ascii="宋体" w:hAnsi="宋体" w:eastAsia="宋体"/>
        </w:rPr>
        <w:t>属性标准化：明确数据元的定义、数据类型、长度、取值范围、单位等属性，确保数据含义明确。</w:t>
      </w:r>
    </w:p>
    <w:p w14:paraId="5002F255">
      <w:pPr>
        <w:spacing w:line="360" w:lineRule="auto"/>
        <w:ind w:firstLine="420" w:firstLineChars="200"/>
        <w:rPr>
          <w:rFonts w:hint="eastAsia" w:ascii="宋体" w:hAnsi="宋体" w:eastAsia="宋体"/>
        </w:rPr>
      </w:pPr>
      <w:r>
        <w:rPr>
          <w:rFonts w:hint="eastAsia" w:ascii="宋体" w:hAnsi="宋体" w:eastAsia="宋体"/>
        </w:rPr>
        <w:t>编码规范：使用标准的编码体系（如 ISO、GB/T 标准）对数据元的取值进行编码管理，便于数据共享和交换。</w:t>
      </w:r>
    </w:p>
    <w:p w14:paraId="582E6E52">
      <w:pPr>
        <w:spacing w:line="360" w:lineRule="auto"/>
        <w:rPr>
          <w:rFonts w:hint="eastAsia" w:ascii="宋体" w:hAnsi="宋体" w:eastAsia="宋体"/>
        </w:rPr>
      </w:pPr>
      <w:r>
        <w:rPr>
          <w:rFonts w:hint="eastAsia" w:ascii="宋体" w:hAnsi="宋体" w:eastAsia="宋体"/>
          <w:b/>
          <w:bCs/>
        </w:rPr>
        <w:t>（2）</w:t>
      </w:r>
      <w:r>
        <w:rPr>
          <w:rFonts w:ascii="宋体" w:hAnsi="宋体" w:eastAsia="宋体"/>
          <w:b/>
          <w:bCs/>
        </w:rPr>
        <w:t>数字对象标准化</w:t>
      </w:r>
    </w:p>
    <w:p w14:paraId="716E7D89">
      <w:pPr>
        <w:spacing w:line="360" w:lineRule="auto"/>
        <w:ind w:firstLine="420" w:firstLineChars="200"/>
        <w:rPr>
          <w:rFonts w:hint="eastAsia" w:ascii="宋体" w:hAnsi="宋体" w:eastAsia="宋体"/>
        </w:rPr>
      </w:pPr>
      <w:r>
        <w:rPr>
          <w:rFonts w:hint="eastAsia" w:ascii="宋体" w:hAnsi="宋体" w:eastAsia="宋体"/>
        </w:rPr>
        <w:t>元数据规范：统一数字对象的元数据属性，包括标题、描述、作者、关键词、创建时间、版本等，方便检索和管理。</w:t>
      </w:r>
    </w:p>
    <w:p w14:paraId="3DD87C49">
      <w:pPr>
        <w:spacing w:line="360" w:lineRule="auto"/>
        <w:ind w:firstLine="420" w:firstLineChars="200"/>
        <w:rPr>
          <w:rFonts w:hint="eastAsia" w:ascii="宋体" w:hAnsi="宋体" w:eastAsia="宋体"/>
        </w:rPr>
      </w:pPr>
      <w:r>
        <w:rPr>
          <w:rFonts w:hint="eastAsia" w:ascii="宋体" w:hAnsi="宋体" w:eastAsia="宋体"/>
        </w:rPr>
        <w:t>格式规范：规定数字对象的文件格式，优先采用通用的、开放的格式（如 PDF、JPEG、MP4 等），确保兼容性。</w:t>
      </w:r>
    </w:p>
    <w:p w14:paraId="1E6B011E">
      <w:pPr>
        <w:spacing w:line="360" w:lineRule="auto"/>
        <w:ind w:firstLine="420" w:firstLineChars="200"/>
        <w:rPr>
          <w:rFonts w:hint="eastAsia" w:ascii="宋体" w:hAnsi="宋体" w:eastAsia="宋体"/>
        </w:rPr>
      </w:pPr>
      <w:r>
        <w:rPr>
          <w:rFonts w:hint="eastAsia" w:ascii="宋体" w:hAnsi="宋体" w:eastAsia="宋体"/>
        </w:rPr>
        <w:t>存储规范：制定数字对象的存储路径和命名规则，采用分层次的目录结构，便于文件的组织和访问。</w:t>
      </w:r>
    </w:p>
    <w:p w14:paraId="0A16A69B">
      <w:pPr>
        <w:spacing w:line="360" w:lineRule="auto"/>
        <w:rPr>
          <w:rFonts w:hint="eastAsia" w:ascii="宋体" w:hAnsi="宋体" w:eastAsia="宋体"/>
          <w:b/>
          <w:bCs/>
        </w:rPr>
      </w:pPr>
      <w:r>
        <w:rPr>
          <w:rFonts w:hint="eastAsia" w:ascii="宋体" w:hAnsi="宋体" w:eastAsia="宋体"/>
          <w:b/>
          <w:bCs/>
        </w:rPr>
        <w:t>（3）数据模型标准化</w:t>
      </w:r>
    </w:p>
    <w:p w14:paraId="3EF5CCEB">
      <w:pPr>
        <w:spacing w:line="360" w:lineRule="auto"/>
        <w:ind w:firstLine="420" w:firstLineChars="200"/>
        <w:rPr>
          <w:rFonts w:hint="eastAsia" w:ascii="宋体" w:hAnsi="宋体" w:eastAsia="宋体"/>
        </w:rPr>
      </w:pPr>
      <w:r>
        <w:rPr>
          <w:rFonts w:hint="eastAsia" w:ascii="宋体" w:hAnsi="宋体" w:eastAsia="宋体"/>
        </w:rPr>
        <w:t>数据建模规范：遵循 UML（统一建模语言）或 ER 图（实体关系图）等标准的方法和工具，进行数据模型的设计。</w:t>
      </w:r>
    </w:p>
    <w:p w14:paraId="630BB969">
      <w:pPr>
        <w:spacing w:line="360" w:lineRule="auto"/>
        <w:ind w:firstLine="420" w:firstLineChars="200"/>
        <w:rPr>
          <w:rFonts w:hint="eastAsia" w:ascii="宋体" w:hAnsi="宋体" w:eastAsia="宋体"/>
        </w:rPr>
      </w:pPr>
      <w:r>
        <w:rPr>
          <w:rFonts w:hint="eastAsia" w:ascii="宋体" w:hAnsi="宋体" w:eastAsia="宋体"/>
        </w:rPr>
        <w:t>命名规则：统一实体、属性、关系的命名，采用有意义的名称，避免歧义。</w:t>
      </w:r>
    </w:p>
    <w:p w14:paraId="532A2755">
      <w:pPr>
        <w:spacing w:line="360" w:lineRule="auto"/>
        <w:ind w:firstLine="420" w:firstLineChars="200"/>
        <w:rPr>
          <w:rFonts w:hint="eastAsia" w:ascii="宋体" w:hAnsi="宋体" w:eastAsia="宋体"/>
        </w:rPr>
      </w:pPr>
      <w:r>
        <w:rPr>
          <w:rFonts w:hint="eastAsia" w:ascii="宋体" w:hAnsi="宋体" w:eastAsia="宋体"/>
        </w:rPr>
        <w:t>版本管理：对数据模型进行版本控制，记录每次变更的内容和原因，确保模型的可追溯性。</w:t>
      </w:r>
    </w:p>
    <w:p w14:paraId="1333C877">
      <w:pPr>
        <w:pStyle w:val="7"/>
        <w:widowControl/>
        <w:spacing w:before="280" w:after="290"/>
        <w:ind w:left="0" w:firstLine="0"/>
        <w:rPr>
          <w:rFonts w:hint="eastAsia" w:ascii="宋体" w:hAnsi="宋体"/>
          <w:sz w:val="21"/>
          <w:szCs w:val="21"/>
        </w:rPr>
      </w:pPr>
      <w:r>
        <w:rPr>
          <w:rFonts w:hint="eastAsia" w:ascii="宋体" w:hAnsi="宋体"/>
          <w:sz w:val="21"/>
          <w:szCs w:val="21"/>
        </w:rPr>
        <w:t>数据入湖方案原则</w:t>
      </w:r>
    </w:p>
    <w:p w14:paraId="449E35E0">
      <w:pPr>
        <w:spacing w:line="360" w:lineRule="auto"/>
        <w:ind w:left="420" w:firstLine="420" w:firstLineChars="200"/>
        <w:rPr>
          <w:rFonts w:hint="eastAsia" w:ascii="宋体" w:hAnsi="宋体" w:eastAsia="宋体"/>
        </w:rPr>
      </w:pPr>
      <w:r>
        <w:rPr>
          <w:rFonts w:hint="eastAsia" w:ascii="宋体" w:hAnsi="宋体" w:eastAsia="宋体"/>
        </w:rPr>
        <w:t>我们将严格按照招标人的要求和行业标准，进行数据的标准化和入湖，确保方案的合规性和可实施性。同时保障数据入湖模块的先进性和高性能，通过数据清洗、标准化和严格的安全措施，确保数据的准确性、一致性和安全性。我们将采用模块化、松耦合的架构设计，方便系统的扩展和功能的增加，降低维护成本。</w:t>
      </w:r>
    </w:p>
    <w:p w14:paraId="0485B882">
      <w:pPr>
        <w:pStyle w:val="2"/>
        <w:spacing w:line="360" w:lineRule="auto"/>
        <w:rPr>
          <w:rFonts w:hint="eastAsia" w:ascii="宋体" w:hAnsi="宋体" w:cs="宋体"/>
          <w:szCs w:val="21"/>
        </w:rPr>
      </w:pPr>
      <w:r>
        <w:rPr>
          <w:rFonts w:hint="eastAsia" w:ascii="宋体" w:hAnsi="宋体"/>
        </w:rPr>
        <w:t>本数据入湖方案充分考虑了招标人的要求，依托数字中台，采用先进的技术和工具，对数据元、数字对象、数据模型进行标准化注册，实现数据的高质量入湖和统一管理，为数据分析、业务创新和智能决策提供坚实的数据基础。</w:t>
      </w:r>
    </w:p>
    <w:p w14:paraId="1903F672">
      <w:pPr>
        <w:pStyle w:val="6"/>
        <w:widowControl/>
        <w:spacing w:before="260" w:after="260"/>
        <w:ind w:left="0" w:firstLine="0"/>
        <w:rPr>
          <w:rFonts w:hint="eastAsia" w:ascii="宋体" w:hAnsi="宋体"/>
        </w:rPr>
      </w:pPr>
      <w:bookmarkStart w:id="203" w:name="_Toc180265631"/>
      <w:r>
        <w:rPr>
          <w:rFonts w:hint="eastAsia" w:ascii="宋体" w:hAnsi="宋体"/>
        </w:rPr>
        <w:t>源代码管理方案</w:t>
      </w:r>
      <w:bookmarkEnd w:id="203"/>
    </w:p>
    <w:p w14:paraId="48123520">
      <w:pPr>
        <w:spacing w:line="360" w:lineRule="auto"/>
        <w:ind w:left="420" w:firstLine="420" w:firstLineChars="200"/>
        <w:rPr>
          <w:rFonts w:hint="eastAsia" w:ascii="宋体" w:hAnsi="宋体" w:eastAsia="宋体" w:cs="Segoe UI"/>
          <w:szCs w:val="21"/>
          <w:shd w:val="clear" w:color="auto" w:fill="FFFFFF"/>
        </w:rPr>
      </w:pPr>
      <w:r>
        <w:rPr>
          <w:rFonts w:hint="eastAsia" w:ascii="宋体" w:hAnsi="宋体" w:eastAsia="宋体" w:cs="Segoe UI"/>
          <w:szCs w:val="21"/>
          <w:shd w:val="clear" w:color="auto" w:fill="FFFFFF"/>
        </w:rPr>
        <w:t>源代码管理的目标是</w:t>
      </w:r>
      <w:r>
        <w:rPr>
          <w:rFonts w:ascii="宋体" w:hAnsi="宋体" w:eastAsia="宋体" w:cs="Segoe UI"/>
          <w:szCs w:val="21"/>
          <w:shd w:val="clear" w:color="auto" w:fill="FFFFFF"/>
        </w:rPr>
        <w:t>确保源代码的安全性、完整性和可追溯性，提高开发团队的协作效率，降低开发风险。</w:t>
      </w:r>
    </w:p>
    <w:p w14:paraId="7D8CF1ED">
      <w:pPr>
        <w:pStyle w:val="7"/>
        <w:widowControl/>
        <w:spacing w:before="280" w:after="290"/>
        <w:ind w:left="0" w:firstLine="0"/>
        <w:rPr>
          <w:rFonts w:hint="eastAsia" w:ascii="宋体" w:hAnsi="宋体"/>
          <w:sz w:val="21"/>
          <w:szCs w:val="21"/>
        </w:rPr>
      </w:pPr>
      <w:r>
        <w:rPr>
          <w:rFonts w:hint="eastAsia" w:ascii="宋体" w:hAnsi="宋体"/>
          <w:sz w:val="21"/>
          <w:szCs w:val="21"/>
        </w:rPr>
        <w:t>工具选择</w:t>
      </w:r>
    </w:p>
    <w:p w14:paraId="232A011E">
      <w:pPr>
        <w:spacing w:line="360" w:lineRule="auto"/>
        <w:ind w:left="420" w:firstLine="420" w:firstLineChars="200"/>
        <w:rPr>
          <w:rFonts w:hint="eastAsia" w:ascii="宋体" w:hAnsi="宋体" w:eastAsia="宋体" w:cs="Segoe UI"/>
          <w:szCs w:val="21"/>
          <w:shd w:val="clear" w:color="auto" w:fill="FFFFFF"/>
        </w:rPr>
      </w:pPr>
      <w:r>
        <w:rPr>
          <w:rFonts w:hint="eastAsia" w:ascii="宋体" w:hAnsi="宋体" w:eastAsia="宋体" w:cs="Segoe UI"/>
          <w:szCs w:val="21"/>
          <w:shd w:val="clear" w:color="auto" w:fill="FFFFFF"/>
        </w:rPr>
        <w:t>版本管理：使用Git，它具有分布式版本控制的优势，支持多人协作、分支管理、合并等功能。</w:t>
      </w:r>
    </w:p>
    <w:p w14:paraId="1D79A4A8">
      <w:pPr>
        <w:spacing w:line="360" w:lineRule="auto"/>
        <w:ind w:left="420" w:firstLine="420" w:firstLineChars="200"/>
        <w:rPr>
          <w:rFonts w:hint="eastAsia" w:ascii="宋体" w:hAnsi="宋体" w:eastAsia="宋体" w:cs="宋体"/>
          <w:szCs w:val="21"/>
        </w:rPr>
      </w:pPr>
      <w:r>
        <w:rPr>
          <w:rFonts w:hint="eastAsia" w:ascii="宋体" w:hAnsi="宋体" w:eastAsia="宋体" w:cs="Segoe UI"/>
          <w:szCs w:val="21"/>
          <w:shd w:val="clear" w:color="auto" w:fill="FFFFFF"/>
        </w:rPr>
        <w:t>代码平台：使用招标人指定的</w:t>
      </w:r>
      <w:r>
        <w:rPr>
          <w:rFonts w:hint="eastAsia" w:ascii="宋体" w:hAnsi="宋体" w:eastAsia="宋体" w:cs="宋体"/>
          <w:szCs w:val="21"/>
        </w:rPr>
        <w:t>行业云平台节点（或总公司系统运行环境）代码仓，</w:t>
      </w:r>
      <w:r>
        <w:rPr>
          <w:rFonts w:hint="eastAsia" w:ascii="宋体" w:hAnsi="宋体" w:eastAsia="宋体" w:cs="Segoe UI"/>
          <w:szCs w:val="21"/>
          <w:shd w:val="clear" w:color="auto" w:fill="FFFFFF"/>
        </w:rPr>
        <w:t>提供了安全的存储、协作工具和项目管理功能</w:t>
      </w:r>
      <w:r>
        <w:rPr>
          <w:rFonts w:hint="eastAsia" w:ascii="宋体" w:hAnsi="宋体" w:eastAsia="宋体" w:cs="宋体"/>
          <w:szCs w:val="21"/>
        </w:rPr>
        <w:t>。</w:t>
      </w:r>
    </w:p>
    <w:p w14:paraId="5EAE82D1">
      <w:pPr>
        <w:pStyle w:val="7"/>
        <w:widowControl/>
        <w:spacing w:before="280" w:after="290"/>
        <w:ind w:left="0" w:firstLine="0"/>
        <w:rPr>
          <w:rFonts w:hint="eastAsia" w:ascii="宋体" w:hAnsi="宋体"/>
          <w:sz w:val="21"/>
          <w:szCs w:val="21"/>
        </w:rPr>
      </w:pPr>
      <w:r>
        <w:rPr>
          <w:rFonts w:hint="eastAsia" w:ascii="宋体" w:hAnsi="宋体"/>
          <w:sz w:val="21"/>
          <w:szCs w:val="21"/>
        </w:rPr>
        <w:t>管理流程</w:t>
      </w:r>
    </w:p>
    <w:p w14:paraId="67DD7832">
      <w:pPr>
        <w:pStyle w:val="2"/>
        <w:spacing w:line="360" w:lineRule="auto"/>
        <w:rPr>
          <w:rFonts w:hint="eastAsia" w:ascii="宋体" w:hAnsi="宋体"/>
          <w:szCs w:val="21"/>
        </w:rPr>
      </w:pPr>
      <w:r>
        <w:rPr>
          <w:rFonts w:hint="eastAsia" w:ascii="宋体" w:hAnsi="宋体"/>
          <w:szCs w:val="21"/>
        </w:rPr>
        <w:t>（1）初始化仓库</w:t>
      </w:r>
    </w:p>
    <w:p w14:paraId="36590210">
      <w:pPr>
        <w:pStyle w:val="2"/>
        <w:spacing w:line="360" w:lineRule="auto"/>
        <w:rPr>
          <w:rFonts w:hint="eastAsia" w:ascii="宋体" w:hAnsi="宋体"/>
          <w:szCs w:val="21"/>
        </w:rPr>
      </w:pPr>
      <w:r>
        <w:rPr>
          <w:rFonts w:hint="eastAsia" w:ascii="宋体" w:hAnsi="宋体"/>
          <w:szCs w:val="21"/>
        </w:rPr>
        <w:t>在项目开始时，创建一个新的 Git 仓库，并将其托管在选定的代码托管平台上。</w:t>
      </w:r>
    </w:p>
    <w:p w14:paraId="0FB0E8DF">
      <w:pPr>
        <w:pStyle w:val="2"/>
        <w:spacing w:line="360" w:lineRule="auto"/>
        <w:rPr>
          <w:rFonts w:hint="eastAsia" w:ascii="宋体" w:hAnsi="宋体"/>
          <w:szCs w:val="21"/>
        </w:rPr>
      </w:pPr>
      <w:r>
        <w:rPr>
          <w:rFonts w:hint="eastAsia" w:ascii="宋体" w:hAnsi="宋体"/>
          <w:szCs w:val="21"/>
        </w:rPr>
        <w:t>确定项目的初始结构和文件，将其添加到仓库中。</w:t>
      </w:r>
    </w:p>
    <w:p w14:paraId="10E26A50">
      <w:pPr>
        <w:pStyle w:val="2"/>
        <w:spacing w:line="360" w:lineRule="auto"/>
        <w:rPr>
          <w:rFonts w:hint="eastAsia" w:ascii="宋体" w:hAnsi="宋体"/>
          <w:szCs w:val="21"/>
        </w:rPr>
      </w:pPr>
      <w:r>
        <w:rPr>
          <w:rFonts w:hint="eastAsia" w:ascii="宋体" w:hAnsi="宋体"/>
          <w:szCs w:val="21"/>
        </w:rPr>
        <w:t>（2）分支管理</w:t>
      </w:r>
    </w:p>
    <w:p w14:paraId="5915347C">
      <w:pPr>
        <w:pStyle w:val="2"/>
        <w:spacing w:line="360" w:lineRule="auto"/>
        <w:rPr>
          <w:rFonts w:hint="eastAsia" w:ascii="宋体" w:hAnsi="宋体"/>
          <w:szCs w:val="21"/>
        </w:rPr>
      </w:pPr>
      <w:r>
        <w:rPr>
          <w:rFonts w:hint="eastAsia" w:ascii="宋体" w:hAnsi="宋体"/>
          <w:szCs w:val="21"/>
        </w:rPr>
        <w:t>设立主要分支，如 master 分支（用于发布稳定版本）和 develop 分支（用于集成新功能）。</w:t>
      </w:r>
    </w:p>
    <w:p w14:paraId="1D8B6672">
      <w:pPr>
        <w:pStyle w:val="2"/>
        <w:spacing w:line="360" w:lineRule="auto"/>
        <w:rPr>
          <w:rFonts w:hint="eastAsia" w:ascii="宋体" w:hAnsi="宋体"/>
          <w:szCs w:val="21"/>
        </w:rPr>
      </w:pPr>
      <w:r>
        <w:rPr>
          <w:rFonts w:hint="eastAsia" w:ascii="宋体" w:hAnsi="宋体"/>
          <w:szCs w:val="21"/>
        </w:rPr>
        <w:t>开发人员在进行新功能开发或修复问题时，从 develop 分支创建新的分支，如 feature/[功能名称] 或 bugfix/[问题编号]。</w:t>
      </w:r>
    </w:p>
    <w:p w14:paraId="07E5DE63">
      <w:pPr>
        <w:pStyle w:val="2"/>
        <w:spacing w:line="360" w:lineRule="auto"/>
        <w:rPr>
          <w:rFonts w:hint="eastAsia" w:ascii="宋体" w:hAnsi="宋体"/>
          <w:szCs w:val="21"/>
        </w:rPr>
      </w:pPr>
      <w:r>
        <w:rPr>
          <w:rFonts w:hint="eastAsia" w:ascii="宋体" w:hAnsi="宋体"/>
          <w:szCs w:val="21"/>
        </w:rPr>
        <w:t>分支命名应具有描述性，以便于识别和管理。</w:t>
      </w:r>
    </w:p>
    <w:p w14:paraId="18912D92">
      <w:pPr>
        <w:pStyle w:val="2"/>
        <w:spacing w:line="360" w:lineRule="auto"/>
        <w:rPr>
          <w:rFonts w:hint="eastAsia" w:ascii="宋体" w:hAnsi="宋体"/>
          <w:szCs w:val="21"/>
        </w:rPr>
      </w:pPr>
      <w:r>
        <w:rPr>
          <w:rFonts w:hint="eastAsia" w:ascii="宋体" w:hAnsi="宋体"/>
          <w:szCs w:val="21"/>
        </w:rPr>
        <w:t>（3）代码提交</w:t>
      </w:r>
    </w:p>
    <w:p w14:paraId="148DF6F5">
      <w:pPr>
        <w:pStyle w:val="2"/>
        <w:spacing w:line="360" w:lineRule="auto"/>
        <w:rPr>
          <w:rFonts w:hint="eastAsia" w:ascii="宋体" w:hAnsi="宋体"/>
          <w:szCs w:val="21"/>
        </w:rPr>
      </w:pPr>
      <w:r>
        <w:rPr>
          <w:rFonts w:hint="eastAsia" w:ascii="宋体" w:hAnsi="宋体"/>
          <w:szCs w:val="21"/>
        </w:rPr>
        <w:t>开发人员在进行代码修改后，应及时提交到本地仓库，并提供清晰的提交消息，描述修改的内容和目的。</w:t>
      </w:r>
    </w:p>
    <w:p w14:paraId="2547E255">
      <w:pPr>
        <w:pStyle w:val="2"/>
        <w:spacing w:line="360" w:lineRule="auto"/>
        <w:rPr>
          <w:rFonts w:hint="eastAsia" w:ascii="宋体" w:hAnsi="宋体"/>
          <w:szCs w:val="21"/>
        </w:rPr>
      </w:pPr>
      <w:r>
        <w:rPr>
          <w:rFonts w:hint="eastAsia" w:ascii="宋体" w:hAnsi="宋体"/>
          <w:szCs w:val="21"/>
        </w:rPr>
        <w:t>提交前应确保代码经过了充分的测试，并且符合项目的编码规范。</w:t>
      </w:r>
    </w:p>
    <w:p w14:paraId="51C29BBD">
      <w:pPr>
        <w:pStyle w:val="2"/>
        <w:spacing w:line="360" w:lineRule="auto"/>
        <w:rPr>
          <w:rFonts w:hint="eastAsia" w:ascii="宋体" w:hAnsi="宋体"/>
          <w:szCs w:val="21"/>
        </w:rPr>
      </w:pPr>
      <w:r>
        <w:rPr>
          <w:rFonts w:hint="eastAsia" w:ascii="宋体" w:hAnsi="宋体"/>
          <w:szCs w:val="21"/>
        </w:rPr>
        <w:t>（4）代码审查</w:t>
      </w:r>
    </w:p>
    <w:p w14:paraId="31DD78BA">
      <w:pPr>
        <w:pStyle w:val="2"/>
        <w:spacing w:line="360" w:lineRule="auto"/>
        <w:rPr>
          <w:rFonts w:hint="eastAsia" w:ascii="宋体" w:hAnsi="宋体"/>
          <w:szCs w:val="21"/>
        </w:rPr>
      </w:pPr>
      <w:r>
        <w:rPr>
          <w:rFonts w:hint="eastAsia" w:ascii="宋体" w:hAnsi="宋体"/>
          <w:szCs w:val="21"/>
        </w:rPr>
        <w:t>在将代码合并到 develop 或 master 分支之前，应进行代码审查。可以通过代码托管平台的 Pull Request（PR）功能进行审查。</w:t>
      </w:r>
    </w:p>
    <w:p w14:paraId="186D53F6">
      <w:pPr>
        <w:pStyle w:val="2"/>
        <w:spacing w:line="360" w:lineRule="auto"/>
        <w:rPr>
          <w:rFonts w:hint="eastAsia" w:ascii="宋体" w:hAnsi="宋体"/>
          <w:szCs w:val="21"/>
        </w:rPr>
      </w:pPr>
      <w:r>
        <w:rPr>
          <w:rFonts w:hint="eastAsia" w:ascii="宋体" w:hAnsi="宋体"/>
          <w:szCs w:val="21"/>
        </w:rPr>
        <w:t>审查人员应仔细检查代码的质量、安全性和功能性，并提出修改建议。开发人员应根据审查意见进行修改，直到代码通过审查。</w:t>
      </w:r>
    </w:p>
    <w:p w14:paraId="353AB66C">
      <w:pPr>
        <w:pStyle w:val="2"/>
        <w:spacing w:line="360" w:lineRule="auto"/>
        <w:rPr>
          <w:rFonts w:hint="eastAsia" w:ascii="宋体" w:hAnsi="宋体"/>
          <w:szCs w:val="21"/>
        </w:rPr>
      </w:pPr>
      <w:r>
        <w:rPr>
          <w:rFonts w:hint="eastAsia" w:ascii="宋体" w:hAnsi="宋体"/>
          <w:szCs w:val="21"/>
        </w:rPr>
        <w:t>（5）合并与发布</w:t>
      </w:r>
    </w:p>
    <w:p w14:paraId="28750D99">
      <w:pPr>
        <w:pStyle w:val="2"/>
        <w:spacing w:line="360" w:lineRule="auto"/>
        <w:rPr>
          <w:rFonts w:hint="eastAsia" w:ascii="宋体" w:hAnsi="宋体"/>
          <w:szCs w:val="21"/>
        </w:rPr>
      </w:pPr>
      <w:r>
        <w:rPr>
          <w:rFonts w:hint="eastAsia" w:ascii="宋体" w:hAnsi="宋体"/>
          <w:szCs w:val="21"/>
        </w:rPr>
        <w:t>当一个功能或修复完成后，开发人员可以将其分支合并到 develop 分支。</w:t>
      </w:r>
    </w:p>
    <w:p w14:paraId="2D97818C">
      <w:pPr>
        <w:pStyle w:val="2"/>
        <w:spacing w:line="360" w:lineRule="auto"/>
        <w:rPr>
          <w:rFonts w:hint="eastAsia" w:ascii="宋体" w:hAnsi="宋体"/>
          <w:szCs w:val="21"/>
        </w:rPr>
      </w:pPr>
      <w:r>
        <w:rPr>
          <w:rFonts w:hint="eastAsia" w:ascii="宋体" w:hAnsi="宋体"/>
          <w:szCs w:val="21"/>
        </w:rPr>
        <w:t>在发布新版本之前，应从 develop 分支创建一个 release 分支，进行最后的测试和验证。</w:t>
      </w:r>
    </w:p>
    <w:p w14:paraId="28519EF8">
      <w:pPr>
        <w:pStyle w:val="2"/>
        <w:spacing w:line="360" w:lineRule="auto"/>
        <w:rPr>
          <w:rFonts w:hint="eastAsia" w:ascii="宋体" w:hAnsi="宋体"/>
          <w:szCs w:val="21"/>
        </w:rPr>
      </w:pPr>
      <w:r>
        <w:rPr>
          <w:rFonts w:hint="eastAsia" w:ascii="宋体" w:hAnsi="宋体"/>
          <w:szCs w:val="21"/>
        </w:rPr>
        <w:t>当 release 分支通过测试后，可以将其合并到 master 分支，并进行发布。</w:t>
      </w:r>
    </w:p>
    <w:p w14:paraId="5E4C5207">
      <w:pPr>
        <w:pStyle w:val="2"/>
        <w:spacing w:line="360" w:lineRule="auto"/>
        <w:rPr>
          <w:rFonts w:hint="eastAsia" w:ascii="宋体" w:hAnsi="宋体"/>
          <w:szCs w:val="21"/>
        </w:rPr>
      </w:pPr>
      <w:r>
        <w:rPr>
          <w:rFonts w:hint="eastAsia" w:ascii="宋体" w:hAnsi="宋体"/>
          <w:szCs w:val="21"/>
        </w:rPr>
        <w:t>（6）备份与恢复</w:t>
      </w:r>
    </w:p>
    <w:p w14:paraId="30F3D0C1">
      <w:pPr>
        <w:pStyle w:val="2"/>
        <w:spacing w:line="360" w:lineRule="auto"/>
        <w:rPr>
          <w:rFonts w:hint="eastAsia" w:ascii="宋体" w:hAnsi="宋体"/>
          <w:szCs w:val="21"/>
        </w:rPr>
      </w:pPr>
      <w:r>
        <w:rPr>
          <w:rFonts w:hint="eastAsia" w:ascii="宋体" w:hAnsi="宋体"/>
          <w:szCs w:val="21"/>
        </w:rPr>
        <w:t>定期对代码托管平台上的仓库进行备份，以防止数据丢失。</w:t>
      </w:r>
    </w:p>
    <w:p w14:paraId="149C3968">
      <w:pPr>
        <w:pStyle w:val="2"/>
        <w:spacing w:line="360" w:lineRule="auto"/>
        <w:rPr>
          <w:rFonts w:hint="eastAsia" w:ascii="宋体" w:hAnsi="宋体"/>
          <w:szCs w:val="21"/>
        </w:rPr>
      </w:pPr>
      <w:r>
        <w:rPr>
          <w:rFonts w:hint="eastAsia" w:ascii="宋体" w:hAnsi="宋体"/>
          <w:szCs w:val="21"/>
        </w:rPr>
        <w:t>制定恢复计划，以便在出现问题时能够快速恢复源代码。</w:t>
      </w:r>
    </w:p>
    <w:p w14:paraId="48531496">
      <w:pPr>
        <w:pStyle w:val="7"/>
        <w:widowControl/>
        <w:spacing w:before="280" w:after="290"/>
        <w:ind w:left="0" w:firstLine="0"/>
        <w:rPr>
          <w:rFonts w:hint="eastAsia" w:ascii="宋体" w:hAnsi="宋体"/>
          <w:sz w:val="21"/>
          <w:szCs w:val="21"/>
        </w:rPr>
      </w:pPr>
      <w:r>
        <w:rPr>
          <w:rFonts w:hint="eastAsia" w:ascii="宋体" w:hAnsi="宋体"/>
          <w:sz w:val="21"/>
          <w:szCs w:val="21"/>
        </w:rPr>
        <w:t>安全措施</w:t>
      </w:r>
    </w:p>
    <w:p w14:paraId="3649951C">
      <w:pPr>
        <w:pStyle w:val="2"/>
        <w:spacing w:line="360" w:lineRule="auto"/>
        <w:rPr>
          <w:rFonts w:hint="eastAsia" w:ascii="宋体" w:hAnsi="宋体"/>
          <w:szCs w:val="21"/>
        </w:rPr>
      </w:pPr>
      <w:r>
        <w:rPr>
          <w:rFonts w:hint="eastAsia" w:ascii="宋体" w:hAnsi="宋体"/>
          <w:szCs w:val="21"/>
        </w:rPr>
        <w:t>（1）访问控制</w:t>
      </w:r>
    </w:p>
    <w:p w14:paraId="3FEA2C1D">
      <w:pPr>
        <w:pStyle w:val="2"/>
        <w:spacing w:line="360" w:lineRule="auto"/>
        <w:rPr>
          <w:rFonts w:hint="eastAsia" w:ascii="宋体" w:hAnsi="宋体"/>
          <w:szCs w:val="21"/>
        </w:rPr>
      </w:pPr>
      <w:r>
        <w:rPr>
          <w:rFonts w:hint="eastAsia" w:ascii="宋体" w:hAnsi="宋体"/>
          <w:szCs w:val="21"/>
        </w:rPr>
        <w:t>对代码托管平台设置严格的访问权限，只有授权的开发人员才能访问和修改源代码。</w:t>
      </w:r>
    </w:p>
    <w:p w14:paraId="15AB1F51">
      <w:pPr>
        <w:pStyle w:val="2"/>
        <w:spacing w:line="360" w:lineRule="auto"/>
        <w:rPr>
          <w:rFonts w:hint="eastAsia" w:ascii="宋体" w:hAnsi="宋体"/>
          <w:szCs w:val="21"/>
        </w:rPr>
      </w:pPr>
      <w:r>
        <w:rPr>
          <w:rFonts w:hint="eastAsia" w:ascii="宋体" w:hAnsi="宋体"/>
          <w:szCs w:val="21"/>
        </w:rPr>
        <w:t>使用多因素身份验证，增加账户的安全性。</w:t>
      </w:r>
    </w:p>
    <w:p w14:paraId="60DD248A">
      <w:pPr>
        <w:pStyle w:val="2"/>
        <w:spacing w:line="360" w:lineRule="auto"/>
        <w:rPr>
          <w:rFonts w:hint="eastAsia" w:ascii="宋体" w:hAnsi="宋体"/>
          <w:szCs w:val="21"/>
        </w:rPr>
      </w:pPr>
      <w:r>
        <w:rPr>
          <w:rFonts w:hint="eastAsia" w:ascii="宋体" w:hAnsi="宋体"/>
          <w:szCs w:val="21"/>
        </w:rPr>
        <w:t>（2）加密传输</w:t>
      </w:r>
    </w:p>
    <w:p w14:paraId="1ECFB23A">
      <w:pPr>
        <w:pStyle w:val="2"/>
        <w:spacing w:line="360" w:lineRule="auto"/>
        <w:rPr>
          <w:rFonts w:hint="eastAsia" w:ascii="宋体" w:hAnsi="宋体"/>
          <w:szCs w:val="21"/>
        </w:rPr>
      </w:pPr>
      <w:r>
        <w:rPr>
          <w:rFonts w:hint="eastAsia" w:ascii="宋体" w:hAnsi="宋体"/>
          <w:szCs w:val="21"/>
        </w:rPr>
        <w:t>如果对传输有保密要求，在传输过程中可以使用加密协议，如 HTTPS。</w:t>
      </w:r>
    </w:p>
    <w:p w14:paraId="20F52AB9">
      <w:pPr>
        <w:pStyle w:val="2"/>
        <w:spacing w:line="360" w:lineRule="auto"/>
        <w:rPr>
          <w:rFonts w:hint="eastAsia" w:ascii="宋体" w:hAnsi="宋体"/>
          <w:szCs w:val="21"/>
        </w:rPr>
      </w:pPr>
      <w:r>
        <w:rPr>
          <w:rFonts w:hint="eastAsia" w:ascii="宋体" w:hAnsi="宋体"/>
          <w:szCs w:val="21"/>
        </w:rPr>
        <w:t>（3）代码保密</w:t>
      </w:r>
    </w:p>
    <w:p w14:paraId="7874B1E7">
      <w:pPr>
        <w:pStyle w:val="2"/>
        <w:spacing w:line="360" w:lineRule="auto"/>
        <w:rPr>
          <w:rFonts w:hint="eastAsia" w:ascii="宋体" w:hAnsi="宋体"/>
          <w:szCs w:val="21"/>
        </w:rPr>
      </w:pPr>
      <w:r>
        <w:rPr>
          <w:rFonts w:hint="eastAsia" w:ascii="宋体" w:hAnsi="宋体"/>
          <w:szCs w:val="21"/>
        </w:rPr>
        <w:t>对敏感信息进行加密或移除，避免将其提交到源代码仓库中。</w:t>
      </w:r>
    </w:p>
    <w:p w14:paraId="2FD9DBB0">
      <w:pPr>
        <w:pStyle w:val="2"/>
        <w:spacing w:line="360" w:lineRule="auto"/>
        <w:rPr>
          <w:rFonts w:hint="eastAsia" w:ascii="宋体" w:hAnsi="宋体"/>
          <w:szCs w:val="21"/>
        </w:rPr>
      </w:pPr>
      <w:r>
        <w:rPr>
          <w:rFonts w:hint="eastAsia" w:ascii="宋体" w:hAnsi="宋体"/>
          <w:szCs w:val="21"/>
        </w:rPr>
        <w:t>签订保密协议，要求开发人员对源代码保密。</w:t>
      </w:r>
    </w:p>
    <w:p w14:paraId="53CDB0A6">
      <w:pPr>
        <w:pStyle w:val="7"/>
        <w:widowControl/>
        <w:spacing w:before="280" w:after="290"/>
        <w:ind w:left="0" w:firstLine="0"/>
        <w:rPr>
          <w:rFonts w:hint="eastAsia" w:ascii="宋体" w:hAnsi="宋体"/>
          <w:sz w:val="21"/>
          <w:szCs w:val="21"/>
        </w:rPr>
      </w:pPr>
      <w:r>
        <w:rPr>
          <w:rFonts w:hint="eastAsia" w:ascii="宋体" w:hAnsi="宋体"/>
          <w:sz w:val="21"/>
          <w:szCs w:val="21"/>
        </w:rPr>
        <w:t>团队协作</w:t>
      </w:r>
    </w:p>
    <w:p w14:paraId="14FEB59C">
      <w:pPr>
        <w:pStyle w:val="2"/>
        <w:spacing w:line="360" w:lineRule="auto"/>
        <w:rPr>
          <w:rFonts w:hint="eastAsia" w:ascii="宋体" w:hAnsi="宋体"/>
          <w:szCs w:val="21"/>
        </w:rPr>
      </w:pPr>
      <w:r>
        <w:rPr>
          <w:rFonts w:hint="eastAsia" w:ascii="宋体" w:hAnsi="宋体"/>
          <w:szCs w:val="21"/>
        </w:rPr>
        <w:t>（1）沟通与协作</w:t>
      </w:r>
    </w:p>
    <w:p w14:paraId="0A89EB54">
      <w:pPr>
        <w:pStyle w:val="2"/>
        <w:spacing w:line="360" w:lineRule="auto"/>
        <w:rPr>
          <w:rFonts w:hint="eastAsia" w:ascii="宋体" w:hAnsi="宋体"/>
          <w:szCs w:val="21"/>
        </w:rPr>
      </w:pPr>
      <w:r>
        <w:rPr>
          <w:rFonts w:hint="eastAsia" w:ascii="宋体" w:hAnsi="宋体"/>
          <w:szCs w:val="21"/>
        </w:rPr>
        <w:t>建立良好的沟通渠道，如即时通讯工具、邮件列表或项目管理平台，以便开发人员之间进行交流和协作。</w:t>
      </w:r>
    </w:p>
    <w:p w14:paraId="6815BE32">
      <w:pPr>
        <w:pStyle w:val="2"/>
        <w:spacing w:line="360" w:lineRule="auto"/>
        <w:rPr>
          <w:rFonts w:hint="eastAsia" w:ascii="宋体" w:hAnsi="宋体"/>
          <w:szCs w:val="21"/>
        </w:rPr>
      </w:pPr>
      <w:r>
        <w:rPr>
          <w:rFonts w:hint="eastAsia" w:ascii="宋体" w:hAnsi="宋体"/>
          <w:szCs w:val="21"/>
        </w:rPr>
        <w:t>定期召开团队会议，讨论项目进展和问题。</w:t>
      </w:r>
    </w:p>
    <w:p w14:paraId="252E6559">
      <w:pPr>
        <w:pStyle w:val="2"/>
        <w:spacing w:line="360" w:lineRule="auto"/>
        <w:rPr>
          <w:rFonts w:hint="eastAsia" w:ascii="宋体" w:hAnsi="宋体"/>
          <w:szCs w:val="21"/>
        </w:rPr>
      </w:pPr>
      <w:r>
        <w:rPr>
          <w:rFonts w:hint="eastAsia" w:ascii="宋体" w:hAnsi="宋体"/>
          <w:szCs w:val="21"/>
        </w:rPr>
        <w:t>（2）培训与教育</w:t>
      </w:r>
    </w:p>
    <w:p w14:paraId="7FF2D15C">
      <w:pPr>
        <w:pStyle w:val="2"/>
        <w:spacing w:line="360" w:lineRule="auto"/>
        <w:rPr>
          <w:rFonts w:hint="eastAsia" w:ascii="宋体" w:hAnsi="宋体"/>
          <w:szCs w:val="21"/>
        </w:rPr>
      </w:pPr>
      <w:r>
        <w:rPr>
          <w:rFonts w:hint="eastAsia" w:ascii="宋体" w:hAnsi="宋体"/>
          <w:szCs w:val="21"/>
        </w:rPr>
        <w:t>对开发人员进行源代码管理工具和流程的培训，确保他们能够正确使用。</w:t>
      </w:r>
    </w:p>
    <w:p w14:paraId="2156A1F2">
      <w:pPr>
        <w:pStyle w:val="2"/>
        <w:spacing w:line="360" w:lineRule="auto"/>
        <w:rPr>
          <w:rFonts w:hint="eastAsia" w:ascii="宋体" w:hAnsi="宋体"/>
          <w:szCs w:val="21"/>
        </w:rPr>
      </w:pPr>
      <w:r>
        <w:rPr>
          <w:rFonts w:hint="eastAsia" w:ascii="宋体" w:hAnsi="宋体"/>
          <w:szCs w:val="21"/>
        </w:rPr>
        <w:t>提供编码规范和最佳实践的指导，提高代码质量。</w:t>
      </w:r>
    </w:p>
    <w:p w14:paraId="138F8D92">
      <w:pPr>
        <w:pStyle w:val="2"/>
        <w:spacing w:line="360" w:lineRule="auto"/>
        <w:ind w:left="840" w:leftChars="400" w:firstLine="0" w:firstLineChars="0"/>
        <w:rPr>
          <w:rFonts w:hint="eastAsia" w:ascii="宋体" w:hAnsi="宋体" w:cs="宋体"/>
          <w:szCs w:val="21"/>
        </w:rPr>
      </w:pPr>
      <w:r>
        <w:rPr>
          <w:rFonts w:hint="eastAsia" w:ascii="宋体" w:hAnsi="宋体"/>
          <w:szCs w:val="21"/>
        </w:rPr>
        <w:t>（3）代码规范</w:t>
      </w:r>
    </w:p>
    <w:p w14:paraId="0536C68D">
      <w:pPr>
        <w:pStyle w:val="2"/>
        <w:spacing w:line="360" w:lineRule="auto"/>
        <w:rPr>
          <w:rFonts w:hint="eastAsia" w:ascii="宋体" w:hAnsi="宋体"/>
          <w:szCs w:val="21"/>
        </w:rPr>
      </w:pPr>
      <w:r>
        <w:rPr>
          <w:rFonts w:hint="eastAsia" w:ascii="宋体" w:hAnsi="宋体"/>
          <w:szCs w:val="21"/>
        </w:rPr>
        <w:t>系统源代码须具有良好的可读性，按照招标人的技术开发规范中的代码注释要求，合理注释代码文件的摘要、版本信息，以及类、函数方法、代码块的用途和使用方法。</w:t>
      </w:r>
    </w:p>
    <w:p w14:paraId="216BBEA8">
      <w:pPr>
        <w:pStyle w:val="2"/>
        <w:spacing w:line="360" w:lineRule="auto"/>
        <w:rPr>
          <w:rFonts w:hint="eastAsia" w:ascii="宋体" w:hAnsi="宋体" w:cs="宋体"/>
          <w:szCs w:val="21"/>
        </w:rPr>
      </w:pPr>
    </w:p>
    <w:p w14:paraId="3D7DE5AF">
      <w:pPr>
        <w:pStyle w:val="6"/>
        <w:widowControl/>
        <w:spacing w:before="260" w:after="260"/>
        <w:ind w:left="0" w:firstLine="0"/>
        <w:rPr>
          <w:rFonts w:hint="eastAsia" w:ascii="宋体" w:hAnsi="宋体"/>
        </w:rPr>
      </w:pPr>
      <w:bookmarkStart w:id="204" w:name="_Toc180265632"/>
      <w:r>
        <w:rPr>
          <w:rFonts w:hint="eastAsia" w:ascii="宋体" w:hAnsi="宋体"/>
        </w:rPr>
        <w:t>二次开发方案</w:t>
      </w:r>
      <w:bookmarkEnd w:id="204"/>
    </w:p>
    <w:p w14:paraId="21E13C53">
      <w:pPr>
        <w:spacing w:line="360" w:lineRule="auto"/>
        <w:ind w:left="420" w:firstLine="420" w:firstLineChars="200"/>
        <w:rPr>
          <w:rFonts w:hint="eastAsia" w:ascii="宋体" w:hAnsi="宋体" w:eastAsia="宋体" w:cs="宋体"/>
          <w:szCs w:val="21"/>
        </w:rPr>
      </w:pPr>
      <w:r>
        <w:rPr>
          <w:rFonts w:hint="eastAsia" w:ascii="宋体" w:hAnsi="宋体" w:eastAsia="宋体" w:cs="宋体"/>
          <w:szCs w:val="21"/>
        </w:rPr>
        <w:t>本次项目建设基于现有成熟平台的二次开发都基于招标人的数字中台研发管控平台进行，若有二次封装包，将封装为jar包，并提供接口说明和所有源代码及注释，确保招标人可后续迭代开发。</w:t>
      </w:r>
    </w:p>
    <w:p w14:paraId="58D3F625">
      <w:pPr>
        <w:pStyle w:val="99"/>
        <w:spacing w:line="360" w:lineRule="auto"/>
        <w:rPr>
          <w:rFonts w:hint="eastAsia" w:ascii="宋体" w:hAnsi="宋体" w:eastAsia="宋体"/>
        </w:rPr>
      </w:pPr>
    </w:p>
    <w:p w14:paraId="5696D9E8">
      <w:pPr>
        <w:widowControl/>
        <w:spacing w:line="360" w:lineRule="auto"/>
        <w:jc w:val="left"/>
        <w:rPr>
          <w:rFonts w:hint="eastAsia" w:ascii="宋体" w:hAnsi="宋体" w:eastAsia="宋体"/>
          <w:b/>
          <w:bCs/>
          <w:kern w:val="44"/>
          <w:sz w:val="32"/>
          <w:szCs w:val="44"/>
        </w:rPr>
      </w:pPr>
      <w:r>
        <w:rPr>
          <w:rFonts w:ascii="宋体" w:hAnsi="宋体" w:eastAsia="宋体"/>
        </w:rPr>
        <w:br w:type="page"/>
      </w:r>
    </w:p>
    <w:p w14:paraId="74328BC5">
      <w:pPr>
        <w:pStyle w:val="4"/>
        <w:numPr>
          <w:ilvl w:val="0"/>
          <w:numId w:val="39"/>
        </w:numPr>
        <w:rPr>
          <w:rFonts w:hint="eastAsia" w:asciiTheme="minorEastAsia" w:hAnsiTheme="minorEastAsia" w:eastAsiaTheme="minorEastAsia"/>
        </w:rPr>
      </w:pPr>
      <w:bookmarkStart w:id="205" w:name="_Toc180265633"/>
      <w:r>
        <w:rPr>
          <w:rFonts w:hint="eastAsia" w:asciiTheme="minorEastAsia" w:hAnsiTheme="minorEastAsia" w:eastAsiaTheme="minorEastAsia"/>
        </w:rPr>
        <w:t>系统实施方案</w:t>
      </w:r>
      <w:bookmarkEnd w:id="14"/>
      <w:bookmarkEnd w:id="205"/>
    </w:p>
    <w:p w14:paraId="5228F362">
      <w:pPr>
        <w:pStyle w:val="5"/>
        <w:numPr>
          <w:ilvl w:val="0"/>
          <w:numId w:val="0"/>
        </w:numPr>
        <w:spacing w:before="260" w:after="260"/>
        <w:jc w:val="both"/>
        <w:rPr>
          <w:rFonts w:hint="eastAsia" w:ascii="宋体" w:hAnsi="宋体"/>
          <w:szCs w:val="28"/>
        </w:rPr>
      </w:pPr>
      <w:bookmarkStart w:id="206" w:name="_Toc180265634"/>
      <w:bookmarkStart w:id="207" w:name="_Toc179751532"/>
      <w:r>
        <w:rPr>
          <w:rFonts w:hint="eastAsia" w:ascii="宋体" w:hAnsi="宋体"/>
          <w:szCs w:val="28"/>
        </w:rPr>
        <w:t>1</w:t>
      </w:r>
      <w:r>
        <w:rPr>
          <w:rFonts w:ascii="宋体" w:hAnsi="宋体"/>
          <w:szCs w:val="28"/>
        </w:rPr>
        <w:t>6</w:t>
      </w:r>
      <w:r>
        <w:rPr>
          <w:rFonts w:hint="eastAsia" w:ascii="宋体" w:hAnsi="宋体"/>
          <w:szCs w:val="28"/>
        </w:rPr>
        <w:t>.1项目实施组织方案</w:t>
      </w:r>
      <w:bookmarkEnd w:id="206"/>
      <w:bookmarkEnd w:id="207"/>
    </w:p>
    <w:p w14:paraId="080DE952">
      <w:pPr>
        <w:spacing w:line="360" w:lineRule="auto"/>
        <w:ind w:firstLine="420"/>
        <w:rPr>
          <w:rFonts w:hint="eastAsia" w:ascii="宋体" w:hAnsi="宋体" w:eastAsia="宋体"/>
        </w:rPr>
      </w:pPr>
      <w:r>
        <w:rPr>
          <w:rFonts w:ascii="宋体" w:hAnsi="宋体" w:eastAsia="宋体"/>
        </w:rPr>
        <w:t>实施组织方案是</w:t>
      </w:r>
      <w:r>
        <w:rPr>
          <w:rFonts w:hint="eastAsia" w:ascii="宋体" w:hAnsi="宋体" w:eastAsia="宋体"/>
        </w:rPr>
        <w:t>本次</w:t>
      </w:r>
      <w:r>
        <w:rPr>
          <w:rFonts w:ascii="宋体" w:hAnsi="宋体" w:eastAsia="宋体"/>
        </w:rPr>
        <w:t>项目管理中的核心部分，它详细规划了如何有效地组织、执行和监控项目，以确保项目目标的达成</w:t>
      </w:r>
      <w:r>
        <w:rPr>
          <w:rFonts w:hint="eastAsia" w:ascii="宋体" w:hAnsi="宋体" w:eastAsia="宋体"/>
        </w:rPr>
        <w:t>，本次项目实施是在我公司成熟的电子化采购系统产品基础上进行的二次开发和适配，</w:t>
      </w:r>
      <w:r>
        <w:rPr>
          <w:rFonts w:ascii="宋体" w:hAnsi="宋体" w:eastAsia="宋体"/>
        </w:rPr>
        <w:t>以下是对</w:t>
      </w:r>
      <w:r>
        <w:rPr>
          <w:rFonts w:hint="eastAsia" w:ascii="宋体" w:hAnsi="宋体" w:eastAsia="宋体"/>
        </w:rPr>
        <w:t>本项目</w:t>
      </w:r>
      <w:r>
        <w:rPr>
          <w:rFonts w:ascii="宋体" w:hAnsi="宋体" w:eastAsia="宋体"/>
        </w:rPr>
        <w:t>实施组织方案的详细阐述，</w:t>
      </w:r>
      <w:r>
        <w:rPr>
          <w:rFonts w:hint="eastAsia" w:ascii="宋体" w:hAnsi="宋体" w:eastAsia="宋体"/>
        </w:rPr>
        <w:t>分六大阶段进行实施组织，</w:t>
      </w:r>
      <w:r>
        <w:rPr>
          <w:rFonts w:ascii="宋体" w:hAnsi="宋体" w:eastAsia="宋体"/>
        </w:rPr>
        <w:t>旨在确保电子采购系统的顺利建设和实施。</w:t>
      </w:r>
    </w:p>
    <w:p w14:paraId="18BCA5CA">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08" w:name="_Toc180265635"/>
      <w:bookmarkEnd w:id="208"/>
      <w:bookmarkStart w:id="209" w:name="_Toc179751533"/>
    </w:p>
    <w:p w14:paraId="1830F64D">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0" w:name="_Toc180265636"/>
      <w:bookmarkEnd w:id="210"/>
    </w:p>
    <w:p w14:paraId="29659921">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1" w:name="_Toc180265637"/>
      <w:bookmarkEnd w:id="211"/>
    </w:p>
    <w:p w14:paraId="39B04076">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2" w:name="_Toc180265638"/>
      <w:bookmarkEnd w:id="212"/>
    </w:p>
    <w:p w14:paraId="39A5AE8F">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3" w:name="_Toc180265639"/>
      <w:bookmarkEnd w:id="213"/>
    </w:p>
    <w:p w14:paraId="24266690">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4" w:name="_Toc180265640"/>
      <w:bookmarkEnd w:id="214"/>
    </w:p>
    <w:p w14:paraId="70396825">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5" w:name="_Toc180265641"/>
      <w:bookmarkEnd w:id="215"/>
    </w:p>
    <w:p w14:paraId="655D385E">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6" w:name="_Toc180265642"/>
      <w:bookmarkEnd w:id="216"/>
    </w:p>
    <w:p w14:paraId="444861C3">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7" w:name="_Toc180265643"/>
      <w:bookmarkEnd w:id="217"/>
    </w:p>
    <w:p w14:paraId="27DB5A18">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8" w:name="_Toc180265644"/>
      <w:bookmarkEnd w:id="218"/>
    </w:p>
    <w:p w14:paraId="251C25E9">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19" w:name="_Toc180265645"/>
      <w:bookmarkEnd w:id="219"/>
    </w:p>
    <w:p w14:paraId="43E7114B">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20" w:name="_Toc180265646"/>
      <w:bookmarkEnd w:id="220"/>
    </w:p>
    <w:p w14:paraId="128F4630">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21" w:name="_Toc180265647"/>
      <w:bookmarkEnd w:id="221"/>
    </w:p>
    <w:p w14:paraId="1D844E0C">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22" w:name="_Toc180265648"/>
      <w:bookmarkEnd w:id="222"/>
    </w:p>
    <w:p w14:paraId="77B2D515">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23" w:name="_Toc180265649"/>
      <w:bookmarkEnd w:id="223"/>
    </w:p>
    <w:p w14:paraId="22A585B6">
      <w:pPr>
        <w:pStyle w:val="73"/>
        <w:keepNext/>
        <w:keepLines/>
        <w:numPr>
          <w:ilvl w:val="0"/>
          <w:numId w:val="7"/>
        </w:numPr>
        <w:spacing w:before="260" w:after="260" w:line="416" w:lineRule="auto"/>
        <w:ind w:firstLineChars="0"/>
        <w:outlineLvl w:val="2"/>
        <w:rPr>
          <w:rFonts w:hint="eastAsia" w:ascii="宋体" w:hAnsi="宋体" w:eastAsia="宋体" w:cstheme="majorBidi"/>
          <w:b/>
          <w:bCs/>
          <w:vanish/>
          <w:sz w:val="24"/>
          <w:szCs w:val="24"/>
        </w:rPr>
      </w:pPr>
      <w:bookmarkStart w:id="224" w:name="_Toc180265650"/>
      <w:bookmarkEnd w:id="224"/>
    </w:p>
    <w:p w14:paraId="43074CFE">
      <w:pPr>
        <w:pStyle w:val="73"/>
        <w:keepNext/>
        <w:keepLines/>
        <w:numPr>
          <w:ilvl w:val="1"/>
          <w:numId w:val="7"/>
        </w:numPr>
        <w:spacing w:before="260" w:after="260" w:line="416" w:lineRule="auto"/>
        <w:ind w:firstLineChars="0"/>
        <w:outlineLvl w:val="2"/>
        <w:rPr>
          <w:rFonts w:hint="eastAsia" w:ascii="宋体" w:hAnsi="宋体" w:eastAsia="宋体" w:cstheme="majorBidi"/>
          <w:b/>
          <w:bCs/>
          <w:vanish/>
          <w:sz w:val="24"/>
          <w:szCs w:val="24"/>
        </w:rPr>
      </w:pPr>
      <w:bookmarkStart w:id="225" w:name="_Toc180265651"/>
      <w:bookmarkEnd w:id="225"/>
    </w:p>
    <w:p w14:paraId="0A2176C1">
      <w:pPr>
        <w:pStyle w:val="6"/>
        <w:numPr>
          <w:ilvl w:val="2"/>
          <w:numId w:val="39"/>
        </w:numPr>
        <w:spacing w:before="260" w:after="260" w:line="416" w:lineRule="auto"/>
        <w:jc w:val="both"/>
        <w:rPr>
          <w:rFonts w:hint="eastAsia" w:ascii="宋体" w:hAnsi="宋体" w:cstheme="majorBidi"/>
          <w:szCs w:val="24"/>
        </w:rPr>
      </w:pPr>
      <w:bookmarkStart w:id="226" w:name="_Toc180265652"/>
      <w:r>
        <w:rPr>
          <w:rFonts w:ascii="宋体" w:hAnsi="宋体" w:cstheme="majorBidi"/>
          <w:szCs w:val="24"/>
        </w:rPr>
        <w:t>项目启动阶段</w:t>
      </w:r>
      <w:bookmarkEnd w:id="209"/>
      <w:bookmarkEnd w:id="226"/>
    </w:p>
    <w:p w14:paraId="40D592B8">
      <w:pPr>
        <w:spacing w:line="360" w:lineRule="auto"/>
        <w:rPr>
          <w:rFonts w:hint="eastAsia" w:ascii="宋体" w:hAnsi="宋体" w:eastAsia="宋体"/>
        </w:rPr>
      </w:pPr>
      <w:r>
        <w:rPr>
          <w:rFonts w:ascii="宋体" w:hAnsi="宋体" w:eastAsia="宋体"/>
          <w:b/>
          <w:bCs/>
        </w:rPr>
        <w:t>1. 组建项目团队</w:t>
      </w:r>
    </w:p>
    <w:p w14:paraId="5C6A770E">
      <w:pPr>
        <w:numPr>
          <w:ilvl w:val="0"/>
          <w:numId w:val="40"/>
        </w:numPr>
        <w:spacing w:line="360" w:lineRule="auto"/>
        <w:rPr>
          <w:rFonts w:hint="eastAsia" w:ascii="宋体" w:hAnsi="宋体" w:eastAsia="宋体"/>
        </w:rPr>
      </w:pPr>
      <w:r>
        <w:rPr>
          <w:rFonts w:ascii="宋体" w:hAnsi="宋体" w:eastAsia="宋体"/>
          <w:b/>
          <w:bCs/>
        </w:rPr>
        <w:t>项目经理</w:t>
      </w:r>
      <w:r>
        <w:rPr>
          <w:rFonts w:ascii="宋体" w:hAnsi="宋体" w:eastAsia="宋体"/>
        </w:rPr>
        <w:t>：负责整个项目的规划、执行、监控和收尾，确保项目目标、时间表和预算的实现。还需负责协调</w:t>
      </w:r>
      <w:r>
        <w:rPr>
          <w:rFonts w:hint="eastAsia" w:ascii="宋体" w:hAnsi="宋体" w:eastAsia="宋体"/>
        </w:rPr>
        <w:t>烟草总公司需求部门及</w:t>
      </w:r>
      <w:r>
        <w:rPr>
          <w:rFonts w:ascii="宋体" w:hAnsi="宋体" w:eastAsia="宋体"/>
        </w:rPr>
        <w:t>跨</w:t>
      </w:r>
      <w:r>
        <w:rPr>
          <w:rFonts w:hint="eastAsia" w:ascii="宋体" w:hAnsi="宋体" w:eastAsia="宋体"/>
        </w:rPr>
        <w:t>省、跨</w:t>
      </w:r>
      <w:r>
        <w:rPr>
          <w:rFonts w:ascii="宋体" w:hAnsi="宋体" w:eastAsia="宋体"/>
        </w:rPr>
        <w:t>部门</w:t>
      </w:r>
      <w:r>
        <w:rPr>
          <w:rFonts w:hint="eastAsia" w:ascii="宋体" w:hAnsi="宋体" w:eastAsia="宋体"/>
        </w:rPr>
        <w:t>的</w:t>
      </w:r>
      <w:r>
        <w:rPr>
          <w:rFonts w:ascii="宋体" w:hAnsi="宋体" w:eastAsia="宋体"/>
        </w:rPr>
        <w:t>沟通，确保项目信息流通顺畅。</w:t>
      </w:r>
    </w:p>
    <w:p w14:paraId="7B664899">
      <w:pPr>
        <w:numPr>
          <w:ilvl w:val="0"/>
          <w:numId w:val="40"/>
        </w:numPr>
        <w:spacing w:line="360" w:lineRule="auto"/>
        <w:rPr>
          <w:rFonts w:hint="eastAsia" w:ascii="宋体" w:hAnsi="宋体" w:eastAsia="宋体"/>
        </w:rPr>
      </w:pPr>
      <w:r>
        <w:rPr>
          <w:rFonts w:ascii="宋体" w:hAnsi="宋体" w:eastAsia="宋体"/>
          <w:b/>
          <w:bCs/>
        </w:rPr>
        <w:t>系统架构师</w:t>
      </w:r>
      <w:r>
        <w:rPr>
          <w:rFonts w:ascii="宋体" w:hAnsi="宋体" w:eastAsia="宋体"/>
        </w:rPr>
        <w:t>：深入了解</w:t>
      </w:r>
      <w:r>
        <w:rPr>
          <w:rFonts w:hint="eastAsia" w:ascii="宋体" w:hAnsi="宋体" w:eastAsia="宋体"/>
        </w:rPr>
        <w:t>烟草总公司目前信息化建设现状和技术体系，制定出我公司目前成熟产品体系中如何适配烟草总公司技术架构的方案，并针对本次项目需求确立本次项目实施的</w:t>
      </w:r>
      <w:r>
        <w:rPr>
          <w:rFonts w:ascii="宋体" w:hAnsi="宋体" w:eastAsia="宋体"/>
        </w:rPr>
        <w:t>系统架构，包括</w:t>
      </w:r>
      <w:r>
        <w:rPr>
          <w:rFonts w:hint="eastAsia" w:ascii="宋体" w:hAnsi="宋体" w:eastAsia="宋体"/>
        </w:rPr>
        <w:t>总体架构、集成架构、技术架构、功能架构、部署架构、数据架构的设计</w:t>
      </w:r>
      <w:r>
        <w:rPr>
          <w:rFonts w:ascii="宋体" w:hAnsi="宋体" w:eastAsia="宋体"/>
        </w:rPr>
        <w:t>，确保系统满足</w:t>
      </w:r>
      <w:r>
        <w:rPr>
          <w:rFonts w:hint="eastAsia" w:ascii="宋体" w:hAnsi="宋体" w:eastAsia="宋体"/>
        </w:rPr>
        <w:t>烟草行业需求、</w:t>
      </w:r>
      <w:r>
        <w:rPr>
          <w:rFonts w:ascii="宋体" w:hAnsi="宋体" w:eastAsia="宋体"/>
        </w:rPr>
        <w:t>性能、安全和可扩展性要求。</w:t>
      </w:r>
    </w:p>
    <w:p w14:paraId="1DFC00BB">
      <w:pPr>
        <w:numPr>
          <w:ilvl w:val="0"/>
          <w:numId w:val="40"/>
        </w:numPr>
        <w:spacing w:line="360" w:lineRule="auto"/>
        <w:rPr>
          <w:rFonts w:hint="eastAsia" w:ascii="宋体" w:hAnsi="宋体" w:eastAsia="宋体"/>
        </w:rPr>
      </w:pPr>
      <w:r>
        <w:rPr>
          <w:rFonts w:hint="eastAsia" w:ascii="宋体" w:hAnsi="宋体" w:eastAsia="宋体"/>
          <w:b/>
          <w:bCs/>
        </w:rPr>
        <w:t>产品人员</w:t>
      </w:r>
      <w:r>
        <w:rPr>
          <w:rFonts w:ascii="宋体" w:hAnsi="宋体" w:eastAsia="宋体"/>
        </w:rPr>
        <w:t>：深入了解</w:t>
      </w:r>
      <w:r>
        <w:rPr>
          <w:rFonts w:hint="eastAsia" w:ascii="宋体" w:hAnsi="宋体" w:eastAsia="宋体"/>
        </w:rPr>
        <w:t>本次项目建设的</w:t>
      </w:r>
      <w:r>
        <w:rPr>
          <w:rFonts w:ascii="宋体" w:hAnsi="宋体" w:eastAsia="宋体"/>
        </w:rPr>
        <w:t>用户需求，</w:t>
      </w:r>
      <w:r>
        <w:rPr>
          <w:rFonts w:ascii="宋体" w:hAnsi="宋体" w:eastAsia="宋体"/>
          <w:szCs w:val="21"/>
        </w:rPr>
        <w:t>深入理解</w:t>
      </w:r>
      <w:r>
        <w:rPr>
          <w:rFonts w:hint="eastAsia" w:ascii="宋体" w:hAnsi="宋体" w:eastAsia="宋体"/>
          <w:szCs w:val="21"/>
        </w:rPr>
        <w:t>烟草行业</w:t>
      </w:r>
      <w:r>
        <w:rPr>
          <w:rFonts w:ascii="宋体" w:hAnsi="宋体" w:eastAsia="宋体"/>
          <w:szCs w:val="21"/>
        </w:rPr>
        <w:t>采购业务流程，与</w:t>
      </w:r>
      <w:r>
        <w:rPr>
          <w:rFonts w:hint="eastAsia" w:ascii="宋体" w:hAnsi="宋体" w:eastAsia="宋体"/>
          <w:szCs w:val="21"/>
        </w:rPr>
        <w:t>烟草各级用户</w:t>
      </w:r>
      <w:r>
        <w:rPr>
          <w:rFonts w:ascii="宋体" w:hAnsi="宋体" w:eastAsia="宋体"/>
          <w:szCs w:val="21"/>
        </w:rPr>
        <w:t>建立紧密</w:t>
      </w:r>
      <w:r>
        <w:rPr>
          <w:rFonts w:hint="eastAsia" w:ascii="宋体" w:hAnsi="宋体" w:eastAsia="宋体"/>
          <w:szCs w:val="21"/>
        </w:rPr>
        <w:t>联系，甄别我公司成熟产品与用需求之间的差别，并</w:t>
      </w:r>
      <w:r>
        <w:rPr>
          <w:rFonts w:ascii="宋体" w:hAnsi="宋体" w:eastAsia="宋体"/>
        </w:rPr>
        <w:t>撰写</w:t>
      </w:r>
      <w:r>
        <w:rPr>
          <w:rFonts w:hint="eastAsia" w:ascii="宋体" w:hAnsi="宋体" w:eastAsia="宋体"/>
        </w:rPr>
        <w:t>二次开发的</w:t>
      </w:r>
      <w:r>
        <w:rPr>
          <w:rFonts w:ascii="宋体" w:hAnsi="宋体" w:eastAsia="宋体"/>
        </w:rPr>
        <w:t>需求规格说明书，与用户和开发团队保持沟通，确保需求被正确理解和实现</w:t>
      </w:r>
      <w:r>
        <w:rPr>
          <w:rFonts w:hint="eastAsia" w:ascii="宋体" w:hAnsi="宋体" w:eastAsia="宋体"/>
        </w:rPr>
        <w:t>，并对项目</w:t>
      </w:r>
      <w:r>
        <w:rPr>
          <w:rFonts w:hint="eastAsia" w:ascii="宋体" w:hAnsi="宋体" w:eastAsia="宋体" w:cs="宋体"/>
          <w:szCs w:val="21"/>
        </w:rPr>
        <w:t>进度进行管理</w:t>
      </w:r>
      <w:r>
        <w:rPr>
          <w:rFonts w:hint="eastAsia" w:ascii="宋体" w:hAnsi="宋体" w:eastAsia="宋体"/>
        </w:rPr>
        <w:t>。</w:t>
      </w:r>
    </w:p>
    <w:p w14:paraId="67B4D62E">
      <w:pPr>
        <w:numPr>
          <w:ilvl w:val="1"/>
          <w:numId w:val="40"/>
        </w:numPr>
        <w:spacing w:line="360" w:lineRule="auto"/>
        <w:rPr>
          <w:rFonts w:hint="eastAsia" w:ascii="宋体" w:hAnsi="宋体" w:eastAsia="宋体"/>
        </w:rPr>
      </w:pPr>
      <w:r>
        <w:rPr>
          <w:rFonts w:hint="eastAsia" w:ascii="宋体" w:hAnsi="宋体" w:eastAsia="宋体"/>
        </w:rPr>
        <w:t>项目文档人员，负责</w:t>
      </w:r>
      <w:r>
        <w:rPr>
          <w:rFonts w:hint="eastAsia" w:ascii="宋体" w:hAnsi="宋体" w:eastAsia="宋体" w:cs="宋体"/>
          <w:szCs w:val="21"/>
        </w:rPr>
        <w:t>本项目的文档、资料</w:t>
      </w:r>
      <w:r>
        <w:rPr>
          <w:rFonts w:hint="eastAsia" w:ascii="宋体" w:hAnsi="宋体" w:eastAsia="宋体"/>
        </w:rPr>
        <w:t>。</w:t>
      </w:r>
    </w:p>
    <w:p w14:paraId="1F899128">
      <w:pPr>
        <w:numPr>
          <w:ilvl w:val="0"/>
          <w:numId w:val="40"/>
        </w:numPr>
        <w:spacing w:line="360" w:lineRule="auto"/>
        <w:rPr>
          <w:rFonts w:hint="eastAsia" w:ascii="宋体" w:hAnsi="宋体" w:eastAsia="宋体"/>
        </w:rPr>
      </w:pPr>
      <w:r>
        <w:rPr>
          <w:rFonts w:ascii="宋体" w:hAnsi="宋体" w:eastAsia="宋体"/>
          <w:b/>
          <w:bCs/>
        </w:rPr>
        <w:t>开发人员</w:t>
      </w:r>
      <w:r>
        <w:rPr>
          <w:rFonts w:ascii="宋体" w:hAnsi="宋体" w:eastAsia="宋体"/>
        </w:rPr>
        <w:t>：根据</w:t>
      </w:r>
      <w:r>
        <w:rPr>
          <w:rFonts w:hint="eastAsia" w:ascii="宋体" w:hAnsi="宋体" w:eastAsia="宋体"/>
        </w:rPr>
        <w:t>架构设计和二次开发需求说明书及</w:t>
      </w:r>
      <w:r>
        <w:rPr>
          <w:rFonts w:ascii="宋体" w:hAnsi="宋体" w:eastAsia="宋体"/>
        </w:rPr>
        <w:t>设计文档进行编码，实现系统功能</w:t>
      </w:r>
      <w:r>
        <w:rPr>
          <w:rFonts w:hint="eastAsia" w:ascii="宋体" w:hAnsi="宋体" w:eastAsia="宋体"/>
        </w:rPr>
        <w:t>的适配和新功能的研发，</w:t>
      </w:r>
      <w:r>
        <w:rPr>
          <w:rFonts w:ascii="宋体" w:hAnsi="宋体" w:eastAsia="宋体"/>
          <w:szCs w:val="21"/>
        </w:rPr>
        <w:t>根据技术栈分配任务，</w:t>
      </w:r>
      <w:r>
        <w:rPr>
          <w:rFonts w:hint="eastAsia" w:ascii="宋体" w:hAnsi="宋体" w:eastAsia="宋体"/>
          <w:szCs w:val="21"/>
        </w:rPr>
        <w:t>主要包括前端、客户端、后端技术开发、联调等工作，并在项目经理和研发小组组长的带领下完成编码工作，并</w:t>
      </w:r>
      <w:r>
        <w:rPr>
          <w:rFonts w:ascii="宋体" w:hAnsi="宋体" w:eastAsia="宋体"/>
          <w:szCs w:val="21"/>
        </w:rPr>
        <w:t>确保</w:t>
      </w:r>
      <w:r>
        <w:rPr>
          <w:rFonts w:hint="eastAsia" w:ascii="宋体" w:hAnsi="宋体" w:eastAsia="宋体"/>
          <w:szCs w:val="21"/>
        </w:rPr>
        <w:t>整个</w:t>
      </w:r>
      <w:r>
        <w:rPr>
          <w:rFonts w:ascii="宋体" w:hAnsi="宋体" w:eastAsia="宋体"/>
          <w:szCs w:val="21"/>
        </w:rPr>
        <w:t>技术团队技能互补，高效协作</w:t>
      </w:r>
      <w:r>
        <w:rPr>
          <w:rFonts w:ascii="宋体" w:hAnsi="宋体" w:eastAsia="宋体"/>
        </w:rPr>
        <w:t>。</w:t>
      </w:r>
    </w:p>
    <w:p w14:paraId="7B927B54">
      <w:pPr>
        <w:numPr>
          <w:ilvl w:val="0"/>
          <w:numId w:val="40"/>
        </w:numPr>
        <w:spacing w:line="360" w:lineRule="auto"/>
        <w:rPr>
          <w:rFonts w:hint="eastAsia" w:ascii="宋体" w:hAnsi="宋体" w:eastAsia="宋体"/>
        </w:rPr>
      </w:pPr>
      <w:r>
        <w:rPr>
          <w:rFonts w:ascii="宋体" w:hAnsi="宋体" w:eastAsia="宋体"/>
          <w:b/>
          <w:bCs/>
        </w:rPr>
        <w:t>测试人员</w:t>
      </w:r>
      <w:r>
        <w:rPr>
          <w:rFonts w:ascii="宋体" w:hAnsi="宋体" w:eastAsia="宋体"/>
        </w:rPr>
        <w:t>：</w:t>
      </w:r>
      <w:r>
        <w:rPr>
          <w:rFonts w:hint="eastAsia" w:ascii="宋体" w:hAnsi="宋体" w:eastAsia="宋体"/>
        </w:rPr>
        <w:t>针对项目客户需求、原有产品功能手册、本次项目二次开发需求规格说明书</w:t>
      </w:r>
      <w:r>
        <w:rPr>
          <w:rFonts w:ascii="宋体" w:hAnsi="宋体" w:eastAsia="宋体"/>
          <w:szCs w:val="21"/>
        </w:rPr>
        <w:t>制定详细的测试计划，包括自动化测试脚本的编写，以提高测试效率</w:t>
      </w:r>
      <w:r>
        <w:rPr>
          <w:rFonts w:hint="eastAsia" w:ascii="宋体" w:hAnsi="宋体" w:eastAsia="宋体"/>
          <w:szCs w:val="21"/>
        </w:rPr>
        <w:t>，</w:t>
      </w:r>
      <w:r>
        <w:rPr>
          <w:rFonts w:ascii="宋体" w:hAnsi="宋体" w:eastAsia="宋体"/>
        </w:rPr>
        <w:t>编写测试用例，执行测试计划，确保软件质量。</w:t>
      </w:r>
    </w:p>
    <w:p w14:paraId="3D923084">
      <w:pPr>
        <w:numPr>
          <w:ilvl w:val="0"/>
          <w:numId w:val="40"/>
        </w:numPr>
        <w:spacing w:line="360" w:lineRule="auto"/>
        <w:rPr>
          <w:rFonts w:hint="eastAsia" w:ascii="宋体" w:hAnsi="宋体" w:eastAsia="宋体"/>
        </w:rPr>
      </w:pPr>
      <w:r>
        <w:rPr>
          <w:rFonts w:ascii="宋体" w:hAnsi="宋体" w:eastAsia="宋体"/>
          <w:b/>
          <w:bCs/>
        </w:rPr>
        <w:t>运维人员</w:t>
      </w:r>
      <w:r>
        <w:rPr>
          <w:rFonts w:ascii="宋体" w:hAnsi="宋体" w:eastAsia="宋体"/>
        </w:rPr>
        <w:t>：</w:t>
      </w:r>
      <w:r>
        <w:rPr>
          <w:rFonts w:hint="eastAsia" w:ascii="宋体" w:hAnsi="宋体" w:eastAsia="宋体"/>
        </w:rPr>
        <w:t>根据项目建设阶段分为两个阶段，一是开发建设阶段，一是上线后运营阶段。</w:t>
      </w:r>
    </w:p>
    <w:p w14:paraId="2C5BFA1E">
      <w:pPr>
        <w:numPr>
          <w:ilvl w:val="1"/>
          <w:numId w:val="40"/>
        </w:numPr>
        <w:spacing w:line="360" w:lineRule="auto"/>
        <w:rPr>
          <w:rFonts w:hint="eastAsia" w:ascii="宋体" w:hAnsi="宋体" w:eastAsia="宋体"/>
        </w:rPr>
      </w:pPr>
      <w:r>
        <w:rPr>
          <w:rFonts w:hint="eastAsia" w:ascii="宋体" w:hAnsi="宋体" w:eastAsia="宋体"/>
        </w:rPr>
        <w:t>开发建设阶段</w:t>
      </w:r>
      <w:r>
        <w:rPr>
          <w:rFonts w:ascii="宋体" w:hAnsi="宋体" w:eastAsia="宋体"/>
        </w:rPr>
        <w:t>负责</w:t>
      </w:r>
      <w:r>
        <w:rPr>
          <w:rFonts w:hint="eastAsia" w:ascii="宋体" w:hAnsi="宋体" w:eastAsia="宋体"/>
        </w:rPr>
        <w:t>本次项目的</w:t>
      </w:r>
      <w:r>
        <w:rPr>
          <w:rFonts w:ascii="宋体" w:hAnsi="宋体" w:eastAsia="宋体"/>
        </w:rPr>
        <w:t>系统部署、配置、监控和维护</w:t>
      </w:r>
      <w:r>
        <w:rPr>
          <w:rFonts w:hint="eastAsia" w:ascii="宋体" w:hAnsi="宋体" w:eastAsia="宋体"/>
        </w:rPr>
        <w:t>工作</w:t>
      </w:r>
      <w:r>
        <w:rPr>
          <w:rFonts w:ascii="宋体" w:hAnsi="宋体" w:eastAsia="宋体"/>
        </w:rPr>
        <w:t>，</w:t>
      </w:r>
      <w:r>
        <w:rPr>
          <w:rFonts w:ascii="宋体" w:hAnsi="宋体" w:eastAsia="宋体"/>
          <w:szCs w:val="21"/>
        </w:rPr>
        <w:t>熟悉</w:t>
      </w:r>
      <w:r>
        <w:rPr>
          <w:rFonts w:hint="eastAsia" w:ascii="宋体" w:hAnsi="宋体" w:eastAsia="宋体"/>
          <w:szCs w:val="21"/>
        </w:rPr>
        <w:t>烟草总公司</w:t>
      </w:r>
      <w:r>
        <w:rPr>
          <w:rFonts w:hint="eastAsia" w:ascii="宋体" w:hAnsi="宋体" w:eastAsia="宋体" w:cs="宋体"/>
          <w:bCs/>
        </w:rPr>
        <w:t>行业云平台</w:t>
      </w:r>
      <w:r>
        <w:rPr>
          <w:rFonts w:ascii="宋体" w:hAnsi="宋体" w:eastAsia="宋体"/>
          <w:szCs w:val="21"/>
        </w:rPr>
        <w:t>系统部署环境，</w:t>
      </w:r>
      <w:r>
        <w:rPr>
          <w:rFonts w:hint="eastAsia" w:ascii="宋体" w:hAnsi="宋体" w:eastAsia="宋体"/>
          <w:szCs w:val="21"/>
        </w:rPr>
        <w:t>制定生产和测试/开发双环境的部署方案，并</w:t>
      </w:r>
      <w:r>
        <w:rPr>
          <w:rFonts w:ascii="宋体" w:hAnsi="宋体" w:eastAsia="宋体"/>
          <w:szCs w:val="21"/>
        </w:rPr>
        <w:t>制定应急预案，确保系统上线后的稳定运行</w:t>
      </w:r>
      <w:r>
        <w:rPr>
          <w:rFonts w:hint="eastAsia" w:ascii="宋体" w:hAnsi="宋体" w:eastAsia="宋体"/>
          <w:szCs w:val="21"/>
        </w:rPr>
        <w:t>，</w:t>
      </w:r>
      <w:r>
        <w:rPr>
          <w:rFonts w:ascii="宋体" w:hAnsi="宋体" w:eastAsia="宋体"/>
        </w:rPr>
        <w:t>确保系统稳定运行。</w:t>
      </w:r>
      <w:r>
        <w:rPr>
          <w:rFonts w:hint="eastAsia" w:ascii="宋体" w:hAnsi="宋体" w:eastAsia="宋体"/>
        </w:rPr>
        <w:t>二是运营阶段做好整个平台的运行保障工作，包括不限于</w:t>
      </w:r>
      <w:r>
        <w:rPr>
          <w:rFonts w:hint="eastAsia" w:ascii="宋体" w:hAnsi="宋体" w:eastAsia="宋体" w:cs="宋体"/>
          <w:szCs w:val="21"/>
        </w:rPr>
        <w:t>系统升级服务、系统优化服务、咨询服务、报表服务、响应服务、安全服务、巡检服务、紧急服务等。</w:t>
      </w:r>
    </w:p>
    <w:p w14:paraId="5F971349">
      <w:pPr>
        <w:numPr>
          <w:ilvl w:val="0"/>
          <w:numId w:val="40"/>
        </w:numPr>
        <w:spacing w:line="360" w:lineRule="auto"/>
        <w:rPr>
          <w:rFonts w:hint="eastAsia" w:ascii="宋体" w:hAnsi="宋体" w:eastAsia="宋体"/>
        </w:rPr>
      </w:pPr>
      <w:r>
        <w:rPr>
          <w:rFonts w:hint="eastAsia" w:ascii="宋体" w:hAnsi="宋体" w:eastAsia="宋体"/>
          <w:b/>
          <w:bCs/>
        </w:rPr>
        <w:t>运营与</w:t>
      </w:r>
      <w:r>
        <w:rPr>
          <w:rFonts w:ascii="宋体" w:hAnsi="宋体" w:eastAsia="宋体"/>
          <w:b/>
          <w:bCs/>
        </w:rPr>
        <w:t>培训人员</w:t>
      </w:r>
      <w:r>
        <w:rPr>
          <w:rFonts w:ascii="宋体" w:hAnsi="宋体" w:eastAsia="宋体"/>
        </w:rPr>
        <w:t>：</w:t>
      </w:r>
    </w:p>
    <w:p w14:paraId="41CBAED0">
      <w:pPr>
        <w:numPr>
          <w:ilvl w:val="1"/>
          <w:numId w:val="40"/>
        </w:numPr>
        <w:spacing w:line="360" w:lineRule="auto"/>
        <w:rPr>
          <w:rFonts w:hint="eastAsia" w:ascii="宋体" w:hAnsi="宋体" w:eastAsia="宋体"/>
        </w:rPr>
      </w:pPr>
      <w:r>
        <w:rPr>
          <w:rFonts w:hint="eastAsia" w:ascii="宋体" w:hAnsi="宋体" w:eastAsia="宋体"/>
        </w:rPr>
        <w:t>上线后运营阶段，</w:t>
      </w:r>
      <w:r>
        <w:rPr>
          <w:rFonts w:hint="eastAsia" w:ascii="宋体" w:hAnsi="宋体" w:eastAsia="宋体" w:cs="宋体"/>
          <w:bCs/>
          <w:szCs w:val="21"/>
        </w:rPr>
        <w:t>提供包括但不限于投标人（供应商）、招标代理机构、专家库、招标人等交易信息库主数据管理；业务流程服务；热线电话和企业在线客服咨询；技术解答服务；项目保障技术支撑服务；处理交易主体数据改动申请需求；配合相关部门提供专项调档服务；配合临时突击性工作；日常文档整理、工作汇报；配合提供驻场服务、远程异地评标服务、数据统计分析服务等系统业务运营服务，保障烟草总公司及下属单位的采购业务正常开展。</w:t>
      </w:r>
    </w:p>
    <w:p w14:paraId="3DFE2C7E">
      <w:pPr>
        <w:numPr>
          <w:ilvl w:val="1"/>
          <w:numId w:val="40"/>
        </w:numPr>
        <w:spacing w:line="360" w:lineRule="auto"/>
        <w:rPr>
          <w:rFonts w:hint="eastAsia" w:ascii="宋体" w:hAnsi="宋体" w:eastAsia="宋体"/>
        </w:rPr>
      </w:pPr>
      <w:r>
        <w:rPr>
          <w:rFonts w:ascii="宋体" w:hAnsi="宋体" w:eastAsia="宋体"/>
          <w:szCs w:val="21"/>
        </w:rPr>
        <w:t>根据</w:t>
      </w:r>
      <w:r>
        <w:rPr>
          <w:rFonts w:hint="eastAsia" w:ascii="宋体" w:hAnsi="宋体" w:eastAsia="宋体"/>
          <w:szCs w:val="21"/>
        </w:rPr>
        <w:t>烟草行业</w:t>
      </w:r>
      <w:r>
        <w:rPr>
          <w:rFonts w:ascii="宋体" w:hAnsi="宋体" w:eastAsia="宋体"/>
          <w:szCs w:val="21"/>
        </w:rPr>
        <w:t>用户群体定制培训内容，采用线上+线下结合的方式，提高培训效果</w:t>
      </w:r>
      <w:r>
        <w:rPr>
          <w:rFonts w:hint="eastAsia" w:ascii="宋体" w:hAnsi="宋体" w:eastAsia="宋体"/>
          <w:szCs w:val="21"/>
        </w:rPr>
        <w:t>，</w:t>
      </w:r>
      <w:r>
        <w:rPr>
          <w:rFonts w:ascii="宋体" w:hAnsi="宋体" w:eastAsia="宋体"/>
        </w:rPr>
        <w:t>准备培训材料，进行系统操作培训，确保用户能够熟练使用</w:t>
      </w:r>
      <w:r>
        <w:rPr>
          <w:rFonts w:hint="eastAsia" w:ascii="宋体" w:hAnsi="宋体" w:eastAsia="宋体"/>
        </w:rPr>
        <w:t>本</w:t>
      </w:r>
      <w:r>
        <w:rPr>
          <w:rFonts w:ascii="宋体" w:hAnsi="宋体" w:eastAsia="宋体"/>
        </w:rPr>
        <w:t>系统。</w:t>
      </w:r>
    </w:p>
    <w:p w14:paraId="5AFDA9D3">
      <w:pPr>
        <w:spacing w:line="360" w:lineRule="auto"/>
        <w:rPr>
          <w:rFonts w:hint="eastAsia" w:ascii="宋体" w:hAnsi="宋体" w:eastAsia="宋体"/>
        </w:rPr>
      </w:pPr>
      <w:r>
        <w:rPr>
          <w:rFonts w:ascii="宋体" w:hAnsi="宋体" w:eastAsia="宋体"/>
          <w:b/>
          <w:bCs/>
        </w:rPr>
        <w:t>2. 召开项目启动会议</w:t>
      </w:r>
    </w:p>
    <w:p w14:paraId="5068EB81">
      <w:pPr>
        <w:numPr>
          <w:ilvl w:val="0"/>
          <w:numId w:val="41"/>
        </w:numPr>
        <w:spacing w:line="360" w:lineRule="auto"/>
        <w:rPr>
          <w:rFonts w:hint="eastAsia" w:ascii="宋体" w:hAnsi="宋体" w:eastAsia="宋体"/>
        </w:rPr>
      </w:pPr>
      <w:r>
        <w:rPr>
          <w:rFonts w:ascii="宋体" w:hAnsi="宋体" w:eastAsia="宋体"/>
        </w:rPr>
        <w:t>明确</w:t>
      </w:r>
      <w:r>
        <w:rPr>
          <w:rFonts w:hint="eastAsia" w:ascii="宋体" w:hAnsi="宋体" w:eastAsia="宋体"/>
        </w:rPr>
        <w:t>本次</w:t>
      </w:r>
      <w:r>
        <w:rPr>
          <w:rFonts w:ascii="宋体" w:hAnsi="宋体" w:eastAsia="宋体"/>
        </w:rPr>
        <w:t>项目</w:t>
      </w:r>
      <w:r>
        <w:rPr>
          <w:rFonts w:hint="eastAsia" w:ascii="宋体" w:hAnsi="宋体" w:eastAsia="宋体"/>
        </w:rPr>
        <w:t>的</w:t>
      </w:r>
      <w:r>
        <w:rPr>
          <w:rFonts w:ascii="宋体" w:hAnsi="宋体" w:eastAsia="宋体"/>
        </w:rPr>
        <w:t>目标、范围、时间表和关键里程碑。</w:t>
      </w:r>
    </w:p>
    <w:p w14:paraId="641F8442">
      <w:pPr>
        <w:numPr>
          <w:ilvl w:val="0"/>
          <w:numId w:val="41"/>
        </w:numPr>
        <w:spacing w:line="360" w:lineRule="auto"/>
        <w:rPr>
          <w:rFonts w:hint="eastAsia" w:ascii="宋体" w:hAnsi="宋体" w:eastAsia="宋体"/>
        </w:rPr>
      </w:pPr>
      <w:r>
        <w:rPr>
          <w:rFonts w:ascii="宋体" w:hAnsi="宋体" w:eastAsia="宋体"/>
        </w:rPr>
        <w:t>分配项目资源，明确团队成员的职责和角色。</w:t>
      </w:r>
    </w:p>
    <w:p w14:paraId="2821D45C">
      <w:pPr>
        <w:numPr>
          <w:ilvl w:val="0"/>
          <w:numId w:val="41"/>
        </w:numPr>
        <w:spacing w:line="360" w:lineRule="auto"/>
        <w:rPr>
          <w:rFonts w:hint="eastAsia" w:ascii="宋体" w:hAnsi="宋体" w:eastAsia="宋体"/>
        </w:rPr>
      </w:pPr>
      <w:r>
        <w:rPr>
          <w:rFonts w:ascii="宋体" w:hAnsi="宋体" w:eastAsia="宋体"/>
        </w:rPr>
        <w:t>讨论并确定项目沟通机制，包括会议频率、报告格式等</w:t>
      </w:r>
      <w:r>
        <w:rPr>
          <w:rFonts w:hint="eastAsia" w:ascii="宋体" w:hAnsi="宋体" w:eastAsia="宋体"/>
        </w:rPr>
        <w:t>，</w:t>
      </w:r>
      <w:r>
        <w:rPr>
          <w:rFonts w:ascii="宋体" w:hAnsi="宋体" w:eastAsia="宋体"/>
          <w:szCs w:val="21"/>
        </w:rPr>
        <w:t>设立项目沟通平台（如钉钉、微信等），确保信息实时共享</w:t>
      </w:r>
      <w:r>
        <w:rPr>
          <w:rFonts w:ascii="宋体" w:hAnsi="宋体" w:eastAsia="宋体"/>
        </w:rPr>
        <w:t>。</w:t>
      </w:r>
    </w:p>
    <w:p w14:paraId="34DC94FB">
      <w:pPr>
        <w:numPr>
          <w:ilvl w:val="0"/>
          <w:numId w:val="41"/>
        </w:numPr>
        <w:spacing w:line="360" w:lineRule="auto"/>
        <w:rPr>
          <w:rFonts w:hint="eastAsia" w:ascii="宋体" w:hAnsi="宋体" w:eastAsia="宋体"/>
        </w:rPr>
      </w:pPr>
      <w:r>
        <w:rPr>
          <w:rFonts w:ascii="宋体" w:hAnsi="宋体" w:eastAsia="宋体"/>
        </w:rPr>
        <w:t>设立风险管理机制，识别潜在风险并制定应对策略</w:t>
      </w:r>
      <w:r>
        <w:rPr>
          <w:rFonts w:hint="eastAsia" w:ascii="宋体" w:hAnsi="宋体" w:eastAsia="宋体"/>
        </w:rPr>
        <w:t>，</w:t>
      </w:r>
      <w:r>
        <w:rPr>
          <w:rFonts w:ascii="宋体" w:hAnsi="宋体" w:eastAsia="宋体"/>
          <w:szCs w:val="21"/>
        </w:rPr>
        <w:t>包括风险识别、评估、监控和应对，定期召开风险评审会议</w:t>
      </w:r>
      <w:r>
        <w:rPr>
          <w:rFonts w:ascii="宋体" w:hAnsi="宋体" w:eastAsia="宋体"/>
        </w:rPr>
        <w:t>。</w:t>
      </w:r>
    </w:p>
    <w:p w14:paraId="0D4C2692">
      <w:pPr>
        <w:pStyle w:val="6"/>
        <w:numPr>
          <w:ilvl w:val="2"/>
          <w:numId w:val="39"/>
        </w:numPr>
        <w:spacing w:before="260" w:after="260" w:line="416" w:lineRule="auto"/>
        <w:jc w:val="both"/>
        <w:rPr>
          <w:rFonts w:hint="eastAsia" w:ascii="宋体" w:hAnsi="宋体" w:cstheme="majorBidi"/>
          <w:szCs w:val="24"/>
        </w:rPr>
      </w:pPr>
      <w:bookmarkStart w:id="227" w:name="_Toc179751534"/>
      <w:bookmarkStart w:id="228" w:name="_Toc180265653"/>
      <w:r>
        <w:rPr>
          <w:rFonts w:ascii="宋体" w:hAnsi="宋体" w:cstheme="majorBidi"/>
          <w:szCs w:val="24"/>
        </w:rPr>
        <w:t>需求分析阶段</w:t>
      </w:r>
      <w:bookmarkEnd w:id="227"/>
      <w:bookmarkEnd w:id="228"/>
    </w:p>
    <w:p w14:paraId="3D706A28">
      <w:pPr>
        <w:spacing w:line="360" w:lineRule="auto"/>
        <w:rPr>
          <w:rFonts w:hint="eastAsia" w:ascii="宋体" w:hAnsi="宋体" w:eastAsia="宋体"/>
        </w:rPr>
      </w:pPr>
      <w:r>
        <w:rPr>
          <w:rFonts w:ascii="宋体" w:hAnsi="宋体" w:eastAsia="宋体"/>
          <w:b/>
          <w:bCs/>
        </w:rPr>
        <w:t>1. 调研与分析</w:t>
      </w:r>
    </w:p>
    <w:p w14:paraId="1CA56670">
      <w:pPr>
        <w:numPr>
          <w:ilvl w:val="0"/>
          <w:numId w:val="42"/>
        </w:numPr>
        <w:spacing w:line="360" w:lineRule="auto"/>
        <w:rPr>
          <w:rFonts w:hint="eastAsia" w:ascii="宋体" w:hAnsi="宋体" w:eastAsia="宋体"/>
        </w:rPr>
      </w:pPr>
      <w:r>
        <w:rPr>
          <w:rFonts w:ascii="宋体" w:hAnsi="宋体" w:eastAsia="宋体"/>
        </w:rPr>
        <w:t>与</w:t>
      </w:r>
      <w:r>
        <w:rPr>
          <w:rFonts w:hint="eastAsia" w:ascii="宋体" w:hAnsi="宋体" w:eastAsia="宋体"/>
        </w:rPr>
        <w:t>烟草总公司本项目调研组及总公司</w:t>
      </w:r>
      <w:r>
        <w:rPr>
          <w:rFonts w:ascii="宋体" w:hAnsi="宋体" w:eastAsia="宋体"/>
        </w:rPr>
        <w:t>采购部门、财务部门、</w:t>
      </w:r>
      <w:r>
        <w:rPr>
          <w:rFonts w:hint="eastAsia" w:ascii="宋体" w:hAnsi="宋体" w:eastAsia="宋体"/>
        </w:rPr>
        <w:t>监管部门</w:t>
      </w:r>
      <w:r>
        <w:rPr>
          <w:rFonts w:ascii="宋体" w:hAnsi="宋体" w:eastAsia="宋体"/>
        </w:rPr>
        <w:t>等相关方进行</w:t>
      </w:r>
      <w:r>
        <w:rPr>
          <w:rFonts w:hint="eastAsia" w:ascii="宋体" w:hAnsi="宋体" w:eastAsia="宋体"/>
        </w:rPr>
        <w:t>充分、</w:t>
      </w:r>
      <w:r>
        <w:rPr>
          <w:rFonts w:ascii="宋体" w:hAnsi="宋体" w:eastAsia="宋体"/>
        </w:rPr>
        <w:t>深入沟通，</w:t>
      </w:r>
      <w:r>
        <w:rPr>
          <w:rFonts w:hint="eastAsia" w:ascii="宋体" w:hAnsi="宋体" w:eastAsia="宋体"/>
        </w:rPr>
        <w:t>再次深入理解本次项目建设需求、</w:t>
      </w:r>
      <w:r>
        <w:rPr>
          <w:rFonts w:ascii="宋体" w:hAnsi="宋体" w:eastAsia="宋体"/>
        </w:rPr>
        <w:t>业务流程、</w:t>
      </w:r>
      <w:r>
        <w:rPr>
          <w:rFonts w:hint="eastAsia" w:ascii="宋体" w:hAnsi="宋体" w:eastAsia="宋体"/>
        </w:rPr>
        <w:t>迫切诉</w:t>
      </w:r>
      <w:r>
        <w:rPr>
          <w:rFonts w:ascii="宋体" w:hAnsi="宋体" w:eastAsia="宋体"/>
        </w:rPr>
        <w:t>求和痛点。</w:t>
      </w:r>
    </w:p>
    <w:p w14:paraId="10578B5E">
      <w:pPr>
        <w:numPr>
          <w:ilvl w:val="0"/>
          <w:numId w:val="42"/>
        </w:numPr>
        <w:spacing w:line="360" w:lineRule="auto"/>
        <w:rPr>
          <w:rFonts w:hint="eastAsia" w:ascii="宋体" w:hAnsi="宋体" w:eastAsia="宋体"/>
        </w:rPr>
      </w:pPr>
      <w:r>
        <w:rPr>
          <w:rFonts w:ascii="宋体" w:hAnsi="宋体" w:eastAsia="宋体"/>
          <w:szCs w:val="21"/>
        </w:rPr>
        <w:t>采用访谈、问卷调查、工作坊等多种方式收集</w:t>
      </w:r>
      <w:r>
        <w:rPr>
          <w:rFonts w:hint="eastAsia" w:ascii="宋体" w:hAnsi="宋体" w:eastAsia="宋体"/>
          <w:szCs w:val="21"/>
        </w:rPr>
        <w:t>本次项目建设的</w:t>
      </w:r>
      <w:r>
        <w:rPr>
          <w:rFonts w:ascii="宋体" w:hAnsi="宋体" w:eastAsia="宋体"/>
          <w:szCs w:val="21"/>
        </w:rPr>
        <w:t>需求</w:t>
      </w:r>
      <w:r>
        <w:rPr>
          <w:rFonts w:hint="eastAsia" w:ascii="宋体" w:hAnsi="宋体" w:eastAsia="宋体"/>
          <w:szCs w:val="21"/>
        </w:rPr>
        <w:t>，</w:t>
      </w:r>
      <w:r>
        <w:rPr>
          <w:rFonts w:hint="eastAsia" w:ascii="宋体" w:hAnsi="宋体" w:eastAsia="宋体"/>
        </w:rPr>
        <w:t>找出与公司目前成熟产品吻合度的差异部分</w:t>
      </w:r>
      <w:r>
        <w:rPr>
          <w:rFonts w:ascii="宋体" w:hAnsi="宋体" w:eastAsia="宋体"/>
        </w:rPr>
        <w:t>，形成</w:t>
      </w:r>
      <w:r>
        <w:rPr>
          <w:rFonts w:hint="eastAsia" w:ascii="宋体" w:hAnsi="宋体" w:eastAsia="宋体"/>
        </w:rPr>
        <w:t>二次开发</w:t>
      </w:r>
      <w:r>
        <w:rPr>
          <w:rFonts w:ascii="宋体" w:hAnsi="宋体" w:eastAsia="宋体"/>
        </w:rPr>
        <w:t>需求清单。</w:t>
      </w:r>
    </w:p>
    <w:p w14:paraId="098A3CDD">
      <w:pPr>
        <w:numPr>
          <w:ilvl w:val="0"/>
          <w:numId w:val="43"/>
        </w:numPr>
        <w:spacing w:line="360" w:lineRule="auto"/>
        <w:rPr>
          <w:rFonts w:hint="eastAsia" w:ascii="宋体" w:hAnsi="宋体" w:eastAsia="宋体"/>
          <w:szCs w:val="21"/>
        </w:rPr>
      </w:pPr>
      <w:r>
        <w:rPr>
          <w:rFonts w:ascii="宋体" w:hAnsi="宋体" w:eastAsia="宋体"/>
        </w:rPr>
        <w:t>对</w:t>
      </w:r>
      <w:r>
        <w:rPr>
          <w:rFonts w:hint="eastAsia" w:ascii="宋体" w:hAnsi="宋体" w:eastAsia="宋体"/>
        </w:rPr>
        <w:t>形成的</w:t>
      </w:r>
      <w:r>
        <w:rPr>
          <w:rFonts w:ascii="宋体" w:hAnsi="宋体" w:eastAsia="宋体"/>
        </w:rPr>
        <w:t>需求进行优先级排序，</w:t>
      </w:r>
      <w:r>
        <w:rPr>
          <w:rFonts w:ascii="宋体" w:hAnsi="宋体" w:eastAsia="宋体"/>
          <w:szCs w:val="21"/>
        </w:rPr>
        <w:t>使用MoSCoW优先级排序法（必须有、应该有、可以有、不会有）</w:t>
      </w:r>
      <w:r>
        <w:rPr>
          <w:rFonts w:hint="eastAsia" w:ascii="宋体" w:hAnsi="宋体" w:eastAsia="宋体"/>
          <w:szCs w:val="21"/>
        </w:rPr>
        <w:t>，</w:t>
      </w:r>
      <w:r>
        <w:rPr>
          <w:rFonts w:ascii="宋体" w:hAnsi="宋体" w:eastAsia="宋体"/>
        </w:rPr>
        <w:t>确保关键需求优先实现。</w:t>
      </w:r>
    </w:p>
    <w:p w14:paraId="174DA81B">
      <w:pPr>
        <w:spacing w:line="360" w:lineRule="auto"/>
        <w:rPr>
          <w:rFonts w:hint="eastAsia" w:ascii="宋体" w:hAnsi="宋体" w:eastAsia="宋体"/>
          <w:b/>
          <w:bCs/>
        </w:rPr>
      </w:pPr>
      <w:r>
        <w:rPr>
          <w:rFonts w:ascii="宋体" w:hAnsi="宋体" w:eastAsia="宋体"/>
          <w:b/>
          <w:bCs/>
        </w:rPr>
        <w:t>2. 撰写</w:t>
      </w:r>
      <w:r>
        <w:rPr>
          <w:rFonts w:hint="eastAsia" w:ascii="宋体" w:hAnsi="宋体" w:eastAsia="宋体"/>
          <w:b/>
          <w:bCs/>
        </w:rPr>
        <w:t>二次开发</w:t>
      </w:r>
      <w:r>
        <w:rPr>
          <w:rFonts w:ascii="宋体" w:hAnsi="宋体" w:eastAsia="宋体"/>
          <w:b/>
          <w:bCs/>
        </w:rPr>
        <w:t>需求规格说明书</w:t>
      </w:r>
    </w:p>
    <w:p w14:paraId="1936C1AB">
      <w:pPr>
        <w:numPr>
          <w:ilvl w:val="0"/>
          <w:numId w:val="44"/>
        </w:numPr>
        <w:spacing w:line="360" w:lineRule="auto"/>
        <w:rPr>
          <w:rFonts w:hint="eastAsia" w:ascii="宋体" w:hAnsi="宋体" w:eastAsia="宋体"/>
        </w:rPr>
      </w:pPr>
      <w:r>
        <w:rPr>
          <w:rFonts w:ascii="宋体" w:hAnsi="宋体" w:eastAsia="宋体"/>
        </w:rPr>
        <w:t>详细描述</w:t>
      </w:r>
      <w:r>
        <w:rPr>
          <w:rFonts w:hint="eastAsia" w:ascii="宋体" w:hAnsi="宋体" w:eastAsia="宋体"/>
        </w:rPr>
        <w:t>本次项目建设需要对原有成熟产品功能进行更新迭代以及新功能的研发</w:t>
      </w:r>
      <w:r>
        <w:rPr>
          <w:rFonts w:ascii="宋体" w:hAnsi="宋体" w:eastAsia="宋体"/>
        </w:rPr>
        <w:t>需求、性能需求、安全需求等。</w:t>
      </w:r>
    </w:p>
    <w:p w14:paraId="64B076E4">
      <w:pPr>
        <w:numPr>
          <w:ilvl w:val="0"/>
          <w:numId w:val="44"/>
        </w:numPr>
        <w:spacing w:line="360" w:lineRule="auto"/>
        <w:rPr>
          <w:rFonts w:hint="eastAsia" w:ascii="宋体" w:hAnsi="宋体" w:eastAsia="宋体"/>
        </w:rPr>
      </w:pPr>
      <w:r>
        <w:rPr>
          <w:rFonts w:hint="eastAsia" w:ascii="宋体" w:hAnsi="宋体" w:eastAsia="宋体"/>
        </w:rPr>
        <w:t>根据烟草总公司本次项目建设需求</w:t>
      </w:r>
      <w:r>
        <w:rPr>
          <w:rFonts w:ascii="宋体" w:hAnsi="宋体" w:eastAsia="宋体"/>
        </w:rPr>
        <w:t>定义系统的用户角色、</w:t>
      </w:r>
      <w:r>
        <w:rPr>
          <w:rFonts w:hint="eastAsia" w:ascii="宋体" w:hAnsi="宋体" w:eastAsia="宋体"/>
        </w:rPr>
        <w:t>典型</w:t>
      </w:r>
      <w:r>
        <w:rPr>
          <w:rFonts w:ascii="宋体" w:hAnsi="宋体" w:eastAsia="宋体"/>
        </w:rPr>
        <w:t>用例场景和</w:t>
      </w:r>
      <w:r>
        <w:rPr>
          <w:rFonts w:hint="eastAsia" w:ascii="宋体" w:hAnsi="宋体" w:eastAsia="宋体"/>
        </w:rPr>
        <w:t>典型</w:t>
      </w:r>
      <w:r>
        <w:rPr>
          <w:rFonts w:ascii="宋体" w:hAnsi="宋体" w:eastAsia="宋体"/>
        </w:rPr>
        <w:t>交互流程。</w:t>
      </w:r>
    </w:p>
    <w:p w14:paraId="60CDE464">
      <w:pPr>
        <w:numPr>
          <w:ilvl w:val="0"/>
          <w:numId w:val="44"/>
        </w:numPr>
        <w:spacing w:line="360" w:lineRule="auto"/>
        <w:rPr>
          <w:rFonts w:hint="eastAsia" w:ascii="宋体" w:hAnsi="宋体" w:eastAsia="宋体"/>
        </w:rPr>
      </w:pPr>
      <w:r>
        <w:rPr>
          <w:rFonts w:ascii="宋体" w:hAnsi="宋体" w:eastAsia="宋体"/>
        </w:rPr>
        <w:t>制定</w:t>
      </w:r>
      <w:r>
        <w:rPr>
          <w:rFonts w:hint="eastAsia" w:ascii="宋体" w:hAnsi="宋体" w:eastAsia="宋体"/>
        </w:rPr>
        <w:t>二次开发需要的</w:t>
      </w:r>
      <w:r>
        <w:rPr>
          <w:rFonts w:ascii="宋体" w:hAnsi="宋体" w:eastAsia="宋体"/>
        </w:rPr>
        <w:t>数据字典，明确数据格式、来源和去向</w:t>
      </w:r>
      <w:r>
        <w:rPr>
          <w:rFonts w:hint="eastAsia" w:ascii="宋体" w:hAnsi="宋体" w:eastAsia="宋体"/>
        </w:rPr>
        <w:t>，并明确和烟草</w:t>
      </w:r>
      <w:r>
        <w:rPr>
          <w:rFonts w:hint="eastAsia" w:ascii="宋体" w:hAnsi="宋体" w:eastAsia="宋体" w:cs="宋体"/>
          <w:bCs/>
        </w:rPr>
        <w:t>行业数字中台包括业务中台、数据中台的数据交互需求</w:t>
      </w:r>
      <w:r>
        <w:rPr>
          <w:rFonts w:ascii="宋体" w:hAnsi="宋体" w:eastAsia="宋体"/>
        </w:rPr>
        <w:t>。</w:t>
      </w:r>
    </w:p>
    <w:p w14:paraId="55BFA8D1">
      <w:pPr>
        <w:spacing w:line="360" w:lineRule="auto"/>
        <w:rPr>
          <w:rFonts w:hint="eastAsia" w:ascii="宋体" w:hAnsi="宋体" w:eastAsia="宋体"/>
          <w:b/>
          <w:bCs/>
        </w:rPr>
      </w:pPr>
      <w:r>
        <w:rPr>
          <w:rFonts w:ascii="宋体" w:hAnsi="宋体" w:eastAsia="宋体"/>
          <w:b/>
          <w:bCs/>
        </w:rPr>
        <w:t>3. 需求评审与确认</w:t>
      </w:r>
    </w:p>
    <w:p w14:paraId="34BC479F">
      <w:pPr>
        <w:numPr>
          <w:ilvl w:val="0"/>
          <w:numId w:val="45"/>
        </w:numPr>
        <w:spacing w:line="360" w:lineRule="auto"/>
        <w:rPr>
          <w:rFonts w:hint="eastAsia" w:ascii="宋体" w:hAnsi="宋体" w:eastAsia="宋体"/>
        </w:rPr>
      </w:pPr>
      <w:r>
        <w:rPr>
          <w:rFonts w:ascii="宋体" w:hAnsi="宋体" w:eastAsia="宋体"/>
        </w:rPr>
        <w:t>组织</w:t>
      </w:r>
      <w:r>
        <w:rPr>
          <w:rFonts w:hint="eastAsia" w:ascii="宋体" w:hAnsi="宋体" w:eastAsia="宋体"/>
        </w:rPr>
        <w:t>烟草总公司</w:t>
      </w:r>
      <w:r>
        <w:rPr>
          <w:rFonts w:ascii="宋体" w:hAnsi="宋体" w:eastAsia="宋体"/>
        </w:rPr>
        <w:t>相关部门和</w:t>
      </w:r>
      <w:r>
        <w:rPr>
          <w:rFonts w:hint="eastAsia" w:ascii="宋体" w:hAnsi="宋体" w:eastAsia="宋体"/>
        </w:rPr>
        <w:t>业务场景最终</w:t>
      </w:r>
      <w:r>
        <w:rPr>
          <w:rFonts w:ascii="宋体" w:hAnsi="宋体" w:eastAsia="宋体"/>
        </w:rPr>
        <w:t>用户</w:t>
      </w:r>
      <w:r>
        <w:rPr>
          <w:rFonts w:hint="eastAsia" w:ascii="宋体" w:hAnsi="宋体" w:eastAsia="宋体"/>
        </w:rPr>
        <w:t>、项目组全体成员</w:t>
      </w:r>
      <w:r>
        <w:rPr>
          <w:rFonts w:ascii="宋体" w:hAnsi="宋体" w:eastAsia="宋体"/>
        </w:rPr>
        <w:t>进行需求评审，确保需求被正确理解</w:t>
      </w:r>
      <w:r>
        <w:rPr>
          <w:rFonts w:hint="eastAsia" w:ascii="宋体" w:hAnsi="宋体" w:eastAsia="宋体"/>
        </w:rPr>
        <w:t>、宣贯</w:t>
      </w:r>
      <w:r>
        <w:rPr>
          <w:rFonts w:ascii="宋体" w:hAnsi="宋体" w:eastAsia="宋体"/>
        </w:rPr>
        <w:t>和接受。</w:t>
      </w:r>
    </w:p>
    <w:p w14:paraId="3614759B">
      <w:pPr>
        <w:numPr>
          <w:ilvl w:val="0"/>
          <w:numId w:val="45"/>
        </w:numPr>
        <w:spacing w:line="360" w:lineRule="auto"/>
        <w:rPr>
          <w:rFonts w:hint="eastAsia" w:ascii="宋体" w:hAnsi="宋体" w:eastAsia="宋体"/>
        </w:rPr>
      </w:pPr>
      <w:r>
        <w:rPr>
          <w:rFonts w:ascii="宋体" w:hAnsi="宋体" w:eastAsia="宋体"/>
          <w:szCs w:val="21"/>
        </w:rPr>
        <w:t>记录评审意见，形成需求变更日志，确保所有变更经过正式审批</w:t>
      </w:r>
      <w:r>
        <w:rPr>
          <w:rFonts w:hint="eastAsia" w:ascii="宋体" w:hAnsi="宋体" w:eastAsia="宋体"/>
          <w:szCs w:val="21"/>
        </w:rPr>
        <w:t>，</w:t>
      </w:r>
      <w:r>
        <w:rPr>
          <w:rFonts w:ascii="宋体" w:hAnsi="宋体" w:eastAsia="宋体"/>
        </w:rPr>
        <w:t>根据评审反馈修改需求规格说明书，直至达成共识。</w:t>
      </w:r>
    </w:p>
    <w:p w14:paraId="49F082CA">
      <w:pPr>
        <w:pStyle w:val="6"/>
        <w:numPr>
          <w:ilvl w:val="2"/>
          <w:numId w:val="39"/>
        </w:numPr>
        <w:spacing w:before="260" w:after="260" w:line="416" w:lineRule="auto"/>
        <w:jc w:val="both"/>
        <w:rPr>
          <w:rFonts w:hint="eastAsia" w:ascii="宋体" w:hAnsi="宋体" w:cstheme="majorBidi"/>
          <w:szCs w:val="24"/>
        </w:rPr>
      </w:pPr>
      <w:bookmarkStart w:id="229" w:name="_Toc179751535"/>
      <w:bookmarkStart w:id="230" w:name="_Toc180265654"/>
      <w:r>
        <w:rPr>
          <w:rFonts w:ascii="宋体" w:hAnsi="宋体" w:cstheme="majorBidi"/>
          <w:szCs w:val="24"/>
        </w:rPr>
        <w:t>系统设计阶段</w:t>
      </w:r>
      <w:bookmarkEnd w:id="229"/>
      <w:bookmarkEnd w:id="230"/>
    </w:p>
    <w:p w14:paraId="2AD6642A">
      <w:pPr>
        <w:spacing w:line="360" w:lineRule="auto"/>
        <w:rPr>
          <w:rFonts w:hint="eastAsia" w:ascii="宋体" w:hAnsi="宋体" w:eastAsia="宋体"/>
        </w:rPr>
      </w:pPr>
      <w:r>
        <w:rPr>
          <w:rFonts w:ascii="宋体" w:hAnsi="宋体" w:eastAsia="宋体"/>
          <w:b/>
          <w:bCs/>
        </w:rPr>
        <w:t>1. 系统设计</w:t>
      </w:r>
    </w:p>
    <w:p w14:paraId="7DCD5E7E">
      <w:pPr>
        <w:numPr>
          <w:ilvl w:val="0"/>
          <w:numId w:val="46"/>
        </w:numPr>
        <w:spacing w:line="360" w:lineRule="auto"/>
        <w:rPr>
          <w:rFonts w:hint="eastAsia" w:ascii="宋体" w:hAnsi="宋体" w:eastAsia="宋体"/>
        </w:rPr>
      </w:pPr>
      <w:r>
        <w:rPr>
          <w:rFonts w:hint="eastAsia" w:ascii="宋体" w:hAnsi="宋体" w:eastAsia="宋体"/>
          <w:szCs w:val="21"/>
        </w:rPr>
        <w:t>在公司目前产品技术架构的基础上，全面适配烟草总公司</w:t>
      </w:r>
      <w:bookmarkStart w:id="231" w:name="_Hlk179555020"/>
      <w:r>
        <w:rPr>
          <w:rFonts w:hint="eastAsia" w:ascii="宋体" w:hAnsi="宋体" w:eastAsia="宋体" w:cs="宋体"/>
          <w:bCs/>
        </w:rPr>
        <w:t>行业云平台</w:t>
      </w:r>
      <w:bookmarkEnd w:id="231"/>
      <w:r>
        <w:rPr>
          <w:rFonts w:hint="eastAsia" w:ascii="宋体" w:hAnsi="宋体" w:eastAsia="宋体" w:cs="宋体"/>
          <w:bCs/>
        </w:rPr>
        <w:t>、行业数字中台、行业工业互联网平台、行业标识解析体系等既有技术体系架构，制定本次项目的技术架构，包括并不限于</w:t>
      </w:r>
      <w:r>
        <w:rPr>
          <w:rFonts w:hint="eastAsia" w:ascii="宋体" w:hAnsi="宋体" w:eastAsia="宋体"/>
        </w:rPr>
        <w:t>总体架构、集成架构、技术架构、功能架构、部署架构、数据架构等设计，并</w:t>
      </w:r>
      <w:r>
        <w:rPr>
          <w:rFonts w:ascii="宋体" w:hAnsi="宋体" w:eastAsia="宋体"/>
          <w:szCs w:val="21"/>
        </w:rPr>
        <w:t>根据系统规模和复杂度</w:t>
      </w:r>
      <w:r>
        <w:rPr>
          <w:rFonts w:hint="eastAsia" w:ascii="宋体" w:hAnsi="宋体" w:eastAsia="宋体"/>
          <w:szCs w:val="21"/>
        </w:rPr>
        <w:t>以及实施计划制定出本次项目所需的软硬件、第三方服务清单</w:t>
      </w:r>
      <w:r>
        <w:rPr>
          <w:rFonts w:ascii="宋体" w:hAnsi="宋体" w:eastAsia="宋体"/>
        </w:rPr>
        <w:t>。</w:t>
      </w:r>
    </w:p>
    <w:p w14:paraId="4AAF13AA">
      <w:pPr>
        <w:numPr>
          <w:ilvl w:val="0"/>
          <w:numId w:val="46"/>
        </w:numPr>
        <w:spacing w:line="360" w:lineRule="auto"/>
        <w:rPr>
          <w:rFonts w:hint="eastAsia" w:ascii="宋体" w:hAnsi="宋体" w:eastAsia="宋体"/>
        </w:rPr>
      </w:pPr>
      <w:r>
        <w:rPr>
          <w:rFonts w:hint="eastAsia" w:ascii="宋体" w:hAnsi="宋体" w:eastAsia="宋体"/>
          <w:szCs w:val="21"/>
        </w:rPr>
        <w:t>设计过程中充分</w:t>
      </w:r>
      <w:r>
        <w:rPr>
          <w:rFonts w:ascii="宋体" w:hAnsi="宋体" w:eastAsia="宋体"/>
          <w:szCs w:val="21"/>
        </w:rPr>
        <w:t>考虑</w:t>
      </w:r>
      <w:r>
        <w:rPr>
          <w:rFonts w:hint="eastAsia" w:ascii="宋体" w:hAnsi="宋体" w:eastAsia="宋体"/>
          <w:szCs w:val="21"/>
        </w:rPr>
        <w:t>本次项目</w:t>
      </w:r>
      <w:r>
        <w:rPr>
          <w:rFonts w:ascii="宋体" w:hAnsi="宋体" w:eastAsia="宋体"/>
          <w:szCs w:val="21"/>
        </w:rPr>
        <w:t>的高可用性和容错性</w:t>
      </w:r>
      <w:r>
        <w:rPr>
          <w:rFonts w:hint="eastAsia" w:ascii="宋体" w:hAnsi="宋体" w:eastAsia="宋体"/>
          <w:szCs w:val="21"/>
        </w:rPr>
        <w:t>需求</w:t>
      </w:r>
      <w:r>
        <w:rPr>
          <w:rFonts w:ascii="宋体" w:hAnsi="宋体" w:eastAsia="宋体"/>
          <w:szCs w:val="21"/>
        </w:rPr>
        <w:t>，设计负载均衡和故障转移策略。</w:t>
      </w:r>
    </w:p>
    <w:p w14:paraId="39923F65">
      <w:pPr>
        <w:numPr>
          <w:ilvl w:val="0"/>
          <w:numId w:val="46"/>
        </w:numPr>
        <w:spacing w:line="360" w:lineRule="auto"/>
        <w:rPr>
          <w:rFonts w:hint="eastAsia" w:ascii="宋体" w:hAnsi="宋体" w:eastAsia="宋体"/>
        </w:rPr>
      </w:pPr>
      <w:r>
        <w:rPr>
          <w:rFonts w:ascii="宋体" w:hAnsi="宋体" w:eastAsia="宋体"/>
        </w:rPr>
        <w:t>绘制系统</w:t>
      </w:r>
      <w:r>
        <w:rPr>
          <w:rFonts w:hint="eastAsia" w:ascii="宋体" w:hAnsi="宋体" w:eastAsia="宋体"/>
        </w:rPr>
        <w:t>边界</w:t>
      </w:r>
      <w:r>
        <w:rPr>
          <w:rFonts w:ascii="宋体" w:hAnsi="宋体" w:eastAsia="宋体"/>
        </w:rPr>
        <w:t>图，明确</w:t>
      </w:r>
      <w:r>
        <w:rPr>
          <w:rFonts w:hint="eastAsia" w:ascii="宋体" w:hAnsi="宋体" w:eastAsia="宋体"/>
        </w:rPr>
        <w:t>本次项目所建设系统与烟草总公司已有</w:t>
      </w:r>
      <w:r>
        <w:rPr>
          <w:rFonts w:hint="eastAsia" w:ascii="宋体" w:hAnsi="宋体" w:eastAsia="宋体" w:cs="宋体"/>
          <w:bCs/>
        </w:rPr>
        <w:t>一体化应用系统</w:t>
      </w:r>
      <w:r>
        <w:rPr>
          <w:rFonts w:ascii="宋体" w:hAnsi="宋体" w:eastAsia="宋体"/>
        </w:rPr>
        <w:t>之间的交互关系和数据流</w:t>
      </w:r>
      <w:r>
        <w:rPr>
          <w:rFonts w:hint="eastAsia" w:ascii="宋体" w:hAnsi="宋体" w:eastAsia="宋体"/>
        </w:rPr>
        <w:t>、审批流</w:t>
      </w:r>
      <w:r>
        <w:rPr>
          <w:rFonts w:ascii="宋体" w:hAnsi="宋体" w:eastAsia="宋体"/>
        </w:rPr>
        <w:t>。</w:t>
      </w:r>
    </w:p>
    <w:p w14:paraId="3A96C8FA">
      <w:pPr>
        <w:numPr>
          <w:ilvl w:val="0"/>
          <w:numId w:val="46"/>
        </w:numPr>
        <w:spacing w:line="360" w:lineRule="auto"/>
        <w:rPr>
          <w:rFonts w:hint="eastAsia" w:ascii="宋体" w:hAnsi="宋体" w:eastAsia="宋体"/>
        </w:rPr>
      </w:pPr>
      <w:r>
        <w:rPr>
          <w:rFonts w:hint="eastAsia" w:ascii="宋体" w:hAnsi="宋体" w:eastAsia="宋体"/>
        </w:rPr>
        <w:t>根据本次项目二次开发需求规格说明书及整体设计方案制定详细设计方案。</w:t>
      </w:r>
    </w:p>
    <w:p w14:paraId="45A8FD01">
      <w:pPr>
        <w:spacing w:line="360" w:lineRule="auto"/>
        <w:rPr>
          <w:rFonts w:hint="eastAsia" w:ascii="宋体" w:hAnsi="宋体" w:eastAsia="宋体"/>
        </w:rPr>
      </w:pPr>
      <w:r>
        <w:rPr>
          <w:rFonts w:ascii="宋体" w:hAnsi="宋体" w:eastAsia="宋体"/>
          <w:b/>
          <w:bCs/>
        </w:rPr>
        <w:t>2. 数据库设计</w:t>
      </w:r>
    </w:p>
    <w:p w14:paraId="7EFEF590">
      <w:pPr>
        <w:numPr>
          <w:ilvl w:val="0"/>
          <w:numId w:val="47"/>
        </w:numPr>
        <w:spacing w:line="360" w:lineRule="auto"/>
        <w:rPr>
          <w:rFonts w:hint="eastAsia" w:ascii="宋体" w:hAnsi="宋体" w:eastAsia="宋体"/>
        </w:rPr>
      </w:pPr>
      <w:r>
        <w:rPr>
          <w:rFonts w:hint="eastAsia" w:ascii="宋体" w:hAnsi="宋体" w:eastAsia="宋体"/>
        </w:rPr>
        <w:t>根据本次项目二次开发需求规格说明书和详细设计进行</w:t>
      </w:r>
      <w:r>
        <w:rPr>
          <w:rFonts w:ascii="宋体" w:hAnsi="宋体" w:eastAsia="宋体"/>
        </w:rPr>
        <w:t>数据库表结构、索引、约束等</w:t>
      </w:r>
      <w:r>
        <w:rPr>
          <w:rFonts w:hint="eastAsia" w:ascii="宋体" w:hAnsi="宋体" w:eastAsia="宋体"/>
        </w:rPr>
        <w:t>的调整和新增</w:t>
      </w:r>
      <w:r>
        <w:rPr>
          <w:rFonts w:ascii="宋体" w:hAnsi="宋体" w:eastAsia="宋体"/>
        </w:rPr>
        <w:t>，</w:t>
      </w:r>
      <w:r>
        <w:rPr>
          <w:rFonts w:hint="eastAsia" w:ascii="宋体" w:hAnsi="宋体" w:eastAsia="宋体"/>
        </w:rPr>
        <w:t>并</w:t>
      </w:r>
      <w:r>
        <w:rPr>
          <w:rFonts w:ascii="宋体" w:hAnsi="宋体" w:eastAsia="宋体"/>
        </w:rPr>
        <w:t>确保数据的一致性和完整性。</w:t>
      </w:r>
    </w:p>
    <w:p w14:paraId="161F8C3A">
      <w:pPr>
        <w:numPr>
          <w:ilvl w:val="0"/>
          <w:numId w:val="47"/>
        </w:numPr>
        <w:spacing w:line="360" w:lineRule="auto"/>
        <w:rPr>
          <w:rFonts w:hint="eastAsia" w:ascii="宋体" w:hAnsi="宋体" w:eastAsia="宋体"/>
        </w:rPr>
      </w:pPr>
      <w:r>
        <w:rPr>
          <w:rFonts w:ascii="宋体" w:hAnsi="宋体" w:eastAsia="宋体"/>
        </w:rPr>
        <w:t>编写SQL脚本，</w:t>
      </w:r>
      <w:r>
        <w:rPr>
          <w:rFonts w:hint="eastAsia" w:ascii="宋体" w:hAnsi="宋体" w:eastAsia="宋体"/>
        </w:rPr>
        <w:t>更新和</w:t>
      </w:r>
      <w:r>
        <w:rPr>
          <w:rFonts w:ascii="宋体" w:hAnsi="宋体" w:eastAsia="宋体"/>
        </w:rPr>
        <w:t>创建数据库和表。</w:t>
      </w:r>
    </w:p>
    <w:p w14:paraId="53534ABC">
      <w:pPr>
        <w:spacing w:line="360" w:lineRule="auto"/>
        <w:rPr>
          <w:rFonts w:hint="eastAsia" w:ascii="宋体" w:hAnsi="宋体" w:eastAsia="宋体"/>
        </w:rPr>
      </w:pPr>
      <w:r>
        <w:rPr>
          <w:rFonts w:ascii="宋体" w:hAnsi="宋体" w:eastAsia="宋体"/>
          <w:b/>
          <w:bCs/>
        </w:rPr>
        <w:t>3. 界面设计</w:t>
      </w:r>
    </w:p>
    <w:p w14:paraId="3D66FAF2">
      <w:pPr>
        <w:numPr>
          <w:ilvl w:val="0"/>
          <w:numId w:val="48"/>
        </w:numPr>
        <w:spacing w:line="360" w:lineRule="auto"/>
        <w:rPr>
          <w:rFonts w:hint="eastAsia" w:ascii="宋体" w:hAnsi="宋体" w:eastAsia="宋体"/>
        </w:rPr>
      </w:pPr>
      <w:r>
        <w:rPr>
          <w:rFonts w:hint="eastAsia" w:ascii="宋体" w:hAnsi="宋体" w:eastAsia="宋体"/>
        </w:rPr>
        <w:t>根据详细</w:t>
      </w:r>
      <w:r>
        <w:rPr>
          <w:rFonts w:ascii="宋体" w:hAnsi="宋体" w:eastAsia="宋体"/>
        </w:rPr>
        <w:t>设计</w:t>
      </w:r>
      <w:r>
        <w:rPr>
          <w:rFonts w:hint="eastAsia" w:ascii="宋体" w:hAnsi="宋体" w:eastAsia="宋体"/>
        </w:rPr>
        <w:t>中涉及的功能优化迭代和新增功能进行</w:t>
      </w:r>
      <w:r>
        <w:rPr>
          <w:rFonts w:ascii="宋体" w:hAnsi="宋体" w:eastAsia="宋体"/>
        </w:rPr>
        <w:t>用户界面</w:t>
      </w:r>
      <w:r>
        <w:rPr>
          <w:rFonts w:hint="eastAsia" w:ascii="宋体" w:hAnsi="宋体" w:eastAsia="宋体"/>
        </w:rPr>
        <w:t>的设计</w:t>
      </w:r>
      <w:r>
        <w:rPr>
          <w:rFonts w:ascii="宋体" w:hAnsi="宋体" w:eastAsia="宋体"/>
        </w:rPr>
        <w:t>，</w:t>
      </w:r>
      <w:r>
        <w:rPr>
          <w:rFonts w:hint="eastAsia" w:ascii="宋体" w:hAnsi="宋体" w:eastAsia="宋体"/>
        </w:rPr>
        <w:t>并</w:t>
      </w:r>
      <w:r>
        <w:rPr>
          <w:rFonts w:ascii="宋体" w:hAnsi="宋体" w:eastAsia="宋体"/>
        </w:rPr>
        <w:t>确保界面友好、易于操作。</w:t>
      </w:r>
    </w:p>
    <w:p w14:paraId="32B5D7ED">
      <w:pPr>
        <w:numPr>
          <w:ilvl w:val="0"/>
          <w:numId w:val="48"/>
        </w:numPr>
        <w:spacing w:line="360" w:lineRule="auto"/>
        <w:rPr>
          <w:rFonts w:hint="eastAsia" w:ascii="宋体" w:hAnsi="宋体" w:eastAsia="宋体"/>
        </w:rPr>
      </w:pPr>
      <w:r>
        <w:rPr>
          <w:rFonts w:hint="eastAsia" w:ascii="宋体" w:hAnsi="宋体" w:eastAsia="宋体"/>
        </w:rPr>
        <w:t>根据烟草总局信息系统建设要求和既有行业标识设计体系</w:t>
      </w:r>
      <w:r>
        <w:rPr>
          <w:rFonts w:ascii="宋体" w:hAnsi="宋体" w:eastAsia="宋体"/>
        </w:rPr>
        <w:t>制定</w:t>
      </w:r>
      <w:r>
        <w:rPr>
          <w:rFonts w:hint="eastAsia" w:ascii="宋体" w:hAnsi="宋体" w:eastAsia="宋体"/>
        </w:rPr>
        <w:t>本系统</w:t>
      </w:r>
      <w:r>
        <w:rPr>
          <w:rFonts w:ascii="宋体" w:hAnsi="宋体" w:eastAsia="宋体"/>
        </w:rPr>
        <w:t>界面设计规范和标准，确保界面风格</w:t>
      </w:r>
      <w:r>
        <w:rPr>
          <w:rFonts w:hint="eastAsia" w:ascii="宋体" w:hAnsi="宋体" w:eastAsia="宋体"/>
        </w:rPr>
        <w:t>和既有</w:t>
      </w:r>
      <w:r>
        <w:rPr>
          <w:rFonts w:hint="eastAsia" w:ascii="宋体" w:hAnsi="宋体" w:eastAsia="宋体" w:cs="宋体"/>
          <w:bCs/>
        </w:rPr>
        <w:t>一体化应用系统的</w:t>
      </w:r>
      <w:r>
        <w:rPr>
          <w:rFonts w:ascii="宋体" w:hAnsi="宋体" w:eastAsia="宋体"/>
        </w:rPr>
        <w:t>一致。</w:t>
      </w:r>
    </w:p>
    <w:p w14:paraId="052979EA">
      <w:pPr>
        <w:numPr>
          <w:ilvl w:val="0"/>
          <w:numId w:val="48"/>
        </w:numPr>
        <w:spacing w:line="360" w:lineRule="auto"/>
        <w:rPr>
          <w:rFonts w:hint="eastAsia" w:ascii="宋体" w:hAnsi="宋体" w:eastAsia="宋体"/>
        </w:rPr>
      </w:pPr>
      <w:r>
        <w:rPr>
          <w:rFonts w:ascii="宋体" w:hAnsi="宋体" w:eastAsia="宋体"/>
          <w:szCs w:val="21"/>
        </w:rPr>
        <w:t>遵循UI/UX设计原则，通过合理的布局、直观的导航、明确的反馈机制等，大大提高用户满意度和操作效率。</w:t>
      </w:r>
    </w:p>
    <w:p w14:paraId="2336BF2E">
      <w:pPr>
        <w:spacing w:line="360" w:lineRule="auto"/>
        <w:rPr>
          <w:rFonts w:hint="eastAsia" w:ascii="宋体" w:hAnsi="宋体" w:eastAsia="宋体"/>
        </w:rPr>
      </w:pPr>
      <w:r>
        <w:rPr>
          <w:rFonts w:ascii="宋体" w:hAnsi="宋体" w:eastAsia="宋体"/>
          <w:b/>
          <w:bCs/>
        </w:rPr>
        <w:t>4. 设计评审与确认</w:t>
      </w:r>
    </w:p>
    <w:p w14:paraId="065111E5">
      <w:pPr>
        <w:numPr>
          <w:ilvl w:val="0"/>
          <w:numId w:val="49"/>
        </w:numPr>
        <w:spacing w:line="360" w:lineRule="auto"/>
        <w:rPr>
          <w:rFonts w:hint="eastAsia" w:ascii="宋体" w:hAnsi="宋体" w:eastAsia="宋体"/>
        </w:rPr>
      </w:pPr>
      <w:r>
        <w:rPr>
          <w:rFonts w:ascii="宋体" w:hAnsi="宋体" w:eastAsia="宋体"/>
        </w:rPr>
        <w:t>组织</w:t>
      </w:r>
      <w:r>
        <w:rPr>
          <w:rFonts w:hint="eastAsia" w:ascii="宋体" w:hAnsi="宋体" w:eastAsia="宋体"/>
        </w:rPr>
        <w:t>烟草总公司</w:t>
      </w:r>
      <w:r>
        <w:rPr>
          <w:rFonts w:ascii="宋体" w:hAnsi="宋体" w:eastAsia="宋体"/>
        </w:rPr>
        <w:t>相关人员</w:t>
      </w:r>
      <w:r>
        <w:rPr>
          <w:rFonts w:hint="eastAsia" w:ascii="宋体" w:hAnsi="宋体" w:eastAsia="宋体"/>
        </w:rPr>
        <w:t>和整体项目组</w:t>
      </w:r>
      <w:r>
        <w:rPr>
          <w:rFonts w:ascii="宋体" w:hAnsi="宋体" w:eastAsia="宋体"/>
        </w:rPr>
        <w:t>对设计文档进行评审</w:t>
      </w:r>
      <w:r>
        <w:rPr>
          <w:rFonts w:hint="eastAsia" w:ascii="宋体" w:hAnsi="宋体" w:eastAsia="宋体"/>
        </w:rPr>
        <w:t>、宣贯</w:t>
      </w:r>
      <w:r>
        <w:rPr>
          <w:rFonts w:ascii="宋体" w:hAnsi="宋体" w:eastAsia="宋体"/>
        </w:rPr>
        <w:t>，确保设计满足需求且易于实现</w:t>
      </w:r>
      <w:r>
        <w:rPr>
          <w:rFonts w:hint="eastAsia" w:ascii="宋体" w:hAnsi="宋体" w:eastAsia="宋体"/>
        </w:rPr>
        <w:t>、并达成一致</w:t>
      </w:r>
      <w:r>
        <w:rPr>
          <w:rFonts w:ascii="宋体" w:hAnsi="宋体" w:eastAsia="宋体"/>
        </w:rPr>
        <w:t>。</w:t>
      </w:r>
    </w:p>
    <w:p w14:paraId="6F282AEC">
      <w:pPr>
        <w:numPr>
          <w:ilvl w:val="0"/>
          <w:numId w:val="49"/>
        </w:numPr>
        <w:spacing w:line="360" w:lineRule="auto"/>
        <w:rPr>
          <w:rFonts w:hint="eastAsia" w:ascii="宋体" w:hAnsi="宋体" w:eastAsia="宋体"/>
        </w:rPr>
      </w:pPr>
      <w:r>
        <w:rPr>
          <w:rFonts w:ascii="宋体" w:hAnsi="宋体" w:eastAsia="宋体"/>
        </w:rPr>
        <w:t>根据评审</w:t>
      </w:r>
      <w:r>
        <w:rPr>
          <w:rFonts w:hint="eastAsia" w:ascii="宋体" w:hAnsi="宋体" w:eastAsia="宋体"/>
        </w:rPr>
        <w:t>会上各方的</w:t>
      </w:r>
      <w:r>
        <w:rPr>
          <w:rFonts w:ascii="宋体" w:hAnsi="宋体" w:eastAsia="宋体"/>
        </w:rPr>
        <w:t>反馈修改设计文档，直至达成共识。</w:t>
      </w:r>
    </w:p>
    <w:p w14:paraId="73038A6E">
      <w:pPr>
        <w:pStyle w:val="6"/>
        <w:numPr>
          <w:ilvl w:val="2"/>
          <w:numId w:val="39"/>
        </w:numPr>
        <w:spacing w:before="260" w:after="260" w:line="416" w:lineRule="auto"/>
        <w:jc w:val="both"/>
        <w:rPr>
          <w:rFonts w:hint="eastAsia" w:ascii="宋体" w:hAnsi="宋体" w:cstheme="majorBidi"/>
          <w:szCs w:val="24"/>
        </w:rPr>
      </w:pPr>
      <w:bookmarkStart w:id="232" w:name="_Toc179751536"/>
      <w:bookmarkStart w:id="233" w:name="_Toc180265655"/>
      <w:r>
        <w:rPr>
          <w:rFonts w:ascii="宋体" w:hAnsi="宋体" w:cstheme="majorBidi"/>
          <w:szCs w:val="24"/>
        </w:rPr>
        <w:t>开发与测试阶段</w:t>
      </w:r>
      <w:bookmarkEnd w:id="232"/>
      <w:bookmarkEnd w:id="233"/>
    </w:p>
    <w:p w14:paraId="69E290F9">
      <w:pPr>
        <w:spacing w:line="360" w:lineRule="auto"/>
        <w:rPr>
          <w:rFonts w:hint="eastAsia" w:ascii="宋体" w:hAnsi="宋体" w:eastAsia="宋体"/>
        </w:rPr>
      </w:pPr>
      <w:r>
        <w:rPr>
          <w:rFonts w:ascii="宋体" w:hAnsi="宋体" w:eastAsia="宋体"/>
          <w:b/>
          <w:bCs/>
        </w:rPr>
        <w:t>1. 编码实现</w:t>
      </w:r>
    </w:p>
    <w:p w14:paraId="33E099C4">
      <w:pPr>
        <w:numPr>
          <w:ilvl w:val="0"/>
          <w:numId w:val="50"/>
        </w:numPr>
        <w:spacing w:line="360" w:lineRule="auto"/>
        <w:rPr>
          <w:rFonts w:hint="eastAsia" w:ascii="宋体" w:hAnsi="宋体" w:eastAsia="宋体"/>
        </w:rPr>
      </w:pPr>
      <w:r>
        <w:rPr>
          <w:rFonts w:ascii="宋体" w:hAnsi="宋体" w:eastAsia="宋体"/>
          <w:szCs w:val="21"/>
        </w:rPr>
        <w:t>遵循敏捷开发方法，采用短周期迭代，每周或</w:t>
      </w:r>
      <w:r>
        <w:rPr>
          <w:rFonts w:hint="eastAsia" w:ascii="宋体" w:hAnsi="宋体" w:eastAsia="宋体"/>
          <w:szCs w:val="21"/>
        </w:rPr>
        <w:t>两周</w:t>
      </w:r>
      <w:r>
        <w:rPr>
          <w:rFonts w:ascii="宋体" w:hAnsi="宋体" w:eastAsia="宋体"/>
          <w:szCs w:val="21"/>
        </w:rPr>
        <w:t>完成一个迭代周期</w:t>
      </w:r>
      <w:r>
        <w:rPr>
          <w:rFonts w:hint="eastAsia" w:ascii="宋体" w:hAnsi="宋体" w:eastAsia="宋体"/>
          <w:szCs w:val="21"/>
        </w:rPr>
        <w:t>,</w:t>
      </w:r>
      <w:r>
        <w:rPr>
          <w:rFonts w:ascii="宋体" w:hAnsi="宋体" w:eastAsia="宋体"/>
        </w:rPr>
        <w:t>开发人员根据</w:t>
      </w:r>
      <w:r>
        <w:rPr>
          <w:rFonts w:hint="eastAsia" w:ascii="宋体" w:hAnsi="宋体" w:eastAsia="宋体"/>
        </w:rPr>
        <w:t>详细</w:t>
      </w:r>
      <w:r>
        <w:rPr>
          <w:rFonts w:ascii="宋体" w:hAnsi="宋体" w:eastAsia="宋体"/>
        </w:rPr>
        <w:t>设计文档进行编码，实现系统功能</w:t>
      </w:r>
      <w:r>
        <w:rPr>
          <w:rFonts w:hint="eastAsia" w:ascii="宋体" w:hAnsi="宋体" w:eastAsia="宋体"/>
        </w:rPr>
        <w:t>的更新和新增功能的开发</w:t>
      </w:r>
      <w:r>
        <w:rPr>
          <w:rFonts w:ascii="宋体" w:hAnsi="宋体" w:eastAsia="宋体"/>
        </w:rPr>
        <w:t>。</w:t>
      </w:r>
    </w:p>
    <w:p w14:paraId="4A77D0F7">
      <w:pPr>
        <w:numPr>
          <w:ilvl w:val="0"/>
          <w:numId w:val="50"/>
        </w:numPr>
        <w:spacing w:line="360" w:lineRule="auto"/>
        <w:rPr>
          <w:rFonts w:hint="eastAsia" w:ascii="宋体" w:hAnsi="宋体" w:eastAsia="宋体"/>
        </w:rPr>
      </w:pPr>
      <w:r>
        <w:rPr>
          <w:rFonts w:hint="eastAsia" w:ascii="宋体" w:hAnsi="宋体" w:eastAsia="宋体"/>
          <w:szCs w:val="21"/>
        </w:rPr>
        <w:t>本次项目团队</w:t>
      </w:r>
      <w:r>
        <w:rPr>
          <w:rFonts w:ascii="宋体" w:hAnsi="宋体" w:eastAsia="宋体"/>
          <w:szCs w:val="21"/>
        </w:rPr>
        <w:t>使用</w:t>
      </w:r>
      <w:r>
        <w:rPr>
          <w:rFonts w:hint="eastAsia" w:ascii="宋体" w:hAnsi="宋体" w:eastAsia="宋体"/>
          <w:szCs w:val="21"/>
        </w:rPr>
        <w:t>烟草总公司</w:t>
      </w:r>
      <w:r>
        <w:rPr>
          <w:rFonts w:hint="eastAsia" w:ascii="宋体" w:hAnsi="宋体" w:eastAsia="宋体" w:cs="宋体"/>
          <w:szCs w:val="21"/>
        </w:rPr>
        <w:t>数字中台研发管控平台进行</w:t>
      </w:r>
      <w:r>
        <w:rPr>
          <w:rFonts w:ascii="宋体" w:hAnsi="宋体" w:eastAsia="宋体"/>
          <w:szCs w:val="21"/>
        </w:rPr>
        <w:t>代码管理</w:t>
      </w:r>
      <w:r>
        <w:rPr>
          <w:rFonts w:hint="eastAsia" w:ascii="宋体" w:hAnsi="宋体" w:eastAsia="宋体"/>
          <w:szCs w:val="21"/>
        </w:rPr>
        <w:t>和</w:t>
      </w:r>
      <w:r>
        <w:rPr>
          <w:rFonts w:ascii="宋体" w:hAnsi="宋体" w:eastAsia="宋体"/>
          <w:szCs w:val="21"/>
        </w:rPr>
        <w:t>版本控制，</w:t>
      </w:r>
      <w:r>
        <w:rPr>
          <w:rFonts w:hint="eastAsia" w:ascii="宋体" w:hAnsi="宋体" w:eastAsia="宋体"/>
          <w:szCs w:val="21"/>
        </w:rPr>
        <w:t>所有代码提交到</w:t>
      </w:r>
      <w:r>
        <w:rPr>
          <w:rFonts w:hint="eastAsia" w:ascii="宋体" w:hAnsi="宋体" w:eastAsia="宋体" w:cs="宋体"/>
          <w:szCs w:val="21"/>
        </w:rPr>
        <w:t>行业云平台节点代码仓，并</w:t>
      </w:r>
      <w:r>
        <w:rPr>
          <w:rFonts w:ascii="宋体" w:hAnsi="宋体" w:eastAsia="宋体"/>
          <w:szCs w:val="21"/>
        </w:rPr>
        <w:t>确保代码的可追溯性和可合并性</w:t>
      </w:r>
      <w:r>
        <w:rPr>
          <w:rFonts w:ascii="宋体" w:hAnsi="宋体" w:eastAsia="宋体"/>
        </w:rPr>
        <w:t>。</w:t>
      </w:r>
    </w:p>
    <w:p w14:paraId="7198689F">
      <w:pPr>
        <w:pStyle w:val="73"/>
        <w:numPr>
          <w:ilvl w:val="0"/>
          <w:numId w:val="50"/>
        </w:numPr>
        <w:spacing w:line="360" w:lineRule="auto"/>
        <w:ind w:firstLineChars="0"/>
        <w:jc w:val="left"/>
        <w:rPr>
          <w:rFonts w:hint="eastAsia" w:ascii="宋体" w:hAnsi="宋体" w:eastAsia="宋体" w:cs="宋体"/>
          <w:szCs w:val="21"/>
        </w:rPr>
      </w:pPr>
      <w:r>
        <w:rPr>
          <w:rFonts w:hint="eastAsia" w:ascii="宋体" w:hAnsi="宋体" w:eastAsia="宋体" w:cs="宋体"/>
          <w:szCs w:val="21"/>
        </w:rPr>
        <w:t>本次项目编码按照烟草总公司的技术开发规范中的代码注释要求，合理注释代码文件的摘要、版本信息，以及类、函数方法、代码块的用途和使用方法。</w:t>
      </w:r>
    </w:p>
    <w:p w14:paraId="7EF2943E">
      <w:pPr>
        <w:spacing w:line="360" w:lineRule="auto"/>
        <w:rPr>
          <w:rFonts w:hint="eastAsia" w:ascii="宋体" w:hAnsi="宋体" w:eastAsia="宋体"/>
        </w:rPr>
      </w:pPr>
      <w:r>
        <w:rPr>
          <w:rFonts w:ascii="宋体" w:hAnsi="宋体" w:eastAsia="宋体"/>
          <w:b/>
          <w:bCs/>
        </w:rPr>
        <w:t>2. 代码审查</w:t>
      </w:r>
    </w:p>
    <w:p w14:paraId="3B2E11B9">
      <w:pPr>
        <w:numPr>
          <w:ilvl w:val="0"/>
          <w:numId w:val="51"/>
        </w:numPr>
        <w:spacing w:line="360" w:lineRule="auto"/>
        <w:rPr>
          <w:rFonts w:hint="eastAsia" w:ascii="宋体" w:hAnsi="宋体" w:eastAsia="宋体"/>
        </w:rPr>
      </w:pPr>
      <w:r>
        <w:rPr>
          <w:rFonts w:hint="eastAsia" w:ascii="宋体" w:hAnsi="宋体" w:eastAsia="宋体"/>
          <w:szCs w:val="21"/>
        </w:rPr>
        <w:t>本次项目研发团队内部</w:t>
      </w:r>
      <w:r>
        <w:rPr>
          <w:rFonts w:ascii="宋体" w:hAnsi="宋体" w:eastAsia="宋体"/>
          <w:szCs w:val="21"/>
        </w:rPr>
        <w:t>实行双人审查制度</w:t>
      </w:r>
      <w:r>
        <w:rPr>
          <w:rFonts w:hint="eastAsia" w:ascii="宋体" w:hAnsi="宋体" w:eastAsia="宋体"/>
          <w:szCs w:val="21"/>
        </w:rPr>
        <w:t>（AB角色）</w:t>
      </w:r>
      <w:r>
        <w:rPr>
          <w:rFonts w:ascii="宋体" w:hAnsi="宋体" w:eastAsia="宋体"/>
          <w:szCs w:val="21"/>
        </w:rPr>
        <w:t>，</w:t>
      </w:r>
      <w:r>
        <w:rPr>
          <w:rFonts w:hint="eastAsia" w:ascii="宋体" w:hAnsi="宋体" w:eastAsia="宋体"/>
          <w:szCs w:val="21"/>
        </w:rPr>
        <w:t>为</w:t>
      </w:r>
      <w:r>
        <w:rPr>
          <w:rFonts w:ascii="宋体" w:hAnsi="宋体" w:eastAsia="宋体"/>
          <w:szCs w:val="21"/>
        </w:rPr>
        <w:t>确保代码质量</w:t>
      </w:r>
      <w:r>
        <w:rPr>
          <w:rFonts w:hint="eastAsia" w:ascii="宋体" w:hAnsi="宋体" w:eastAsia="宋体"/>
          <w:szCs w:val="21"/>
        </w:rPr>
        <w:t>,各研发小组组长</w:t>
      </w:r>
      <w:r>
        <w:rPr>
          <w:rFonts w:ascii="宋体" w:hAnsi="宋体" w:eastAsia="宋体"/>
        </w:rPr>
        <w:t>定期进行代码</w:t>
      </w:r>
      <w:r>
        <w:rPr>
          <w:rFonts w:hint="eastAsia" w:ascii="宋体" w:hAnsi="宋体" w:eastAsia="宋体"/>
        </w:rPr>
        <w:t>抽</w:t>
      </w:r>
      <w:r>
        <w:rPr>
          <w:rFonts w:ascii="宋体" w:hAnsi="宋体" w:eastAsia="宋体"/>
        </w:rPr>
        <w:t>查，发现潜在问题及时</w:t>
      </w:r>
      <w:r>
        <w:rPr>
          <w:rFonts w:hint="eastAsia" w:ascii="宋体" w:hAnsi="宋体" w:eastAsia="宋体"/>
        </w:rPr>
        <w:t>进行纠正并进行团队内部宣贯</w:t>
      </w:r>
      <w:r>
        <w:rPr>
          <w:rFonts w:ascii="宋体" w:hAnsi="宋体" w:eastAsia="宋体"/>
        </w:rPr>
        <w:t>。</w:t>
      </w:r>
    </w:p>
    <w:p w14:paraId="716AC224">
      <w:pPr>
        <w:numPr>
          <w:ilvl w:val="0"/>
          <w:numId w:val="51"/>
        </w:numPr>
        <w:spacing w:line="360" w:lineRule="auto"/>
        <w:rPr>
          <w:rFonts w:hint="eastAsia" w:ascii="宋体" w:hAnsi="宋体" w:eastAsia="宋体"/>
        </w:rPr>
      </w:pPr>
      <w:r>
        <w:rPr>
          <w:rFonts w:ascii="宋体" w:hAnsi="宋体" w:eastAsia="宋体"/>
        </w:rPr>
        <w:t>确保代码的可读性、可维护性和可扩展性。</w:t>
      </w:r>
    </w:p>
    <w:p w14:paraId="27A6DA69">
      <w:pPr>
        <w:numPr>
          <w:ilvl w:val="0"/>
          <w:numId w:val="51"/>
        </w:numPr>
        <w:spacing w:line="360" w:lineRule="auto"/>
        <w:rPr>
          <w:rFonts w:hint="eastAsia" w:ascii="宋体" w:hAnsi="宋体" w:eastAsia="宋体"/>
        </w:rPr>
      </w:pPr>
      <w:r>
        <w:rPr>
          <w:rFonts w:ascii="宋体" w:hAnsi="宋体" w:eastAsia="宋体"/>
          <w:szCs w:val="21"/>
        </w:rPr>
        <w:t>使用静态代码分析工具（SonarQube）辅助审查。</w:t>
      </w:r>
    </w:p>
    <w:p w14:paraId="4715C762">
      <w:pPr>
        <w:spacing w:line="360" w:lineRule="auto"/>
        <w:rPr>
          <w:rFonts w:hint="eastAsia" w:ascii="宋体" w:hAnsi="宋体" w:eastAsia="宋体"/>
        </w:rPr>
      </w:pPr>
      <w:r>
        <w:rPr>
          <w:rFonts w:ascii="宋体" w:hAnsi="宋体" w:eastAsia="宋体"/>
          <w:b/>
          <w:bCs/>
        </w:rPr>
        <w:t>3. 单元测试</w:t>
      </w:r>
    </w:p>
    <w:p w14:paraId="298EE141">
      <w:pPr>
        <w:numPr>
          <w:ilvl w:val="0"/>
          <w:numId w:val="52"/>
        </w:numPr>
        <w:spacing w:line="360" w:lineRule="auto"/>
        <w:rPr>
          <w:rFonts w:hint="eastAsia" w:ascii="宋体" w:hAnsi="宋体" w:eastAsia="宋体"/>
        </w:rPr>
      </w:pPr>
      <w:r>
        <w:rPr>
          <w:rFonts w:hint="eastAsia" w:ascii="宋体" w:hAnsi="宋体" w:eastAsia="宋体"/>
        </w:rPr>
        <w:t>每个研发小组确保</w:t>
      </w:r>
      <w:r>
        <w:rPr>
          <w:rFonts w:ascii="宋体" w:hAnsi="宋体" w:eastAsia="宋体"/>
        </w:rPr>
        <w:t>开发人员</w:t>
      </w:r>
      <w:r>
        <w:rPr>
          <w:rFonts w:hint="eastAsia" w:ascii="宋体" w:hAnsi="宋体" w:eastAsia="宋体"/>
        </w:rPr>
        <w:t>自行</w:t>
      </w:r>
      <w:r>
        <w:rPr>
          <w:rFonts w:ascii="宋体" w:hAnsi="宋体" w:eastAsia="宋体"/>
        </w:rPr>
        <w:t>编写单元测试，对代码进行功能测试。</w:t>
      </w:r>
    </w:p>
    <w:p w14:paraId="69644E9B">
      <w:pPr>
        <w:numPr>
          <w:ilvl w:val="0"/>
          <w:numId w:val="52"/>
        </w:numPr>
        <w:spacing w:line="360" w:lineRule="auto"/>
        <w:rPr>
          <w:rFonts w:hint="eastAsia" w:ascii="宋体" w:hAnsi="宋体" w:eastAsia="宋体"/>
        </w:rPr>
      </w:pPr>
      <w:r>
        <w:rPr>
          <w:rFonts w:ascii="宋体" w:hAnsi="宋体" w:eastAsia="宋体"/>
        </w:rPr>
        <w:t>确保每个模块的功能正常，符合预期。</w:t>
      </w:r>
    </w:p>
    <w:p w14:paraId="482881E6">
      <w:pPr>
        <w:numPr>
          <w:ilvl w:val="0"/>
          <w:numId w:val="52"/>
        </w:numPr>
        <w:spacing w:line="360" w:lineRule="auto"/>
        <w:rPr>
          <w:rFonts w:hint="eastAsia" w:ascii="宋体" w:hAnsi="宋体" w:eastAsia="宋体"/>
        </w:rPr>
      </w:pPr>
      <w:r>
        <w:rPr>
          <w:rFonts w:ascii="宋体" w:hAnsi="宋体" w:eastAsia="宋体"/>
          <w:szCs w:val="21"/>
        </w:rPr>
        <w:t>使用测试框架（JUnit、PyTest）进行自动化测试。</w:t>
      </w:r>
    </w:p>
    <w:p w14:paraId="550C3C7B">
      <w:pPr>
        <w:spacing w:line="360" w:lineRule="auto"/>
        <w:rPr>
          <w:rFonts w:hint="eastAsia" w:ascii="宋体" w:hAnsi="宋体" w:eastAsia="宋体"/>
        </w:rPr>
      </w:pPr>
      <w:r>
        <w:rPr>
          <w:rFonts w:ascii="宋体" w:hAnsi="宋体" w:eastAsia="宋体"/>
          <w:b/>
          <w:bCs/>
        </w:rPr>
        <w:t>4. 集成测试</w:t>
      </w:r>
    </w:p>
    <w:p w14:paraId="5179120D">
      <w:pPr>
        <w:numPr>
          <w:ilvl w:val="0"/>
          <w:numId w:val="53"/>
        </w:numPr>
        <w:spacing w:line="360" w:lineRule="auto"/>
        <w:rPr>
          <w:rFonts w:hint="eastAsia" w:ascii="宋体" w:hAnsi="宋体" w:eastAsia="宋体"/>
        </w:rPr>
      </w:pPr>
      <w:r>
        <w:rPr>
          <w:rFonts w:hint="eastAsia" w:ascii="宋体" w:hAnsi="宋体" w:eastAsia="宋体"/>
          <w:szCs w:val="21"/>
        </w:rPr>
        <w:t>充分利用烟草总公司</w:t>
      </w:r>
      <w:r>
        <w:rPr>
          <w:rFonts w:hint="eastAsia" w:ascii="宋体" w:hAnsi="宋体" w:eastAsia="宋体" w:cs="宋体"/>
          <w:szCs w:val="21"/>
        </w:rPr>
        <w:t>研发管控平台，</w:t>
      </w:r>
      <w:r>
        <w:rPr>
          <w:rFonts w:ascii="宋体" w:hAnsi="宋体" w:eastAsia="宋体"/>
          <w:szCs w:val="21"/>
        </w:rPr>
        <w:t>采用持续集成/持续部署（CI/CD）流程，自动化构建、测试和部署</w:t>
      </w:r>
      <w:r>
        <w:rPr>
          <w:rFonts w:hint="eastAsia" w:ascii="宋体" w:hAnsi="宋体" w:eastAsia="宋体"/>
          <w:szCs w:val="21"/>
        </w:rPr>
        <w:t>,</w:t>
      </w:r>
      <w:r>
        <w:rPr>
          <w:rFonts w:ascii="宋体" w:hAnsi="宋体" w:eastAsia="宋体"/>
        </w:rPr>
        <w:t>将各个模块集成在一起，进行整体测试。</w:t>
      </w:r>
    </w:p>
    <w:p w14:paraId="2CB64E9F">
      <w:pPr>
        <w:numPr>
          <w:ilvl w:val="0"/>
          <w:numId w:val="53"/>
        </w:numPr>
        <w:spacing w:line="360" w:lineRule="auto"/>
        <w:rPr>
          <w:rFonts w:hint="eastAsia" w:ascii="宋体" w:hAnsi="宋体" w:eastAsia="宋体"/>
        </w:rPr>
      </w:pPr>
      <w:r>
        <w:rPr>
          <w:rFonts w:hint="eastAsia" w:ascii="宋体" w:hAnsi="宋体" w:eastAsia="宋体"/>
        </w:rPr>
        <w:t>根据系统业务流、数据流的规划设计，完成集成测试，</w:t>
      </w:r>
      <w:r>
        <w:rPr>
          <w:rFonts w:ascii="宋体" w:hAnsi="宋体" w:eastAsia="宋体"/>
        </w:rPr>
        <w:t>确保模块之间的交互正常，流转正确。</w:t>
      </w:r>
    </w:p>
    <w:p w14:paraId="68F2F1B1">
      <w:pPr>
        <w:numPr>
          <w:ilvl w:val="0"/>
          <w:numId w:val="53"/>
        </w:numPr>
        <w:spacing w:line="360" w:lineRule="auto"/>
        <w:rPr>
          <w:rFonts w:hint="eastAsia" w:ascii="宋体" w:hAnsi="宋体" w:eastAsia="宋体"/>
        </w:rPr>
      </w:pPr>
      <w:r>
        <w:rPr>
          <w:rFonts w:hint="eastAsia" w:ascii="宋体" w:hAnsi="宋体" w:eastAsia="宋体"/>
          <w:szCs w:val="21"/>
        </w:rPr>
        <w:t>本次项目</w:t>
      </w:r>
      <w:r>
        <w:rPr>
          <w:rFonts w:ascii="宋体" w:hAnsi="宋体" w:eastAsia="宋体"/>
          <w:szCs w:val="21"/>
        </w:rPr>
        <w:t>使用集成测试工具（Selenium、JMeter）进行性能测试和兼容性测试。</w:t>
      </w:r>
    </w:p>
    <w:p w14:paraId="4B2EFB87">
      <w:pPr>
        <w:spacing w:line="360" w:lineRule="auto"/>
        <w:rPr>
          <w:rFonts w:hint="eastAsia" w:ascii="宋体" w:hAnsi="宋体" w:eastAsia="宋体"/>
        </w:rPr>
      </w:pPr>
      <w:r>
        <w:rPr>
          <w:rFonts w:ascii="宋体" w:hAnsi="宋体" w:eastAsia="宋体"/>
          <w:b/>
          <w:bCs/>
        </w:rPr>
        <w:t>5. 系统测试</w:t>
      </w:r>
    </w:p>
    <w:p w14:paraId="647436EB">
      <w:pPr>
        <w:numPr>
          <w:ilvl w:val="0"/>
          <w:numId w:val="54"/>
        </w:numPr>
        <w:spacing w:line="360" w:lineRule="auto"/>
        <w:rPr>
          <w:rFonts w:hint="eastAsia" w:ascii="宋体" w:hAnsi="宋体" w:eastAsia="宋体"/>
        </w:rPr>
      </w:pPr>
      <w:r>
        <w:rPr>
          <w:rFonts w:hint="eastAsia" w:ascii="宋体" w:hAnsi="宋体" w:eastAsia="宋体"/>
          <w:szCs w:val="21"/>
        </w:rPr>
        <w:t>项目测试组负责</w:t>
      </w:r>
      <w:r>
        <w:rPr>
          <w:rFonts w:ascii="宋体" w:hAnsi="宋体" w:eastAsia="宋体"/>
          <w:szCs w:val="21"/>
        </w:rPr>
        <w:t>编写系统测试用例，覆盖所有业务场景</w:t>
      </w:r>
      <w:r>
        <w:rPr>
          <w:rFonts w:hint="eastAsia" w:ascii="宋体" w:hAnsi="宋体" w:eastAsia="宋体"/>
          <w:szCs w:val="21"/>
        </w:rPr>
        <w:t>，尤其根据烟草行业需求定制开发的优化迭代功能和新增功能</w:t>
      </w:r>
      <w:r>
        <w:rPr>
          <w:rFonts w:ascii="宋体" w:hAnsi="宋体" w:eastAsia="宋体"/>
          <w:szCs w:val="21"/>
        </w:rPr>
        <w:t>。</w:t>
      </w:r>
    </w:p>
    <w:p w14:paraId="596BBD25">
      <w:pPr>
        <w:numPr>
          <w:ilvl w:val="0"/>
          <w:numId w:val="54"/>
        </w:numPr>
        <w:spacing w:line="360" w:lineRule="auto"/>
        <w:rPr>
          <w:rFonts w:hint="eastAsia" w:ascii="宋体" w:hAnsi="宋体" w:eastAsia="宋体"/>
        </w:rPr>
      </w:pPr>
      <w:r>
        <w:rPr>
          <w:rFonts w:ascii="宋体" w:hAnsi="宋体" w:eastAsia="宋体"/>
        </w:rPr>
        <w:t>对系统进行全面的测试，包括功能测试、性能测试、安全测试等</w:t>
      </w:r>
      <w:r>
        <w:rPr>
          <w:rFonts w:ascii="宋体" w:hAnsi="宋体" w:eastAsia="宋体"/>
          <w:szCs w:val="21"/>
        </w:rPr>
        <w:t>，</w:t>
      </w:r>
      <w:r>
        <w:rPr>
          <w:rFonts w:hint="eastAsia" w:ascii="宋体" w:hAnsi="宋体" w:eastAsia="宋体"/>
          <w:szCs w:val="21"/>
        </w:rPr>
        <w:t>充分考虑烟草行业和招标采购业态的高并发时间段相对集中的特点，做好</w:t>
      </w:r>
      <w:r>
        <w:rPr>
          <w:rFonts w:ascii="宋体" w:hAnsi="宋体" w:eastAsia="宋体"/>
          <w:szCs w:val="21"/>
        </w:rPr>
        <w:t>压力测试和回归测试</w:t>
      </w:r>
      <w:r>
        <w:rPr>
          <w:rFonts w:hint="eastAsia" w:ascii="宋体" w:hAnsi="宋体" w:eastAsia="宋体"/>
          <w:szCs w:val="21"/>
        </w:rPr>
        <w:t>，</w:t>
      </w:r>
      <w:r>
        <w:rPr>
          <w:rFonts w:ascii="宋体" w:hAnsi="宋体" w:eastAsia="宋体"/>
          <w:szCs w:val="21"/>
        </w:rPr>
        <w:t>确保系统稳定可靠。</w:t>
      </w:r>
    </w:p>
    <w:p w14:paraId="1544243D">
      <w:pPr>
        <w:numPr>
          <w:ilvl w:val="0"/>
          <w:numId w:val="54"/>
        </w:numPr>
        <w:spacing w:line="360" w:lineRule="auto"/>
        <w:rPr>
          <w:rFonts w:hint="eastAsia" w:ascii="宋体" w:hAnsi="宋体" w:eastAsia="宋体"/>
        </w:rPr>
      </w:pPr>
      <w:r>
        <w:rPr>
          <w:rFonts w:ascii="宋体" w:hAnsi="宋体" w:eastAsia="宋体"/>
        </w:rPr>
        <w:t>确保系统满足</w:t>
      </w:r>
      <w:r>
        <w:rPr>
          <w:rFonts w:hint="eastAsia" w:ascii="宋体" w:hAnsi="宋体" w:eastAsia="宋体"/>
        </w:rPr>
        <w:t>二次开发</w:t>
      </w:r>
      <w:r>
        <w:rPr>
          <w:rFonts w:ascii="宋体" w:hAnsi="宋体" w:eastAsia="宋体"/>
        </w:rPr>
        <w:t>需求规格说明书的</w:t>
      </w:r>
      <w:r>
        <w:rPr>
          <w:rFonts w:hint="eastAsia" w:ascii="宋体" w:hAnsi="宋体" w:eastAsia="宋体"/>
        </w:rPr>
        <w:t>所有</w:t>
      </w:r>
      <w:r>
        <w:rPr>
          <w:rFonts w:ascii="宋体" w:hAnsi="宋体" w:eastAsia="宋体"/>
        </w:rPr>
        <w:t>要求，稳定可靠。</w:t>
      </w:r>
    </w:p>
    <w:p w14:paraId="722EEBEF">
      <w:pPr>
        <w:spacing w:line="360" w:lineRule="auto"/>
        <w:rPr>
          <w:rFonts w:hint="eastAsia" w:ascii="宋体" w:hAnsi="宋体" w:eastAsia="宋体"/>
        </w:rPr>
      </w:pPr>
      <w:r>
        <w:rPr>
          <w:rFonts w:ascii="宋体" w:hAnsi="宋体" w:eastAsia="宋体"/>
          <w:b/>
          <w:bCs/>
        </w:rPr>
        <w:t>6. 用户验收测试</w:t>
      </w:r>
    </w:p>
    <w:p w14:paraId="0D1E1D5F">
      <w:pPr>
        <w:numPr>
          <w:ilvl w:val="0"/>
          <w:numId w:val="55"/>
        </w:numPr>
        <w:spacing w:line="360" w:lineRule="auto"/>
        <w:rPr>
          <w:rFonts w:hint="eastAsia" w:ascii="宋体" w:hAnsi="宋体" w:eastAsia="宋体"/>
          <w:szCs w:val="21"/>
        </w:rPr>
      </w:pPr>
      <w:r>
        <w:rPr>
          <w:rFonts w:ascii="宋体" w:hAnsi="宋体" w:eastAsia="宋体"/>
          <w:szCs w:val="21"/>
        </w:rPr>
        <w:t>组织</w:t>
      </w:r>
      <w:r>
        <w:rPr>
          <w:rFonts w:hint="eastAsia" w:ascii="宋体" w:hAnsi="宋体" w:eastAsia="宋体"/>
          <w:szCs w:val="21"/>
        </w:rPr>
        <w:t>烟草</w:t>
      </w:r>
      <w:r>
        <w:rPr>
          <w:rFonts w:ascii="宋体" w:hAnsi="宋体" w:eastAsia="宋体"/>
          <w:szCs w:val="21"/>
        </w:rPr>
        <w:t>用户</w:t>
      </w:r>
      <w:r>
        <w:rPr>
          <w:rFonts w:hint="eastAsia" w:ascii="宋体" w:hAnsi="宋体" w:eastAsia="宋体"/>
          <w:szCs w:val="21"/>
        </w:rPr>
        <w:t>及部分代理机构</w:t>
      </w:r>
      <w:r>
        <w:rPr>
          <w:rFonts w:ascii="宋体" w:hAnsi="宋体" w:eastAsia="宋体"/>
          <w:szCs w:val="21"/>
        </w:rPr>
        <w:t>进行</w:t>
      </w:r>
      <w:r>
        <w:rPr>
          <w:rFonts w:hint="eastAsia" w:ascii="宋体" w:hAnsi="宋体" w:eastAsia="宋体"/>
          <w:szCs w:val="21"/>
        </w:rPr>
        <w:t>招标采购</w:t>
      </w:r>
      <w:r>
        <w:rPr>
          <w:rFonts w:ascii="宋体" w:hAnsi="宋体" w:eastAsia="宋体"/>
          <w:szCs w:val="21"/>
        </w:rPr>
        <w:t>实际业务场景下的测试，收集反馈</w:t>
      </w:r>
      <w:r>
        <w:rPr>
          <w:rFonts w:hint="eastAsia" w:ascii="宋体" w:hAnsi="宋体" w:eastAsia="宋体"/>
          <w:szCs w:val="21"/>
        </w:rPr>
        <w:t>问题和优化意见</w:t>
      </w:r>
      <w:r>
        <w:rPr>
          <w:rFonts w:ascii="宋体" w:hAnsi="宋体" w:eastAsia="宋体"/>
        </w:rPr>
        <w:t>。</w:t>
      </w:r>
    </w:p>
    <w:p w14:paraId="57598E91">
      <w:pPr>
        <w:numPr>
          <w:ilvl w:val="0"/>
          <w:numId w:val="55"/>
        </w:numPr>
        <w:spacing w:line="360" w:lineRule="auto"/>
        <w:rPr>
          <w:rFonts w:hint="eastAsia" w:ascii="宋体" w:hAnsi="宋体" w:eastAsia="宋体"/>
        </w:rPr>
      </w:pPr>
      <w:r>
        <w:rPr>
          <w:rFonts w:hint="eastAsia" w:ascii="宋体" w:hAnsi="宋体" w:eastAsia="宋体"/>
        </w:rPr>
        <w:t>项目产品团队、研发团队</w:t>
      </w:r>
      <w:r>
        <w:rPr>
          <w:rFonts w:ascii="宋体" w:hAnsi="宋体" w:eastAsia="宋体"/>
        </w:rPr>
        <w:t>根据</w:t>
      </w:r>
      <w:r>
        <w:rPr>
          <w:rFonts w:hint="eastAsia" w:ascii="宋体" w:hAnsi="宋体" w:eastAsia="宋体"/>
        </w:rPr>
        <w:t>测试</w:t>
      </w:r>
      <w:r>
        <w:rPr>
          <w:rFonts w:ascii="宋体" w:hAnsi="宋体" w:eastAsia="宋体"/>
        </w:rPr>
        <w:t>反馈</w:t>
      </w:r>
      <w:r>
        <w:rPr>
          <w:rFonts w:hint="eastAsia" w:ascii="宋体" w:hAnsi="宋体" w:eastAsia="宋体"/>
        </w:rPr>
        <w:t>问题</w:t>
      </w:r>
      <w:r>
        <w:rPr>
          <w:rFonts w:ascii="宋体" w:hAnsi="宋体" w:eastAsia="宋体"/>
        </w:rPr>
        <w:t>进行必要的</w:t>
      </w:r>
      <w:r>
        <w:rPr>
          <w:rFonts w:hint="eastAsia" w:ascii="宋体" w:hAnsi="宋体" w:eastAsia="宋体"/>
        </w:rPr>
        <w:t>功能</w:t>
      </w:r>
      <w:r>
        <w:rPr>
          <w:rFonts w:ascii="宋体" w:hAnsi="宋体" w:eastAsia="宋体"/>
        </w:rPr>
        <w:t>调整和优化</w:t>
      </w:r>
      <w:r>
        <w:rPr>
          <w:rFonts w:hint="eastAsia" w:ascii="宋体" w:hAnsi="宋体" w:eastAsia="宋体"/>
        </w:rPr>
        <w:t>，</w:t>
      </w:r>
      <w:r>
        <w:rPr>
          <w:rFonts w:ascii="宋体" w:hAnsi="宋体" w:eastAsia="宋体"/>
        </w:rPr>
        <w:t>确保系统满足用户需求</w:t>
      </w:r>
    </w:p>
    <w:p w14:paraId="21BF2E57">
      <w:pPr>
        <w:pStyle w:val="6"/>
        <w:numPr>
          <w:ilvl w:val="2"/>
          <w:numId w:val="39"/>
        </w:numPr>
        <w:spacing w:before="260" w:after="260" w:line="416" w:lineRule="auto"/>
        <w:jc w:val="both"/>
        <w:rPr>
          <w:rFonts w:hint="eastAsia" w:ascii="宋体" w:hAnsi="宋体" w:cstheme="majorBidi"/>
          <w:szCs w:val="24"/>
        </w:rPr>
      </w:pPr>
      <w:bookmarkStart w:id="234" w:name="_Toc180265656"/>
      <w:bookmarkStart w:id="235" w:name="_Toc179751537"/>
      <w:r>
        <w:rPr>
          <w:rFonts w:ascii="宋体" w:hAnsi="宋体" w:cstheme="majorBidi"/>
          <w:szCs w:val="24"/>
        </w:rPr>
        <w:t>部署与上线阶段</w:t>
      </w:r>
      <w:bookmarkEnd w:id="234"/>
      <w:bookmarkEnd w:id="235"/>
    </w:p>
    <w:p w14:paraId="3E617508">
      <w:pPr>
        <w:spacing w:line="360" w:lineRule="auto"/>
        <w:rPr>
          <w:rFonts w:hint="eastAsia" w:ascii="宋体" w:hAnsi="宋体" w:eastAsia="宋体"/>
        </w:rPr>
      </w:pPr>
      <w:r>
        <w:rPr>
          <w:rFonts w:ascii="宋体" w:hAnsi="宋体" w:eastAsia="宋体"/>
          <w:b/>
          <w:bCs/>
        </w:rPr>
        <w:t>1. 环境</w:t>
      </w:r>
      <w:r>
        <w:rPr>
          <w:rFonts w:hint="eastAsia" w:ascii="宋体" w:hAnsi="宋体" w:eastAsia="宋体"/>
          <w:b/>
          <w:bCs/>
        </w:rPr>
        <w:t>熟悉和</w:t>
      </w:r>
      <w:r>
        <w:rPr>
          <w:rFonts w:ascii="宋体" w:hAnsi="宋体" w:eastAsia="宋体"/>
          <w:b/>
          <w:bCs/>
        </w:rPr>
        <w:t>准备</w:t>
      </w:r>
    </w:p>
    <w:p w14:paraId="3BD37AF0">
      <w:pPr>
        <w:numPr>
          <w:ilvl w:val="0"/>
          <w:numId w:val="56"/>
        </w:numPr>
        <w:spacing w:line="360" w:lineRule="auto"/>
        <w:rPr>
          <w:rFonts w:hint="eastAsia" w:ascii="宋体" w:hAnsi="宋体" w:eastAsia="宋体"/>
        </w:rPr>
      </w:pPr>
      <w:r>
        <w:rPr>
          <w:rFonts w:hint="eastAsia" w:ascii="宋体" w:hAnsi="宋体" w:eastAsia="宋体"/>
        </w:rPr>
        <w:t>本项目运维团队</w:t>
      </w:r>
      <w:r>
        <w:rPr>
          <w:rFonts w:hint="eastAsia" w:ascii="宋体" w:hAnsi="宋体" w:eastAsia="宋体" w:cs="宋体"/>
          <w:szCs w:val="21"/>
        </w:rPr>
        <w:t>深入了解熟悉烟草总公司行业云平台节点部署环境，</w:t>
      </w:r>
      <w:r>
        <w:rPr>
          <w:rFonts w:ascii="宋体" w:hAnsi="宋体" w:eastAsia="宋体"/>
        </w:rPr>
        <w:t>准备</w:t>
      </w:r>
      <w:r>
        <w:rPr>
          <w:rFonts w:hint="eastAsia" w:ascii="宋体" w:hAnsi="宋体" w:eastAsia="宋体"/>
        </w:rPr>
        <w:t>本项目的</w:t>
      </w:r>
      <w:r>
        <w:rPr>
          <w:rFonts w:ascii="宋体" w:hAnsi="宋体" w:eastAsia="宋体"/>
        </w:rPr>
        <w:t>生产环境</w:t>
      </w:r>
      <w:r>
        <w:rPr>
          <w:rFonts w:hint="eastAsia" w:ascii="宋体" w:hAnsi="宋体" w:eastAsia="宋体"/>
        </w:rPr>
        <w:t>及开发测试环境的部署和配置工作</w:t>
      </w:r>
      <w:r>
        <w:rPr>
          <w:rFonts w:ascii="宋体" w:hAnsi="宋体" w:eastAsia="宋体"/>
        </w:rPr>
        <w:t>，</w:t>
      </w:r>
      <w:r>
        <w:rPr>
          <w:rFonts w:ascii="宋体" w:hAnsi="宋体" w:eastAsia="宋体"/>
          <w:szCs w:val="21"/>
        </w:rPr>
        <w:t>包括</w:t>
      </w:r>
      <w:r>
        <w:rPr>
          <w:rFonts w:hint="eastAsia" w:ascii="宋体" w:hAnsi="宋体" w:eastAsia="宋体"/>
          <w:szCs w:val="21"/>
        </w:rPr>
        <w:t>但不限于</w:t>
      </w:r>
      <w:r>
        <w:rPr>
          <w:rFonts w:ascii="宋体" w:hAnsi="宋体" w:eastAsia="宋体"/>
          <w:szCs w:val="21"/>
        </w:rPr>
        <w:t>云服务器、数据库、中间件</w:t>
      </w:r>
      <w:r>
        <w:rPr>
          <w:rFonts w:ascii="宋体" w:hAnsi="宋体" w:eastAsia="宋体"/>
        </w:rPr>
        <w:t>、网络、存储等。</w:t>
      </w:r>
    </w:p>
    <w:p w14:paraId="3B202A85">
      <w:pPr>
        <w:numPr>
          <w:ilvl w:val="0"/>
          <w:numId w:val="57"/>
        </w:numPr>
        <w:spacing w:line="360" w:lineRule="auto"/>
        <w:rPr>
          <w:rFonts w:hint="eastAsia" w:ascii="宋体" w:hAnsi="宋体" w:eastAsia="宋体"/>
          <w:szCs w:val="21"/>
        </w:rPr>
      </w:pPr>
      <w:r>
        <w:rPr>
          <w:rFonts w:hint="eastAsia" w:ascii="宋体" w:hAnsi="宋体" w:eastAsia="宋体"/>
        </w:rPr>
        <w:t>在烟草总公司为本项目提供的云平台上</w:t>
      </w:r>
      <w:r>
        <w:rPr>
          <w:rFonts w:ascii="宋体" w:hAnsi="宋体" w:eastAsia="宋体"/>
        </w:rPr>
        <w:t>安装必要的软件和工具，配置</w:t>
      </w:r>
      <w:r>
        <w:rPr>
          <w:rFonts w:hint="eastAsia" w:ascii="宋体" w:hAnsi="宋体" w:eastAsia="宋体"/>
        </w:rPr>
        <w:t>环境和服务</w:t>
      </w:r>
      <w:r>
        <w:rPr>
          <w:rFonts w:ascii="宋体" w:hAnsi="宋体" w:eastAsia="宋体"/>
        </w:rPr>
        <w:t>参数</w:t>
      </w:r>
      <w:r>
        <w:rPr>
          <w:rFonts w:ascii="宋体" w:hAnsi="宋体" w:eastAsia="宋体"/>
          <w:szCs w:val="21"/>
        </w:rPr>
        <w:t>。</w:t>
      </w:r>
    </w:p>
    <w:p w14:paraId="5C0C0848">
      <w:pPr>
        <w:spacing w:line="360" w:lineRule="auto"/>
        <w:rPr>
          <w:rFonts w:hint="eastAsia" w:ascii="宋体" w:hAnsi="宋体" w:eastAsia="宋体"/>
        </w:rPr>
      </w:pPr>
      <w:r>
        <w:rPr>
          <w:rFonts w:ascii="宋体" w:hAnsi="宋体" w:eastAsia="宋体"/>
          <w:b/>
          <w:bCs/>
        </w:rPr>
        <w:t>2. 数据</w:t>
      </w:r>
      <w:r>
        <w:rPr>
          <w:rFonts w:hint="eastAsia" w:ascii="宋体" w:hAnsi="宋体" w:eastAsia="宋体"/>
          <w:b/>
          <w:bCs/>
        </w:rPr>
        <w:t>初始化/</w:t>
      </w:r>
      <w:r>
        <w:rPr>
          <w:rFonts w:ascii="宋体" w:hAnsi="宋体" w:eastAsia="宋体"/>
          <w:b/>
          <w:bCs/>
        </w:rPr>
        <w:t>迁移</w:t>
      </w:r>
    </w:p>
    <w:p w14:paraId="54A6956F">
      <w:pPr>
        <w:numPr>
          <w:ilvl w:val="0"/>
          <w:numId w:val="58"/>
        </w:numPr>
        <w:spacing w:line="360" w:lineRule="auto"/>
        <w:rPr>
          <w:rFonts w:hint="eastAsia" w:ascii="宋体" w:hAnsi="宋体" w:eastAsia="宋体"/>
        </w:rPr>
      </w:pPr>
      <w:r>
        <w:rPr>
          <w:rFonts w:hint="eastAsia" w:ascii="宋体" w:hAnsi="宋体" w:eastAsia="宋体"/>
          <w:szCs w:val="21"/>
        </w:rPr>
        <w:t>针对本次项目</w:t>
      </w:r>
      <w:r>
        <w:rPr>
          <w:rFonts w:ascii="宋体" w:hAnsi="宋体" w:eastAsia="宋体"/>
          <w:szCs w:val="21"/>
        </w:rPr>
        <w:t>制定详细的数据</w:t>
      </w:r>
      <w:r>
        <w:rPr>
          <w:rFonts w:hint="eastAsia" w:ascii="宋体" w:hAnsi="宋体" w:eastAsia="宋体"/>
          <w:szCs w:val="21"/>
        </w:rPr>
        <w:t>初始化和</w:t>
      </w:r>
      <w:r>
        <w:rPr>
          <w:rFonts w:ascii="宋体" w:hAnsi="宋体" w:eastAsia="宋体"/>
          <w:szCs w:val="21"/>
        </w:rPr>
        <w:t>迁移</w:t>
      </w:r>
      <w:r>
        <w:rPr>
          <w:rFonts w:hint="eastAsia" w:ascii="宋体" w:hAnsi="宋体" w:eastAsia="宋体"/>
          <w:szCs w:val="21"/>
        </w:rPr>
        <w:t>（如果有的话）</w:t>
      </w:r>
      <w:r>
        <w:rPr>
          <w:rFonts w:ascii="宋体" w:hAnsi="宋体" w:eastAsia="宋体"/>
          <w:szCs w:val="21"/>
        </w:rPr>
        <w:t>计划，</w:t>
      </w:r>
      <w:r>
        <w:rPr>
          <w:rFonts w:hint="eastAsia" w:ascii="宋体" w:hAnsi="宋体" w:eastAsia="宋体"/>
          <w:szCs w:val="21"/>
        </w:rPr>
        <w:t>根据需求分析规格说明书和设计方案进行中招联合招采平台的数据层面适配设置，对所有支撑平台运行的基础数据、代码数据等进行数据初始化，并根据烟草总公司数据入湖规范和烟草行业数据中台对接方案，完成对接</w:t>
      </w:r>
      <w:r>
        <w:rPr>
          <w:rFonts w:ascii="宋体" w:hAnsi="宋体" w:eastAsia="宋体"/>
          <w:szCs w:val="21"/>
        </w:rPr>
        <w:t>数据</w:t>
      </w:r>
      <w:r>
        <w:rPr>
          <w:rFonts w:hint="eastAsia" w:ascii="宋体" w:hAnsi="宋体" w:eastAsia="宋体"/>
          <w:szCs w:val="21"/>
        </w:rPr>
        <w:t>的</w:t>
      </w:r>
      <w:r>
        <w:rPr>
          <w:rFonts w:ascii="宋体" w:hAnsi="宋体" w:eastAsia="宋体"/>
          <w:szCs w:val="21"/>
        </w:rPr>
        <w:t>清洗、转换和验证</w:t>
      </w:r>
      <w:r>
        <w:rPr>
          <w:rFonts w:hint="eastAsia" w:ascii="宋体" w:hAnsi="宋体" w:eastAsia="宋体"/>
          <w:szCs w:val="21"/>
        </w:rPr>
        <w:t>工作</w:t>
      </w:r>
      <w:r>
        <w:rPr>
          <w:rFonts w:ascii="宋体" w:hAnsi="宋体" w:eastAsia="宋体"/>
          <w:szCs w:val="21"/>
        </w:rPr>
        <w:t>。</w:t>
      </w:r>
    </w:p>
    <w:p w14:paraId="15BFB704">
      <w:pPr>
        <w:numPr>
          <w:ilvl w:val="0"/>
          <w:numId w:val="58"/>
        </w:numPr>
        <w:spacing w:line="360" w:lineRule="auto"/>
        <w:rPr>
          <w:rFonts w:hint="eastAsia" w:ascii="宋体" w:hAnsi="宋体" w:eastAsia="宋体"/>
        </w:rPr>
      </w:pPr>
      <w:r>
        <w:rPr>
          <w:rFonts w:hint="eastAsia" w:ascii="宋体" w:hAnsi="宋体" w:eastAsia="宋体"/>
        </w:rPr>
        <w:t>根据需求调研情况，如果存在以往采购系统</w:t>
      </w:r>
      <w:r>
        <w:rPr>
          <w:rFonts w:ascii="宋体" w:hAnsi="宋体" w:eastAsia="宋体"/>
        </w:rPr>
        <w:t>的数据</w:t>
      </w:r>
      <w:r>
        <w:rPr>
          <w:rFonts w:hint="eastAsia" w:ascii="宋体" w:hAnsi="宋体" w:eastAsia="宋体"/>
        </w:rPr>
        <w:t>需要</w:t>
      </w:r>
      <w:r>
        <w:rPr>
          <w:rFonts w:ascii="宋体" w:hAnsi="宋体" w:eastAsia="宋体"/>
        </w:rPr>
        <w:t>迁移到新系统中</w:t>
      </w:r>
      <w:r>
        <w:rPr>
          <w:rFonts w:hint="eastAsia" w:ascii="宋体" w:hAnsi="宋体" w:eastAsia="宋体"/>
        </w:rPr>
        <w:t>的情况</w:t>
      </w:r>
      <w:r>
        <w:rPr>
          <w:rFonts w:ascii="宋体" w:hAnsi="宋体" w:eastAsia="宋体"/>
        </w:rPr>
        <w:t>，</w:t>
      </w:r>
      <w:r>
        <w:rPr>
          <w:rFonts w:hint="eastAsia" w:ascii="宋体" w:hAnsi="宋体" w:eastAsia="宋体"/>
        </w:rPr>
        <w:t>进行必要的数据迁移工作，</w:t>
      </w:r>
      <w:r>
        <w:rPr>
          <w:rFonts w:ascii="宋体" w:hAnsi="宋体" w:eastAsia="宋体"/>
        </w:rPr>
        <w:t>确保数据完整性和准确性。</w:t>
      </w:r>
    </w:p>
    <w:p w14:paraId="76DCD94F">
      <w:pPr>
        <w:numPr>
          <w:ilvl w:val="0"/>
          <w:numId w:val="58"/>
        </w:numPr>
        <w:spacing w:line="360" w:lineRule="auto"/>
        <w:rPr>
          <w:rFonts w:hint="eastAsia" w:ascii="宋体" w:hAnsi="宋体" w:eastAsia="宋体"/>
        </w:rPr>
      </w:pPr>
      <w:r>
        <w:rPr>
          <w:rFonts w:ascii="宋体" w:hAnsi="宋体" w:eastAsia="宋体"/>
          <w:szCs w:val="21"/>
        </w:rPr>
        <w:t>使用数据迁移工具（Talend、Flyway）自动化迁移过程。</w:t>
      </w:r>
    </w:p>
    <w:p w14:paraId="1189A922">
      <w:pPr>
        <w:numPr>
          <w:ilvl w:val="0"/>
          <w:numId w:val="58"/>
        </w:numPr>
        <w:spacing w:line="360" w:lineRule="auto"/>
        <w:rPr>
          <w:rFonts w:hint="eastAsia" w:ascii="宋体" w:hAnsi="宋体" w:eastAsia="宋体"/>
        </w:rPr>
      </w:pPr>
      <w:r>
        <w:rPr>
          <w:rFonts w:hint="eastAsia" w:ascii="宋体" w:hAnsi="宋体" w:eastAsia="宋体"/>
        </w:rPr>
        <w:t>本次项目测试团队负责</w:t>
      </w:r>
      <w:r>
        <w:rPr>
          <w:rFonts w:ascii="宋体" w:hAnsi="宋体" w:eastAsia="宋体"/>
        </w:rPr>
        <w:t>进行数据验证和测试，确保数据</w:t>
      </w:r>
      <w:r>
        <w:rPr>
          <w:rFonts w:hint="eastAsia" w:ascii="宋体" w:hAnsi="宋体" w:eastAsia="宋体"/>
        </w:rPr>
        <w:t>初始化和</w:t>
      </w:r>
      <w:r>
        <w:rPr>
          <w:rFonts w:ascii="宋体" w:hAnsi="宋体" w:eastAsia="宋体"/>
        </w:rPr>
        <w:t>迁移成功。</w:t>
      </w:r>
    </w:p>
    <w:p w14:paraId="692A3386">
      <w:pPr>
        <w:spacing w:line="360" w:lineRule="auto"/>
        <w:rPr>
          <w:rFonts w:hint="eastAsia" w:ascii="宋体" w:hAnsi="宋体" w:eastAsia="宋体"/>
        </w:rPr>
      </w:pPr>
      <w:r>
        <w:rPr>
          <w:rFonts w:ascii="宋体" w:hAnsi="宋体" w:eastAsia="宋体"/>
          <w:b/>
          <w:bCs/>
        </w:rPr>
        <w:t>3. 系统部署</w:t>
      </w:r>
    </w:p>
    <w:p w14:paraId="13078209">
      <w:pPr>
        <w:numPr>
          <w:ilvl w:val="0"/>
          <w:numId w:val="59"/>
        </w:numPr>
        <w:spacing w:line="360" w:lineRule="auto"/>
        <w:rPr>
          <w:rFonts w:hint="eastAsia" w:ascii="宋体" w:hAnsi="宋体" w:eastAsia="宋体"/>
        </w:rPr>
      </w:pPr>
      <w:r>
        <w:rPr>
          <w:rFonts w:hint="eastAsia" w:ascii="宋体" w:hAnsi="宋体" w:eastAsia="宋体"/>
        </w:rPr>
        <w:t>本项目运维团队负责</w:t>
      </w:r>
      <w:r>
        <w:rPr>
          <w:rFonts w:ascii="宋体" w:hAnsi="宋体" w:eastAsia="宋体"/>
        </w:rPr>
        <w:t>将系统部署到生产环境</w:t>
      </w:r>
      <w:r>
        <w:rPr>
          <w:rFonts w:hint="eastAsia" w:ascii="宋体" w:hAnsi="宋体" w:eastAsia="宋体"/>
        </w:rPr>
        <w:t>和开发测试环境</w:t>
      </w:r>
      <w:r>
        <w:rPr>
          <w:rFonts w:ascii="宋体" w:hAnsi="宋体" w:eastAsia="宋体"/>
        </w:rPr>
        <w:t>中，</w:t>
      </w:r>
      <w:r>
        <w:rPr>
          <w:rFonts w:hint="eastAsia" w:ascii="宋体" w:hAnsi="宋体" w:eastAsia="宋体"/>
        </w:rPr>
        <w:t>并</w:t>
      </w:r>
      <w:r>
        <w:rPr>
          <w:rFonts w:ascii="宋体" w:hAnsi="宋体" w:eastAsia="宋体"/>
        </w:rPr>
        <w:t>进行必要的配置和调试。</w:t>
      </w:r>
    </w:p>
    <w:p w14:paraId="22144B65">
      <w:pPr>
        <w:numPr>
          <w:ilvl w:val="0"/>
          <w:numId w:val="59"/>
        </w:numPr>
        <w:spacing w:line="360" w:lineRule="auto"/>
        <w:rPr>
          <w:rFonts w:hint="eastAsia" w:ascii="宋体" w:hAnsi="宋体" w:eastAsia="宋体"/>
        </w:rPr>
      </w:pPr>
      <w:r>
        <w:rPr>
          <w:rFonts w:ascii="宋体" w:hAnsi="宋体" w:eastAsia="宋体"/>
        </w:rPr>
        <w:t>确保系统能够正常运行，满足</w:t>
      </w:r>
      <w:r>
        <w:rPr>
          <w:rFonts w:hint="eastAsia" w:ascii="宋体" w:hAnsi="宋体" w:eastAsia="宋体"/>
        </w:rPr>
        <w:t>烟草总公司的</w:t>
      </w:r>
      <w:r>
        <w:rPr>
          <w:rFonts w:ascii="宋体" w:hAnsi="宋体" w:eastAsia="宋体"/>
        </w:rPr>
        <w:t>业务需求。</w:t>
      </w:r>
    </w:p>
    <w:p w14:paraId="7F9D1709">
      <w:pPr>
        <w:numPr>
          <w:ilvl w:val="0"/>
          <w:numId w:val="59"/>
        </w:numPr>
        <w:spacing w:line="360" w:lineRule="auto"/>
        <w:rPr>
          <w:rFonts w:hint="eastAsia" w:ascii="宋体" w:hAnsi="宋体" w:eastAsia="宋体"/>
        </w:rPr>
      </w:pPr>
      <w:r>
        <w:rPr>
          <w:rFonts w:ascii="宋体" w:hAnsi="宋体" w:eastAsia="宋体"/>
          <w:szCs w:val="21"/>
        </w:rPr>
        <w:t>使用</w:t>
      </w:r>
      <w:r>
        <w:rPr>
          <w:rFonts w:hint="eastAsia" w:ascii="宋体" w:hAnsi="宋体" w:eastAsia="宋体"/>
          <w:szCs w:val="21"/>
        </w:rPr>
        <w:t>烟草总公司指定的</w:t>
      </w:r>
      <w:r>
        <w:rPr>
          <w:rFonts w:ascii="宋体" w:hAnsi="宋体" w:eastAsia="宋体"/>
          <w:szCs w:val="21"/>
        </w:rPr>
        <w:t>自动化部署工具进行部署。</w:t>
      </w:r>
    </w:p>
    <w:p w14:paraId="4889C10F">
      <w:pPr>
        <w:spacing w:line="360" w:lineRule="auto"/>
        <w:rPr>
          <w:rFonts w:hint="eastAsia" w:ascii="宋体" w:hAnsi="宋体" w:eastAsia="宋体"/>
        </w:rPr>
      </w:pPr>
      <w:r>
        <w:rPr>
          <w:rFonts w:ascii="宋体" w:hAnsi="宋体" w:eastAsia="宋体"/>
          <w:b/>
          <w:bCs/>
        </w:rPr>
        <w:t>4. 用户培训</w:t>
      </w:r>
    </w:p>
    <w:p w14:paraId="67C041FA">
      <w:pPr>
        <w:numPr>
          <w:ilvl w:val="0"/>
          <w:numId w:val="60"/>
        </w:numPr>
        <w:spacing w:line="360" w:lineRule="auto"/>
        <w:rPr>
          <w:rFonts w:hint="eastAsia" w:ascii="宋体" w:hAnsi="宋体" w:eastAsia="宋体"/>
          <w:szCs w:val="21"/>
        </w:rPr>
      </w:pPr>
      <w:r>
        <w:rPr>
          <w:rFonts w:hint="eastAsia" w:ascii="宋体" w:hAnsi="宋体" w:eastAsia="宋体" w:cs="宋体"/>
          <w:szCs w:val="21"/>
        </w:rPr>
        <w:t>项目运维团队制定详细的本项目培训方案，编制培训计划及大纲，对培训课程进行详细设计与说明。按照本项目服务期不同阶段的建设要求和建设内容，结合烟草总公司需要，对项目参与人员、用户等进行有针对性的培训，包括但不局限于项目管理培训、系统知识培训、开发技术培训、安装部署培训、用户使用培训等，明确培训目标、内容、课时、课件、进度等，采用有效手段确保培训效果</w:t>
      </w:r>
      <w:r>
        <w:rPr>
          <w:rFonts w:ascii="宋体" w:hAnsi="宋体" w:eastAsia="宋体"/>
          <w:szCs w:val="21"/>
        </w:rPr>
        <w:t>。</w:t>
      </w:r>
    </w:p>
    <w:p w14:paraId="55AFF261">
      <w:pPr>
        <w:numPr>
          <w:ilvl w:val="0"/>
          <w:numId w:val="60"/>
        </w:numPr>
        <w:spacing w:line="360" w:lineRule="auto"/>
        <w:rPr>
          <w:rFonts w:hint="eastAsia" w:ascii="宋体" w:hAnsi="宋体" w:eastAsia="宋体"/>
        </w:rPr>
      </w:pPr>
      <w:r>
        <w:rPr>
          <w:rFonts w:ascii="宋体" w:hAnsi="宋体" w:eastAsia="宋体"/>
        </w:rPr>
        <w:t>组织用户进行系统操作培训，确保用户能够熟练使用新系统。</w:t>
      </w:r>
    </w:p>
    <w:p w14:paraId="59F255EB">
      <w:pPr>
        <w:numPr>
          <w:ilvl w:val="0"/>
          <w:numId w:val="60"/>
        </w:numPr>
        <w:spacing w:line="360" w:lineRule="auto"/>
        <w:rPr>
          <w:rFonts w:hint="eastAsia" w:ascii="宋体" w:hAnsi="宋体" w:eastAsia="宋体"/>
        </w:rPr>
      </w:pPr>
      <w:r>
        <w:rPr>
          <w:rFonts w:ascii="宋体" w:hAnsi="宋体" w:eastAsia="宋体"/>
        </w:rPr>
        <w:t>提供操作手册和培训视频，方便用户随时查阅和学习。</w:t>
      </w:r>
    </w:p>
    <w:p w14:paraId="40D6FAAD">
      <w:pPr>
        <w:spacing w:line="360" w:lineRule="auto"/>
        <w:rPr>
          <w:rFonts w:hint="eastAsia" w:ascii="宋体" w:hAnsi="宋体" w:eastAsia="宋体"/>
        </w:rPr>
      </w:pPr>
      <w:r>
        <w:rPr>
          <w:rFonts w:ascii="宋体" w:hAnsi="宋体" w:eastAsia="宋体"/>
          <w:b/>
          <w:bCs/>
        </w:rPr>
        <w:t>5. 上线运行</w:t>
      </w:r>
    </w:p>
    <w:p w14:paraId="125BA4AE">
      <w:pPr>
        <w:numPr>
          <w:ilvl w:val="0"/>
          <w:numId w:val="61"/>
        </w:numPr>
        <w:spacing w:line="360" w:lineRule="auto"/>
        <w:ind w:left="840" w:hanging="420"/>
        <w:rPr>
          <w:rFonts w:hint="eastAsia" w:ascii="宋体" w:hAnsi="宋体" w:eastAsia="宋体"/>
        </w:rPr>
      </w:pPr>
      <w:r>
        <w:rPr>
          <w:rFonts w:hint="eastAsia" w:ascii="宋体" w:hAnsi="宋体" w:eastAsia="宋体" w:cs="宋体"/>
          <w:szCs w:val="21"/>
        </w:rPr>
        <w:t>按照本项目服务期不同阶段的建设要求和建设内容部署上线开发测试环境和生产环境，确保</w:t>
      </w:r>
      <w:r>
        <w:rPr>
          <w:rFonts w:ascii="宋体" w:hAnsi="宋体" w:eastAsia="宋体"/>
        </w:rPr>
        <w:t>系统</w:t>
      </w:r>
      <w:r>
        <w:rPr>
          <w:rFonts w:hint="eastAsia" w:ascii="宋体" w:hAnsi="宋体" w:eastAsia="宋体"/>
        </w:rPr>
        <w:t>的</w:t>
      </w:r>
      <w:r>
        <w:rPr>
          <w:rFonts w:ascii="宋体" w:hAnsi="宋体" w:eastAsia="宋体"/>
        </w:rPr>
        <w:t>正式上线</w:t>
      </w:r>
      <w:r>
        <w:rPr>
          <w:rFonts w:hint="eastAsia" w:ascii="宋体" w:hAnsi="宋体" w:eastAsia="宋体"/>
        </w:rPr>
        <w:t>稳定</w:t>
      </w:r>
      <w:r>
        <w:rPr>
          <w:rFonts w:ascii="宋体" w:hAnsi="宋体" w:eastAsia="宋体"/>
        </w:rPr>
        <w:t>运行，</w:t>
      </w:r>
      <w:r>
        <w:rPr>
          <w:rFonts w:hint="eastAsia" w:ascii="宋体" w:hAnsi="宋体" w:eastAsia="宋体"/>
        </w:rPr>
        <w:t>并实时</w:t>
      </w:r>
      <w:r>
        <w:rPr>
          <w:rFonts w:ascii="宋体" w:hAnsi="宋体" w:eastAsia="宋体"/>
        </w:rPr>
        <w:t>监控系统的运行状态和性能。</w:t>
      </w:r>
    </w:p>
    <w:p w14:paraId="60C954EA">
      <w:pPr>
        <w:numPr>
          <w:ilvl w:val="0"/>
          <w:numId w:val="61"/>
        </w:numPr>
        <w:spacing w:line="360" w:lineRule="auto"/>
        <w:ind w:left="840" w:hanging="420"/>
        <w:rPr>
          <w:rFonts w:hint="eastAsia" w:ascii="宋体" w:hAnsi="宋体" w:eastAsia="宋体"/>
        </w:rPr>
      </w:pPr>
      <w:r>
        <w:rPr>
          <w:rFonts w:hint="eastAsia" w:ascii="宋体" w:hAnsi="宋体" w:eastAsia="宋体"/>
        </w:rPr>
        <w:t>运维团队和产品团队</w:t>
      </w:r>
      <w:r>
        <w:rPr>
          <w:rFonts w:ascii="宋体" w:hAnsi="宋体" w:eastAsia="宋体"/>
        </w:rPr>
        <w:t>及时</w:t>
      </w:r>
      <w:r>
        <w:rPr>
          <w:rFonts w:hint="eastAsia" w:ascii="宋体" w:hAnsi="宋体" w:eastAsia="宋体"/>
        </w:rPr>
        <w:t>跟踪和</w:t>
      </w:r>
      <w:r>
        <w:rPr>
          <w:rFonts w:ascii="宋体" w:hAnsi="宋体" w:eastAsia="宋体"/>
        </w:rPr>
        <w:t>解决用户在使用过程中遇到的问题和反馈。</w:t>
      </w:r>
    </w:p>
    <w:p w14:paraId="26CB8D92">
      <w:pPr>
        <w:numPr>
          <w:ilvl w:val="0"/>
          <w:numId w:val="61"/>
        </w:numPr>
        <w:spacing w:line="360" w:lineRule="auto"/>
        <w:ind w:left="840" w:hanging="420"/>
        <w:rPr>
          <w:rFonts w:hint="eastAsia" w:ascii="宋体" w:hAnsi="宋体" w:eastAsia="宋体"/>
        </w:rPr>
      </w:pPr>
      <w:r>
        <w:rPr>
          <w:rFonts w:ascii="宋体" w:hAnsi="宋体" w:eastAsia="宋体"/>
          <w:szCs w:val="21"/>
        </w:rPr>
        <w:t>收集用户反馈，持续优化系统功能。</w:t>
      </w:r>
    </w:p>
    <w:p w14:paraId="6A02D77A">
      <w:pPr>
        <w:pStyle w:val="6"/>
        <w:numPr>
          <w:ilvl w:val="2"/>
          <w:numId w:val="39"/>
        </w:numPr>
        <w:spacing w:before="260" w:after="260" w:line="416" w:lineRule="auto"/>
        <w:jc w:val="both"/>
        <w:rPr>
          <w:rFonts w:hint="eastAsia" w:ascii="宋体" w:hAnsi="宋体" w:cstheme="majorBidi"/>
          <w:szCs w:val="24"/>
        </w:rPr>
      </w:pPr>
      <w:bookmarkStart w:id="236" w:name="_Toc180265657"/>
      <w:bookmarkStart w:id="237" w:name="_Toc179751538"/>
      <w:r>
        <w:rPr>
          <w:rFonts w:ascii="宋体" w:hAnsi="宋体" w:cstheme="majorBidi"/>
          <w:szCs w:val="24"/>
        </w:rPr>
        <w:t>项目收尾阶段</w:t>
      </w:r>
      <w:bookmarkEnd w:id="236"/>
      <w:bookmarkEnd w:id="237"/>
    </w:p>
    <w:p w14:paraId="0A11616E">
      <w:pPr>
        <w:spacing w:line="360" w:lineRule="auto"/>
        <w:rPr>
          <w:rFonts w:hint="eastAsia" w:ascii="宋体" w:hAnsi="宋体" w:eastAsia="宋体"/>
        </w:rPr>
      </w:pPr>
      <w:r>
        <w:rPr>
          <w:rFonts w:ascii="宋体" w:hAnsi="宋体" w:eastAsia="宋体"/>
          <w:b/>
          <w:bCs/>
        </w:rPr>
        <w:t>1. 项目验收</w:t>
      </w:r>
    </w:p>
    <w:p w14:paraId="57D360F9">
      <w:pPr>
        <w:numPr>
          <w:ilvl w:val="0"/>
          <w:numId w:val="62"/>
        </w:numPr>
        <w:spacing w:line="360" w:lineRule="auto"/>
        <w:rPr>
          <w:rFonts w:hint="eastAsia" w:ascii="宋体" w:hAnsi="宋体" w:eastAsia="宋体"/>
        </w:rPr>
      </w:pPr>
      <w:r>
        <w:rPr>
          <w:rFonts w:hint="eastAsia" w:ascii="宋体" w:hAnsi="宋体" w:eastAsia="宋体"/>
          <w:szCs w:val="21"/>
        </w:rPr>
        <w:t>整个项目团队</w:t>
      </w:r>
      <w:r>
        <w:rPr>
          <w:rFonts w:ascii="宋体" w:hAnsi="宋体" w:eastAsia="宋体"/>
          <w:szCs w:val="21"/>
        </w:rPr>
        <w:t>准备项目验收报告，包括</w:t>
      </w:r>
      <w:r>
        <w:rPr>
          <w:rFonts w:hint="eastAsia" w:ascii="宋体" w:hAnsi="宋体" w:eastAsia="宋体"/>
          <w:szCs w:val="21"/>
        </w:rPr>
        <w:t>并不限于以下内容，具体要求遵循烟草总公司管理规范：</w:t>
      </w:r>
    </w:p>
    <w:p w14:paraId="633C0A25">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项目实施方案</w:t>
      </w:r>
      <w:r>
        <w:rPr>
          <w:color w:val="060607"/>
          <w:spacing w:val="4"/>
          <w:sz w:val="21"/>
          <w:szCs w:val="21"/>
        </w:rPr>
        <w:t>：详细描述</w:t>
      </w:r>
      <w:r>
        <w:rPr>
          <w:rFonts w:hint="eastAsia"/>
          <w:color w:val="060607"/>
          <w:spacing w:val="4"/>
          <w:sz w:val="21"/>
          <w:szCs w:val="21"/>
        </w:rPr>
        <w:t>本次</w:t>
      </w:r>
      <w:r>
        <w:rPr>
          <w:color w:val="060607"/>
          <w:spacing w:val="4"/>
          <w:sz w:val="21"/>
          <w:szCs w:val="21"/>
        </w:rPr>
        <w:t>项目的实施计划、资源分配</w:t>
      </w:r>
      <w:r>
        <w:rPr>
          <w:rFonts w:hint="eastAsia"/>
          <w:color w:val="060607"/>
          <w:spacing w:val="4"/>
          <w:sz w:val="21"/>
          <w:szCs w:val="21"/>
        </w:rPr>
        <w:t>人员分工</w:t>
      </w:r>
      <w:r>
        <w:rPr>
          <w:color w:val="060607"/>
          <w:spacing w:val="4"/>
          <w:sz w:val="21"/>
          <w:szCs w:val="21"/>
        </w:rPr>
        <w:t>、时间</w:t>
      </w:r>
      <w:r>
        <w:rPr>
          <w:rFonts w:hint="eastAsia"/>
          <w:color w:val="060607"/>
          <w:spacing w:val="4"/>
          <w:sz w:val="21"/>
          <w:szCs w:val="21"/>
        </w:rPr>
        <w:t>进度安排</w:t>
      </w:r>
      <w:r>
        <w:rPr>
          <w:color w:val="060607"/>
          <w:spacing w:val="4"/>
          <w:sz w:val="21"/>
          <w:szCs w:val="21"/>
        </w:rPr>
        <w:t>表和里程碑。</w:t>
      </w:r>
    </w:p>
    <w:p w14:paraId="115E178B">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项目进度报告</w:t>
      </w:r>
      <w:r>
        <w:rPr>
          <w:color w:val="060607"/>
          <w:spacing w:val="4"/>
          <w:sz w:val="21"/>
          <w:szCs w:val="21"/>
        </w:rPr>
        <w:t>：记录项目实施过程中的进度情况，包括</w:t>
      </w:r>
      <w:r>
        <w:rPr>
          <w:rFonts w:hint="eastAsia"/>
          <w:color w:val="060607"/>
          <w:spacing w:val="4"/>
          <w:sz w:val="21"/>
          <w:szCs w:val="21"/>
        </w:rPr>
        <w:t>项目周报、项目各种会议记录</w:t>
      </w:r>
      <w:r>
        <w:rPr>
          <w:color w:val="060607"/>
          <w:spacing w:val="4"/>
          <w:sz w:val="21"/>
          <w:szCs w:val="21"/>
        </w:rPr>
        <w:t>。</w:t>
      </w:r>
    </w:p>
    <w:p w14:paraId="61B9EAC3">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rFonts w:hint="eastAsia"/>
          <w:color w:val="060607"/>
          <w:spacing w:val="4"/>
          <w:sz w:val="21"/>
          <w:szCs w:val="21"/>
        </w:rPr>
        <w:t>二次开发</w:t>
      </w:r>
      <w:r>
        <w:rPr>
          <w:rStyle w:val="45"/>
          <w:color w:val="060607"/>
          <w:spacing w:val="4"/>
          <w:sz w:val="21"/>
          <w:szCs w:val="21"/>
        </w:rPr>
        <w:t>需求规格说明书</w:t>
      </w:r>
      <w:r>
        <w:rPr>
          <w:color w:val="060607"/>
          <w:spacing w:val="4"/>
          <w:sz w:val="21"/>
          <w:szCs w:val="21"/>
        </w:rPr>
        <w:t>：详细描述</w:t>
      </w:r>
      <w:r>
        <w:rPr>
          <w:rFonts w:hint="eastAsia"/>
          <w:color w:val="060607"/>
          <w:spacing w:val="4"/>
          <w:sz w:val="21"/>
          <w:szCs w:val="21"/>
        </w:rPr>
        <w:t>本次项目烟草总公司</w:t>
      </w:r>
      <w:r>
        <w:rPr>
          <w:color w:val="060607"/>
          <w:spacing w:val="4"/>
          <w:sz w:val="21"/>
          <w:szCs w:val="21"/>
        </w:rPr>
        <w:t>的</w:t>
      </w:r>
      <w:r>
        <w:rPr>
          <w:rFonts w:hint="eastAsia"/>
          <w:color w:val="060607"/>
          <w:spacing w:val="4"/>
          <w:sz w:val="21"/>
          <w:szCs w:val="21"/>
        </w:rPr>
        <w:t>二次开发</w:t>
      </w:r>
      <w:r>
        <w:rPr>
          <w:color w:val="060607"/>
          <w:spacing w:val="4"/>
          <w:sz w:val="21"/>
          <w:szCs w:val="21"/>
        </w:rPr>
        <w:t>需求和系统的功能要求。</w:t>
      </w:r>
    </w:p>
    <w:p w14:paraId="34702EAE">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设计文档</w:t>
      </w:r>
      <w:r>
        <w:rPr>
          <w:color w:val="060607"/>
          <w:spacing w:val="4"/>
          <w:sz w:val="21"/>
          <w:szCs w:val="21"/>
        </w:rPr>
        <w:t>：包括系统</w:t>
      </w:r>
      <w:r>
        <w:rPr>
          <w:rFonts w:hint="eastAsia"/>
          <w:color w:val="060607"/>
          <w:spacing w:val="4"/>
          <w:sz w:val="21"/>
          <w:szCs w:val="21"/>
        </w:rPr>
        <w:t>整体</w:t>
      </w:r>
      <w:r>
        <w:rPr>
          <w:color w:val="060607"/>
          <w:spacing w:val="4"/>
          <w:sz w:val="21"/>
          <w:szCs w:val="21"/>
        </w:rPr>
        <w:t>设计</w:t>
      </w:r>
      <w:r>
        <w:rPr>
          <w:rFonts w:hint="eastAsia"/>
          <w:color w:val="060607"/>
          <w:spacing w:val="4"/>
          <w:sz w:val="21"/>
          <w:szCs w:val="21"/>
        </w:rPr>
        <w:t>（包括总体架构设计、集成架构设计、技术架构设计、功能架构设计、部署架构设计等）</w:t>
      </w:r>
      <w:r>
        <w:rPr>
          <w:color w:val="060607"/>
          <w:spacing w:val="4"/>
          <w:sz w:val="21"/>
          <w:szCs w:val="21"/>
        </w:rPr>
        <w:t>、数据库设计、</w:t>
      </w:r>
      <w:r>
        <w:rPr>
          <w:rFonts w:hint="eastAsia"/>
          <w:color w:val="060607"/>
          <w:spacing w:val="4"/>
          <w:sz w:val="21"/>
          <w:szCs w:val="21"/>
        </w:rPr>
        <w:t>详细设计（包括优化迭代功能和新增功能原型</w:t>
      </w:r>
      <w:r>
        <w:rPr>
          <w:color w:val="060607"/>
          <w:spacing w:val="4"/>
          <w:sz w:val="21"/>
          <w:szCs w:val="21"/>
        </w:rPr>
        <w:t>界面设计</w:t>
      </w:r>
      <w:r>
        <w:rPr>
          <w:rFonts w:hint="eastAsia"/>
          <w:color w:val="060607"/>
          <w:spacing w:val="4"/>
          <w:sz w:val="21"/>
          <w:szCs w:val="21"/>
        </w:rPr>
        <w:t>）</w:t>
      </w:r>
      <w:r>
        <w:rPr>
          <w:color w:val="060607"/>
          <w:spacing w:val="4"/>
          <w:sz w:val="21"/>
          <w:szCs w:val="21"/>
        </w:rPr>
        <w:t>等。</w:t>
      </w:r>
    </w:p>
    <w:p w14:paraId="4EBB9C02">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开发文档</w:t>
      </w:r>
      <w:r>
        <w:rPr>
          <w:color w:val="060607"/>
          <w:spacing w:val="4"/>
          <w:sz w:val="21"/>
          <w:szCs w:val="21"/>
        </w:rPr>
        <w:t>：记录开发过程中的关键决策、技术选择和代码规范</w:t>
      </w:r>
      <w:r>
        <w:rPr>
          <w:rFonts w:hint="eastAsia"/>
          <w:color w:val="060607"/>
          <w:spacing w:val="4"/>
          <w:sz w:val="21"/>
          <w:szCs w:val="21"/>
        </w:rPr>
        <w:t>，源码提交到烟草总公司的代码仓</w:t>
      </w:r>
      <w:r>
        <w:rPr>
          <w:color w:val="060607"/>
          <w:spacing w:val="4"/>
          <w:sz w:val="21"/>
          <w:szCs w:val="21"/>
        </w:rPr>
        <w:t>。</w:t>
      </w:r>
    </w:p>
    <w:p w14:paraId="0E5CC78E">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测试计划和测试报告</w:t>
      </w:r>
      <w:r>
        <w:rPr>
          <w:color w:val="060607"/>
          <w:spacing w:val="4"/>
          <w:sz w:val="21"/>
          <w:szCs w:val="21"/>
        </w:rPr>
        <w:t>：包括测试策略、测试用例、测试结果和缺陷报告。</w:t>
      </w:r>
    </w:p>
    <w:p w14:paraId="1860495C">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用户手册和操作文档</w:t>
      </w:r>
      <w:r>
        <w:rPr>
          <w:color w:val="060607"/>
          <w:spacing w:val="4"/>
          <w:sz w:val="21"/>
          <w:szCs w:val="21"/>
        </w:rPr>
        <w:t>：为</w:t>
      </w:r>
      <w:r>
        <w:rPr>
          <w:rFonts w:hint="eastAsia"/>
          <w:color w:val="060607"/>
          <w:spacing w:val="4"/>
          <w:sz w:val="21"/>
          <w:szCs w:val="21"/>
        </w:rPr>
        <w:t>最终烟草</w:t>
      </w:r>
      <w:r>
        <w:rPr>
          <w:color w:val="060607"/>
          <w:spacing w:val="4"/>
          <w:sz w:val="21"/>
          <w:szCs w:val="21"/>
        </w:rPr>
        <w:t>用户</w:t>
      </w:r>
      <w:r>
        <w:rPr>
          <w:rFonts w:hint="eastAsia"/>
          <w:color w:val="060607"/>
          <w:spacing w:val="4"/>
          <w:sz w:val="21"/>
          <w:szCs w:val="21"/>
        </w:rPr>
        <w:t>及代理机构</w:t>
      </w:r>
      <w:r>
        <w:rPr>
          <w:color w:val="060607"/>
          <w:spacing w:val="4"/>
          <w:sz w:val="21"/>
          <w:szCs w:val="21"/>
        </w:rPr>
        <w:t>提供</w:t>
      </w:r>
      <w:r>
        <w:rPr>
          <w:rFonts w:hint="eastAsia"/>
          <w:color w:val="060607"/>
          <w:spacing w:val="4"/>
          <w:sz w:val="21"/>
          <w:szCs w:val="21"/>
        </w:rPr>
        <w:t>的</w:t>
      </w:r>
      <w:r>
        <w:rPr>
          <w:color w:val="060607"/>
          <w:spacing w:val="4"/>
          <w:sz w:val="21"/>
          <w:szCs w:val="21"/>
        </w:rPr>
        <w:t>系统操作的详细指导。</w:t>
      </w:r>
    </w:p>
    <w:p w14:paraId="40EB1FCB">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培训材料</w:t>
      </w:r>
      <w:r>
        <w:rPr>
          <w:color w:val="060607"/>
          <w:spacing w:val="4"/>
          <w:sz w:val="21"/>
          <w:szCs w:val="21"/>
        </w:rPr>
        <w:t>：对用户进行系统操作培训的资料和记录。</w:t>
      </w:r>
    </w:p>
    <w:p w14:paraId="172F92A1">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项目总结报告</w:t>
      </w:r>
      <w:r>
        <w:rPr>
          <w:color w:val="060607"/>
          <w:spacing w:val="4"/>
          <w:sz w:val="21"/>
          <w:szCs w:val="21"/>
        </w:rPr>
        <w:t>：总结项目实施的整个过程，包括成功经验、遇到的问题和改进建议。</w:t>
      </w:r>
    </w:p>
    <w:p w14:paraId="1718E2D6">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安全风险评估报告</w:t>
      </w:r>
      <w:r>
        <w:rPr>
          <w:color w:val="060607"/>
          <w:spacing w:val="4"/>
          <w:sz w:val="21"/>
          <w:szCs w:val="21"/>
        </w:rPr>
        <w:t>：包括涉密信息系统安全保密测评报告或者非涉密信息系统网络安全等级保护测评报告等 。</w:t>
      </w:r>
    </w:p>
    <w:p w14:paraId="30C2F5FF">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项目变更管理文件</w:t>
      </w:r>
      <w:r>
        <w:rPr>
          <w:color w:val="060607"/>
          <w:spacing w:val="4"/>
          <w:sz w:val="21"/>
          <w:szCs w:val="21"/>
        </w:rPr>
        <w:t>：记录项目实施过程中的变更请求、变更原因和变更结果。</w:t>
      </w:r>
    </w:p>
    <w:p w14:paraId="426411B3">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验收申请表</w:t>
      </w:r>
      <w:r>
        <w:rPr>
          <w:color w:val="060607"/>
          <w:spacing w:val="4"/>
          <w:sz w:val="21"/>
          <w:szCs w:val="21"/>
        </w:rPr>
        <w:t>：正式提出项目验收的申请。</w:t>
      </w:r>
    </w:p>
    <w:p w14:paraId="1407E69B">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验收测试报告</w:t>
      </w:r>
      <w:r>
        <w:rPr>
          <w:color w:val="060607"/>
          <w:spacing w:val="4"/>
          <w:sz w:val="21"/>
          <w:szCs w:val="21"/>
        </w:rPr>
        <w:t>：详细记录验收测试的过程和结果。</w:t>
      </w:r>
    </w:p>
    <w:p w14:paraId="0E269557">
      <w:pPr>
        <w:pStyle w:val="37"/>
        <w:numPr>
          <w:ilvl w:val="1"/>
          <w:numId w:val="62"/>
        </w:numPr>
        <w:shd w:val="clear" w:color="auto" w:fill="FFFFFF"/>
        <w:spacing w:before="0" w:beforeAutospacing="0" w:after="0" w:afterAutospacing="0" w:line="360" w:lineRule="auto"/>
        <w:ind w:hanging="357"/>
        <w:rPr>
          <w:rFonts w:hint="eastAsia"/>
          <w:color w:val="060607"/>
          <w:spacing w:val="4"/>
          <w:sz w:val="21"/>
          <w:szCs w:val="21"/>
        </w:rPr>
      </w:pPr>
      <w:r>
        <w:rPr>
          <w:rStyle w:val="45"/>
          <w:color w:val="060607"/>
          <w:spacing w:val="4"/>
          <w:sz w:val="21"/>
          <w:szCs w:val="21"/>
        </w:rPr>
        <w:t>验收会议记录</w:t>
      </w:r>
      <w:r>
        <w:rPr>
          <w:color w:val="060607"/>
          <w:spacing w:val="4"/>
          <w:sz w:val="21"/>
          <w:szCs w:val="21"/>
        </w:rPr>
        <w:t>：记录验收过程中的讨论、问题和决议。</w:t>
      </w:r>
    </w:p>
    <w:p w14:paraId="793BD397">
      <w:pPr>
        <w:numPr>
          <w:ilvl w:val="0"/>
          <w:numId w:val="62"/>
        </w:numPr>
        <w:spacing w:line="360" w:lineRule="auto"/>
        <w:ind w:hanging="357"/>
        <w:rPr>
          <w:rFonts w:hint="eastAsia" w:ascii="宋体" w:hAnsi="宋体" w:eastAsia="宋体"/>
        </w:rPr>
      </w:pPr>
      <w:r>
        <w:rPr>
          <w:rFonts w:hint="eastAsia" w:ascii="宋体" w:hAnsi="宋体" w:eastAsia="宋体"/>
        </w:rPr>
        <w:t>按照烟草总公司要求在既定时间节点前</w:t>
      </w:r>
      <w:r>
        <w:rPr>
          <w:rFonts w:ascii="宋体" w:hAnsi="宋体" w:eastAsia="宋体"/>
        </w:rPr>
        <w:t>组织相关部门和用户进行项目验收，确保项目目标达成。</w:t>
      </w:r>
    </w:p>
    <w:p w14:paraId="07312F69">
      <w:pPr>
        <w:numPr>
          <w:ilvl w:val="0"/>
          <w:numId w:val="62"/>
        </w:numPr>
        <w:spacing w:line="360" w:lineRule="auto"/>
        <w:rPr>
          <w:rFonts w:hint="eastAsia" w:ascii="宋体" w:hAnsi="宋体" w:eastAsia="宋体"/>
        </w:rPr>
      </w:pPr>
      <w:r>
        <w:rPr>
          <w:rFonts w:ascii="宋体" w:hAnsi="宋体" w:eastAsia="宋体"/>
        </w:rPr>
        <w:t>整理项目文档和资料</w:t>
      </w:r>
      <w:r>
        <w:rPr>
          <w:rFonts w:hint="eastAsia" w:ascii="宋体" w:hAnsi="宋体" w:eastAsia="宋体"/>
        </w:rPr>
        <w:t>的同时</w:t>
      </w:r>
      <w:r>
        <w:rPr>
          <w:rFonts w:ascii="宋体" w:hAnsi="宋体" w:eastAsia="宋体"/>
        </w:rPr>
        <w:t>，</w:t>
      </w:r>
      <w:r>
        <w:rPr>
          <w:rFonts w:hint="eastAsia" w:ascii="宋体" w:hAnsi="宋体" w:eastAsia="宋体"/>
        </w:rPr>
        <w:t>根据烟草总公司相关要求</w:t>
      </w:r>
      <w:r>
        <w:rPr>
          <w:rFonts w:ascii="宋体" w:hAnsi="宋体" w:eastAsia="宋体"/>
        </w:rPr>
        <w:t>进行</w:t>
      </w:r>
      <w:r>
        <w:rPr>
          <w:rFonts w:hint="eastAsia" w:ascii="宋体" w:hAnsi="宋体" w:eastAsia="宋体"/>
        </w:rPr>
        <w:t>对应文</w:t>
      </w:r>
      <w:r>
        <w:rPr>
          <w:rFonts w:ascii="宋体" w:hAnsi="宋体" w:eastAsia="宋体"/>
        </w:rPr>
        <w:t>档</w:t>
      </w:r>
      <w:r>
        <w:rPr>
          <w:rFonts w:hint="eastAsia" w:ascii="宋体" w:hAnsi="宋体" w:eastAsia="宋体"/>
        </w:rPr>
        <w:t>的提交和</w:t>
      </w:r>
      <w:r>
        <w:rPr>
          <w:rFonts w:ascii="宋体" w:hAnsi="宋体" w:eastAsia="宋体"/>
        </w:rPr>
        <w:t>保存。</w:t>
      </w:r>
    </w:p>
    <w:p w14:paraId="04F483D3">
      <w:pPr>
        <w:spacing w:line="360" w:lineRule="auto"/>
        <w:rPr>
          <w:rFonts w:hint="eastAsia" w:ascii="宋体" w:hAnsi="宋体" w:eastAsia="宋体"/>
        </w:rPr>
      </w:pPr>
      <w:r>
        <w:rPr>
          <w:rFonts w:ascii="宋体" w:hAnsi="宋体" w:eastAsia="宋体"/>
          <w:b/>
          <w:bCs/>
        </w:rPr>
        <w:t>2. 项目总结</w:t>
      </w:r>
    </w:p>
    <w:p w14:paraId="3371DD5E">
      <w:pPr>
        <w:numPr>
          <w:ilvl w:val="0"/>
          <w:numId w:val="63"/>
        </w:numPr>
        <w:spacing w:line="360" w:lineRule="auto"/>
        <w:rPr>
          <w:rFonts w:hint="eastAsia" w:ascii="宋体" w:hAnsi="宋体" w:eastAsia="宋体"/>
        </w:rPr>
      </w:pPr>
      <w:r>
        <w:rPr>
          <w:rFonts w:ascii="宋体" w:hAnsi="宋体" w:eastAsia="宋体"/>
        </w:rPr>
        <w:t>召开</w:t>
      </w:r>
      <w:r>
        <w:rPr>
          <w:rFonts w:hint="eastAsia" w:ascii="宋体" w:hAnsi="宋体" w:eastAsia="宋体"/>
        </w:rPr>
        <w:t>项目组内部</w:t>
      </w:r>
      <w:r>
        <w:rPr>
          <w:rFonts w:ascii="宋体" w:hAnsi="宋体" w:eastAsia="宋体"/>
        </w:rPr>
        <w:t>项目总结会议，总结</w:t>
      </w:r>
      <w:r>
        <w:rPr>
          <w:rFonts w:hint="eastAsia" w:ascii="宋体" w:hAnsi="宋体" w:eastAsia="宋体"/>
        </w:rPr>
        <w:t>本次</w:t>
      </w:r>
      <w:r>
        <w:rPr>
          <w:rFonts w:ascii="宋体" w:hAnsi="宋体" w:eastAsia="宋体"/>
        </w:rPr>
        <w:t>项目</w:t>
      </w:r>
      <w:r>
        <w:rPr>
          <w:rFonts w:hint="eastAsia" w:ascii="宋体" w:hAnsi="宋体" w:eastAsia="宋体"/>
        </w:rPr>
        <w:t>的</w:t>
      </w:r>
      <w:r>
        <w:rPr>
          <w:rFonts w:ascii="宋体" w:hAnsi="宋体" w:eastAsia="宋体"/>
        </w:rPr>
        <w:t>经验、教训和成果</w:t>
      </w:r>
      <w:r>
        <w:rPr>
          <w:rFonts w:hint="eastAsia" w:ascii="宋体" w:hAnsi="宋体" w:eastAsia="宋体"/>
        </w:rPr>
        <w:t>，以便为后继项目运维服务打好基础</w:t>
      </w:r>
      <w:r>
        <w:rPr>
          <w:rFonts w:ascii="宋体" w:hAnsi="宋体" w:eastAsia="宋体"/>
        </w:rPr>
        <w:t>。</w:t>
      </w:r>
    </w:p>
    <w:p w14:paraId="32461CF7">
      <w:pPr>
        <w:numPr>
          <w:ilvl w:val="0"/>
          <w:numId w:val="63"/>
        </w:numPr>
        <w:spacing w:line="360" w:lineRule="auto"/>
        <w:rPr>
          <w:rFonts w:hint="eastAsia" w:ascii="宋体" w:hAnsi="宋体" w:eastAsia="宋体"/>
        </w:rPr>
      </w:pPr>
      <w:r>
        <w:rPr>
          <w:rFonts w:hint="eastAsia" w:ascii="宋体" w:hAnsi="宋体" w:eastAsia="宋体"/>
        </w:rPr>
        <w:t>根据项目内部管理方案</w:t>
      </w:r>
      <w:r>
        <w:rPr>
          <w:rFonts w:ascii="宋体" w:hAnsi="宋体" w:eastAsia="宋体"/>
        </w:rPr>
        <w:t>对团队成员进行绩效评估，表彰优秀表现。</w:t>
      </w:r>
    </w:p>
    <w:p w14:paraId="46D203F3">
      <w:pPr>
        <w:spacing w:line="360" w:lineRule="auto"/>
        <w:rPr>
          <w:rFonts w:hint="eastAsia" w:ascii="宋体" w:hAnsi="宋体" w:eastAsia="宋体"/>
        </w:rPr>
      </w:pPr>
      <w:r>
        <w:rPr>
          <w:rFonts w:ascii="宋体" w:hAnsi="宋体" w:eastAsia="宋体"/>
          <w:b/>
          <w:bCs/>
        </w:rPr>
        <w:t>3. 后期</w:t>
      </w:r>
      <w:r>
        <w:rPr>
          <w:rFonts w:hint="eastAsia" w:ascii="宋体" w:hAnsi="宋体" w:eastAsia="宋体"/>
          <w:b/>
          <w:bCs/>
        </w:rPr>
        <w:t>运营与运维</w:t>
      </w:r>
      <w:r>
        <w:rPr>
          <w:rFonts w:ascii="宋体" w:hAnsi="宋体" w:eastAsia="宋体"/>
          <w:b/>
          <w:bCs/>
        </w:rPr>
        <w:t>支持</w:t>
      </w:r>
    </w:p>
    <w:p w14:paraId="01EE616A">
      <w:pPr>
        <w:numPr>
          <w:ilvl w:val="0"/>
          <w:numId w:val="64"/>
        </w:numPr>
        <w:spacing w:line="360" w:lineRule="auto"/>
        <w:rPr>
          <w:rFonts w:hint="eastAsia" w:ascii="宋体" w:hAnsi="宋体" w:eastAsia="宋体"/>
          <w:szCs w:val="21"/>
        </w:rPr>
      </w:pPr>
      <w:r>
        <w:rPr>
          <w:rFonts w:ascii="宋体" w:hAnsi="宋体" w:eastAsia="宋体"/>
        </w:rPr>
        <w:t>提供系统</w:t>
      </w:r>
      <w:r>
        <w:rPr>
          <w:rFonts w:hint="eastAsia" w:ascii="宋体" w:hAnsi="宋体" w:eastAsia="宋体"/>
        </w:rPr>
        <w:t>自身的</w:t>
      </w:r>
      <w:r>
        <w:rPr>
          <w:rFonts w:ascii="宋体" w:hAnsi="宋体" w:eastAsia="宋体"/>
        </w:rPr>
        <w:t>维护和升级服务</w:t>
      </w:r>
      <w:r>
        <w:rPr>
          <w:rFonts w:hint="eastAsia" w:ascii="宋体" w:hAnsi="宋体" w:eastAsia="宋体"/>
        </w:rPr>
        <w:t>，定期进行</w:t>
      </w:r>
      <w:r>
        <w:rPr>
          <w:rFonts w:ascii="宋体" w:hAnsi="宋体" w:eastAsia="宋体"/>
          <w:szCs w:val="21"/>
        </w:rPr>
        <w:t>系统升级和补丁服务，确保系统安全稳定</w:t>
      </w:r>
      <w:r>
        <w:rPr>
          <w:rFonts w:hint="eastAsia" w:ascii="宋体" w:hAnsi="宋体" w:eastAsia="宋体"/>
          <w:szCs w:val="21"/>
        </w:rPr>
        <w:t>，</w:t>
      </w:r>
      <w:r>
        <w:rPr>
          <w:rFonts w:ascii="宋体" w:hAnsi="宋体" w:eastAsia="宋体"/>
        </w:rPr>
        <w:t>根据用户需求和技术发展，持续优化系统功能</w:t>
      </w:r>
      <w:r>
        <w:rPr>
          <w:rFonts w:hint="eastAsia" w:ascii="宋体" w:hAnsi="宋体" w:eastAsia="宋体"/>
        </w:rPr>
        <w:t>，</w:t>
      </w:r>
      <w:r>
        <w:rPr>
          <w:rFonts w:ascii="宋体" w:hAnsi="宋体" w:eastAsia="宋体"/>
          <w:szCs w:val="21"/>
        </w:rPr>
        <w:t>建立系统维护日志，记录系统运行状态和故障处理情况。</w:t>
      </w:r>
    </w:p>
    <w:p w14:paraId="311BD4B5">
      <w:pPr>
        <w:numPr>
          <w:ilvl w:val="0"/>
          <w:numId w:val="64"/>
        </w:numPr>
        <w:spacing w:line="360" w:lineRule="auto"/>
        <w:rPr>
          <w:rFonts w:hint="eastAsia" w:ascii="宋体" w:hAnsi="宋体" w:eastAsia="宋体"/>
        </w:rPr>
      </w:pPr>
      <w:r>
        <w:rPr>
          <w:rFonts w:hint="eastAsia" w:ascii="宋体" w:hAnsi="宋体" w:eastAsia="宋体" w:cs="宋体"/>
          <w:bCs/>
          <w:szCs w:val="21"/>
        </w:rPr>
        <w:t>提供包括但不限于投标人（供应商）、招标代理机构、专家库、招标人等交易信息库主数据管理。</w:t>
      </w:r>
    </w:p>
    <w:p w14:paraId="13BBFC40">
      <w:pPr>
        <w:numPr>
          <w:ilvl w:val="0"/>
          <w:numId w:val="64"/>
        </w:numPr>
        <w:spacing w:line="360" w:lineRule="auto"/>
        <w:rPr>
          <w:rFonts w:hint="eastAsia" w:ascii="宋体" w:hAnsi="宋体" w:eastAsia="宋体"/>
        </w:rPr>
      </w:pPr>
      <w:r>
        <w:rPr>
          <w:rFonts w:hint="eastAsia" w:ascii="宋体" w:hAnsi="宋体" w:eastAsia="宋体" w:cs="宋体"/>
          <w:bCs/>
          <w:szCs w:val="21"/>
        </w:rPr>
        <w:t>业务流程服务。热线电话和企业在线客服咨询；技术解答服务；项目保障技术支撑服务；</w:t>
      </w:r>
    </w:p>
    <w:p w14:paraId="2DC8DB39">
      <w:pPr>
        <w:numPr>
          <w:ilvl w:val="0"/>
          <w:numId w:val="64"/>
        </w:numPr>
        <w:spacing w:line="360" w:lineRule="auto"/>
        <w:rPr>
          <w:rFonts w:hint="eastAsia" w:ascii="宋体" w:hAnsi="宋体" w:eastAsia="宋体"/>
        </w:rPr>
      </w:pPr>
      <w:r>
        <w:rPr>
          <w:rFonts w:hint="eastAsia" w:ascii="宋体" w:hAnsi="宋体" w:eastAsia="宋体" w:cs="宋体"/>
          <w:bCs/>
          <w:szCs w:val="21"/>
        </w:rPr>
        <w:t>处理交易主体数据改动申请需求；配合相关部门提供专项调档服务；配合临时突击性工作；</w:t>
      </w:r>
    </w:p>
    <w:p w14:paraId="0D8EE77C">
      <w:pPr>
        <w:numPr>
          <w:ilvl w:val="0"/>
          <w:numId w:val="64"/>
        </w:numPr>
        <w:spacing w:line="360" w:lineRule="auto"/>
        <w:rPr>
          <w:rFonts w:hint="eastAsia" w:ascii="宋体" w:hAnsi="宋体" w:eastAsia="宋体"/>
        </w:rPr>
      </w:pPr>
      <w:r>
        <w:rPr>
          <w:rFonts w:hint="eastAsia" w:ascii="宋体" w:hAnsi="宋体" w:eastAsia="宋体" w:cs="宋体"/>
          <w:bCs/>
          <w:szCs w:val="21"/>
        </w:rPr>
        <w:t>日常文档整理、工作汇报；</w:t>
      </w:r>
    </w:p>
    <w:p w14:paraId="3E53485A">
      <w:pPr>
        <w:numPr>
          <w:ilvl w:val="0"/>
          <w:numId w:val="64"/>
        </w:numPr>
        <w:spacing w:line="360" w:lineRule="auto"/>
        <w:rPr>
          <w:rFonts w:hint="eastAsia" w:ascii="宋体" w:hAnsi="宋体" w:eastAsia="宋体"/>
        </w:rPr>
      </w:pPr>
      <w:r>
        <w:rPr>
          <w:rFonts w:hint="eastAsia" w:ascii="宋体" w:hAnsi="宋体" w:eastAsia="宋体" w:cs="宋体"/>
          <w:bCs/>
          <w:szCs w:val="21"/>
        </w:rPr>
        <w:t>配合提供驻场服务、远程异地评标服务、数据统计分析服务等系统业务运营服务。</w:t>
      </w:r>
    </w:p>
    <w:p w14:paraId="1C0B8967">
      <w:pPr>
        <w:pStyle w:val="5"/>
        <w:numPr>
          <w:ilvl w:val="1"/>
          <w:numId w:val="39"/>
        </w:numPr>
        <w:spacing w:before="260" w:after="260"/>
        <w:jc w:val="both"/>
        <w:rPr>
          <w:rFonts w:hint="eastAsia" w:ascii="宋体" w:hAnsi="宋体" w:cs="宋体"/>
          <w:szCs w:val="28"/>
        </w:rPr>
      </w:pPr>
      <w:bookmarkStart w:id="238" w:name="_Toc179751539"/>
      <w:r>
        <w:rPr>
          <w:rFonts w:hint="eastAsia" w:ascii="宋体" w:hAnsi="宋体"/>
          <w:szCs w:val="28"/>
        </w:rPr>
        <w:t xml:space="preserve"> </w:t>
      </w:r>
      <w:bookmarkStart w:id="239" w:name="_Toc180265658"/>
      <w:r>
        <w:rPr>
          <w:rFonts w:hint="eastAsia" w:ascii="宋体" w:hAnsi="宋体"/>
          <w:szCs w:val="28"/>
        </w:rPr>
        <w:t>人员配置及分工方案</w:t>
      </w:r>
      <w:bookmarkEnd w:id="238"/>
      <w:bookmarkEnd w:id="239"/>
    </w:p>
    <w:p w14:paraId="01A2ECB1">
      <w:pPr>
        <w:pStyle w:val="6"/>
        <w:numPr>
          <w:ilvl w:val="2"/>
          <w:numId w:val="39"/>
        </w:numPr>
        <w:spacing w:before="260" w:after="260" w:line="416" w:lineRule="auto"/>
        <w:jc w:val="both"/>
        <w:rPr>
          <w:rFonts w:hint="eastAsia" w:ascii="宋体" w:hAnsi="宋体" w:cstheme="majorBidi"/>
          <w:szCs w:val="24"/>
        </w:rPr>
      </w:pPr>
      <w:bookmarkStart w:id="240" w:name="_Toc179751540"/>
      <w:bookmarkStart w:id="241" w:name="_Toc180265659"/>
      <w:r>
        <w:rPr>
          <w:rFonts w:hint="eastAsia" w:ascii="宋体" w:hAnsi="宋体" w:cstheme="majorBidi"/>
          <w:szCs w:val="24"/>
        </w:rPr>
        <w:t>项目团队组织架构</w:t>
      </w:r>
      <w:bookmarkEnd w:id="240"/>
      <w:bookmarkEnd w:id="241"/>
    </w:p>
    <w:p w14:paraId="625F0596">
      <w:pPr>
        <w:spacing w:line="360" w:lineRule="auto"/>
        <w:ind w:firstLine="420"/>
        <w:rPr>
          <w:rFonts w:hint="eastAsia" w:ascii="宋体" w:hAnsi="宋体" w:eastAsia="宋体"/>
        </w:rPr>
      </w:pPr>
      <w:r>
        <w:rPr>
          <w:rFonts w:hint="eastAsia" w:ascii="宋体" w:hAnsi="宋体" w:eastAsia="宋体"/>
        </w:rPr>
        <w:t>本章节仅就电子采购系统项目团队进行描述，规划行业采购体系团队在【17规划实施方案】中描述，这里不再赘述。</w:t>
      </w:r>
    </w:p>
    <w:p w14:paraId="726629AD">
      <w:pPr>
        <w:snapToGrid w:val="0"/>
        <w:spacing w:line="360" w:lineRule="auto"/>
        <w:contextualSpacing/>
        <w:rPr>
          <w:rFonts w:hint="eastAsia" w:ascii="宋体" w:hAnsi="宋体" w:eastAsia="宋体" w:cs="宋体"/>
          <w:szCs w:val="21"/>
        </w:rPr>
      </w:pPr>
      <w:r>
        <w:rPr>
          <w:rFonts w:ascii="宋体" w:hAnsi="宋体" w:eastAsia="宋体"/>
        </w:rPr>
        <w:drawing>
          <wp:inline distT="0" distB="0" distL="0" distR="0">
            <wp:extent cx="5939790" cy="3485515"/>
            <wp:effectExtent l="0" t="0" r="3810" b="635"/>
            <wp:docPr id="4287845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84593" name="图片 1"/>
                    <pic:cNvPicPr>
                      <a:picLocks noChangeAspect="1"/>
                    </pic:cNvPicPr>
                  </pic:nvPicPr>
                  <pic:blipFill>
                    <a:blip r:embed="rId133"/>
                    <a:stretch>
                      <a:fillRect/>
                    </a:stretch>
                  </pic:blipFill>
                  <pic:spPr>
                    <a:xfrm>
                      <a:off x="0" y="0"/>
                      <a:ext cx="5939790" cy="3485515"/>
                    </a:xfrm>
                    <a:prstGeom prst="rect">
                      <a:avLst/>
                    </a:prstGeom>
                  </pic:spPr>
                </pic:pic>
              </a:graphicData>
            </a:graphic>
          </wp:inline>
        </w:drawing>
      </w:r>
    </w:p>
    <w:p w14:paraId="5459C383">
      <w:pPr>
        <w:pStyle w:val="6"/>
        <w:numPr>
          <w:ilvl w:val="2"/>
          <w:numId w:val="39"/>
        </w:numPr>
        <w:spacing w:before="260" w:after="260" w:line="416" w:lineRule="auto"/>
        <w:jc w:val="both"/>
        <w:rPr>
          <w:rFonts w:hint="eastAsia" w:ascii="宋体" w:hAnsi="宋体" w:cstheme="majorBidi"/>
          <w:szCs w:val="24"/>
        </w:rPr>
      </w:pPr>
      <w:bookmarkStart w:id="242" w:name="_Toc180265660"/>
      <w:bookmarkStart w:id="243" w:name="_Toc179751541"/>
      <w:r>
        <w:rPr>
          <w:rFonts w:hint="eastAsia" w:ascii="宋体" w:hAnsi="宋体" w:cstheme="majorBidi"/>
          <w:szCs w:val="24"/>
        </w:rPr>
        <w:t>团队成员分工方案</w:t>
      </w:r>
      <w:bookmarkEnd w:id="242"/>
      <w:bookmarkEnd w:id="243"/>
    </w:p>
    <w:p w14:paraId="12AE6790">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本章节仅就团队成员分工进行资源分配，成员简历、资质、证书等相关信息详见商务部分【6.6项目团队成员】，这里不再赘述。</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325"/>
        <w:gridCol w:w="801"/>
        <w:gridCol w:w="201"/>
        <w:gridCol w:w="1846"/>
        <w:gridCol w:w="3816"/>
      </w:tblGrid>
      <w:tr w14:paraId="62B0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7C7B32A">
            <w:pPr>
              <w:snapToGrid w:val="0"/>
              <w:spacing w:line="360" w:lineRule="auto"/>
              <w:contextualSpacing/>
              <w:rPr>
                <w:rFonts w:hint="eastAsia" w:ascii="宋体" w:hAnsi="宋体" w:eastAsia="宋体" w:cs="宋体"/>
                <w:szCs w:val="21"/>
              </w:rPr>
            </w:pPr>
          </w:p>
        </w:tc>
        <w:tc>
          <w:tcPr>
            <w:tcW w:w="1418" w:type="dxa"/>
          </w:tcPr>
          <w:p w14:paraId="53312068">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项目团队</w:t>
            </w:r>
          </w:p>
        </w:tc>
        <w:tc>
          <w:tcPr>
            <w:tcW w:w="3118" w:type="dxa"/>
            <w:gridSpan w:val="3"/>
          </w:tcPr>
          <w:p w14:paraId="1EB520EE">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姓名</w:t>
            </w:r>
          </w:p>
        </w:tc>
        <w:tc>
          <w:tcPr>
            <w:tcW w:w="4246" w:type="dxa"/>
          </w:tcPr>
          <w:p w14:paraId="25BD1A90">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在本项目中的职责和工作内容</w:t>
            </w:r>
          </w:p>
        </w:tc>
      </w:tr>
      <w:tr w14:paraId="4041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1D4208C">
            <w:pPr>
              <w:snapToGrid w:val="0"/>
              <w:spacing w:line="360" w:lineRule="auto"/>
              <w:contextualSpacing/>
              <w:rPr>
                <w:rFonts w:hint="eastAsia" w:ascii="宋体" w:hAnsi="宋体" w:eastAsia="宋体" w:cs="宋体"/>
                <w:szCs w:val="21"/>
              </w:rPr>
            </w:pPr>
            <w:r>
              <w:rPr>
                <w:rFonts w:hint="eastAsia" w:ascii="宋体" w:hAnsi="宋体" w:eastAsia="宋体" w:cs="宋体"/>
                <w:szCs w:val="21"/>
              </w:rPr>
              <w:t>1</w:t>
            </w:r>
          </w:p>
        </w:tc>
        <w:tc>
          <w:tcPr>
            <w:tcW w:w="1418" w:type="dxa"/>
          </w:tcPr>
          <w:p w14:paraId="31F15EBF">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项目经理</w:t>
            </w:r>
          </w:p>
        </w:tc>
        <w:tc>
          <w:tcPr>
            <w:tcW w:w="3118" w:type="dxa"/>
            <w:gridSpan w:val="3"/>
          </w:tcPr>
          <w:p w14:paraId="13CC8E98">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刘永青</w:t>
            </w:r>
          </w:p>
        </w:tc>
        <w:tc>
          <w:tcPr>
            <w:tcW w:w="4246" w:type="dxa"/>
          </w:tcPr>
          <w:p w14:paraId="29872274">
            <w:pPr>
              <w:snapToGrid w:val="0"/>
              <w:spacing w:line="360" w:lineRule="auto"/>
              <w:contextualSpacing/>
              <w:rPr>
                <w:rFonts w:hint="eastAsia" w:ascii="宋体" w:hAnsi="宋体" w:eastAsia="宋体" w:cs="宋体"/>
                <w:szCs w:val="21"/>
              </w:rPr>
            </w:pPr>
            <w:r>
              <w:rPr>
                <w:rFonts w:ascii="宋体" w:hAnsi="宋体" w:eastAsia="宋体"/>
              </w:rPr>
              <w:t>负责整个项目的规划、执行、监控和收尾，</w:t>
            </w:r>
            <w:r>
              <w:rPr>
                <w:rFonts w:hint="eastAsia" w:ascii="宋体" w:hAnsi="宋体" w:eastAsia="宋体"/>
              </w:rPr>
              <w:t>协调项目所有资源，</w:t>
            </w:r>
            <w:r>
              <w:rPr>
                <w:rFonts w:ascii="宋体" w:hAnsi="宋体" w:eastAsia="宋体"/>
              </w:rPr>
              <w:t>确保项目目标、时间</w:t>
            </w:r>
            <w:r>
              <w:rPr>
                <w:rFonts w:hint="eastAsia" w:ascii="宋体" w:hAnsi="宋体" w:eastAsia="宋体"/>
              </w:rPr>
              <w:t>进度</w:t>
            </w:r>
            <w:r>
              <w:rPr>
                <w:rFonts w:ascii="宋体" w:hAnsi="宋体" w:eastAsia="宋体"/>
              </w:rPr>
              <w:t>的实现</w:t>
            </w:r>
            <w:r>
              <w:rPr>
                <w:rFonts w:hint="eastAsia" w:ascii="宋体" w:hAnsi="宋体" w:eastAsia="宋体"/>
              </w:rPr>
              <w:t>。</w:t>
            </w:r>
          </w:p>
        </w:tc>
      </w:tr>
      <w:tr w14:paraId="6E44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E321AB8">
            <w:pPr>
              <w:snapToGrid w:val="0"/>
              <w:spacing w:line="360" w:lineRule="auto"/>
              <w:contextualSpacing/>
              <w:rPr>
                <w:rFonts w:hint="eastAsia" w:ascii="宋体" w:hAnsi="宋体" w:eastAsia="宋体" w:cs="宋体"/>
                <w:szCs w:val="21"/>
              </w:rPr>
            </w:pPr>
            <w:r>
              <w:rPr>
                <w:rFonts w:hint="eastAsia" w:ascii="宋体" w:hAnsi="宋体" w:eastAsia="宋体" w:cs="宋体"/>
                <w:szCs w:val="21"/>
              </w:rPr>
              <w:t>2</w:t>
            </w:r>
          </w:p>
        </w:tc>
        <w:tc>
          <w:tcPr>
            <w:tcW w:w="1418" w:type="dxa"/>
          </w:tcPr>
          <w:p w14:paraId="5337DF22">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系统架构师</w:t>
            </w:r>
          </w:p>
        </w:tc>
        <w:tc>
          <w:tcPr>
            <w:tcW w:w="3118" w:type="dxa"/>
            <w:gridSpan w:val="3"/>
          </w:tcPr>
          <w:p w14:paraId="2177F079">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梁庆锋</w:t>
            </w:r>
          </w:p>
        </w:tc>
        <w:tc>
          <w:tcPr>
            <w:tcW w:w="4246" w:type="dxa"/>
          </w:tcPr>
          <w:p w14:paraId="115112A0">
            <w:pPr>
              <w:snapToGrid w:val="0"/>
              <w:spacing w:line="360" w:lineRule="auto"/>
              <w:contextualSpacing/>
              <w:rPr>
                <w:rFonts w:hint="eastAsia" w:ascii="宋体" w:hAnsi="宋体" w:eastAsia="宋体" w:cs="宋体"/>
                <w:szCs w:val="21"/>
              </w:rPr>
            </w:pPr>
            <w:r>
              <w:rPr>
                <w:rFonts w:ascii="宋体" w:hAnsi="宋体" w:eastAsia="宋体"/>
              </w:rPr>
              <w:t>深入了解</w:t>
            </w:r>
            <w:r>
              <w:rPr>
                <w:rFonts w:hint="eastAsia" w:ascii="宋体" w:hAnsi="宋体" w:eastAsia="宋体"/>
              </w:rPr>
              <w:t>烟草总公司目前信息化建设现状和技术体系，制定出我公司产品如何适配烟草总公司技术架构的方案，并制定本次项目实施的</w:t>
            </w:r>
            <w:r>
              <w:rPr>
                <w:rFonts w:ascii="宋体" w:hAnsi="宋体" w:eastAsia="宋体"/>
              </w:rPr>
              <w:t>系统架构，包括</w:t>
            </w:r>
            <w:r>
              <w:rPr>
                <w:rFonts w:hint="eastAsia" w:ascii="宋体" w:hAnsi="宋体" w:eastAsia="宋体"/>
              </w:rPr>
              <w:t>总体架构、集成架构、技术架构、功能架构、部署架构、数据架构等。</w:t>
            </w:r>
          </w:p>
        </w:tc>
      </w:tr>
      <w:tr w14:paraId="0B75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562" w:type="dxa"/>
            <w:vMerge w:val="restart"/>
          </w:tcPr>
          <w:p w14:paraId="48AE90C8">
            <w:pPr>
              <w:snapToGrid w:val="0"/>
              <w:spacing w:line="360" w:lineRule="auto"/>
              <w:contextualSpacing/>
              <w:rPr>
                <w:rFonts w:hint="eastAsia" w:ascii="宋体" w:hAnsi="宋体" w:eastAsia="宋体" w:cs="宋体"/>
                <w:szCs w:val="21"/>
              </w:rPr>
            </w:pPr>
          </w:p>
        </w:tc>
        <w:tc>
          <w:tcPr>
            <w:tcW w:w="1418" w:type="dxa"/>
            <w:vMerge w:val="restart"/>
          </w:tcPr>
          <w:p w14:paraId="6BF5328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产品团队</w:t>
            </w:r>
          </w:p>
          <w:p w14:paraId="38A05822">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（项目文档管理）</w:t>
            </w:r>
          </w:p>
        </w:tc>
        <w:tc>
          <w:tcPr>
            <w:tcW w:w="852" w:type="dxa"/>
          </w:tcPr>
          <w:p w14:paraId="7A61EA3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负责人</w:t>
            </w:r>
          </w:p>
        </w:tc>
        <w:tc>
          <w:tcPr>
            <w:tcW w:w="2266" w:type="dxa"/>
            <w:gridSpan w:val="2"/>
          </w:tcPr>
          <w:p w14:paraId="19622B7A">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霍雨佳</w:t>
            </w:r>
          </w:p>
        </w:tc>
        <w:tc>
          <w:tcPr>
            <w:tcW w:w="4246" w:type="dxa"/>
            <w:vMerge w:val="restart"/>
          </w:tcPr>
          <w:p w14:paraId="662A9A7F">
            <w:pPr>
              <w:snapToGrid w:val="0"/>
              <w:spacing w:line="360" w:lineRule="auto"/>
              <w:contextualSpacing/>
              <w:rPr>
                <w:rFonts w:hint="eastAsia" w:ascii="宋体" w:hAnsi="宋体" w:eastAsia="宋体" w:cs="宋体"/>
                <w:szCs w:val="21"/>
              </w:rPr>
            </w:pPr>
            <w:r>
              <w:rPr>
                <w:rFonts w:ascii="宋体" w:hAnsi="宋体" w:eastAsia="宋体"/>
                <w:szCs w:val="21"/>
              </w:rPr>
              <w:t>深入理解</w:t>
            </w:r>
            <w:r>
              <w:rPr>
                <w:rFonts w:hint="eastAsia" w:ascii="宋体" w:hAnsi="宋体" w:eastAsia="宋体"/>
                <w:szCs w:val="21"/>
              </w:rPr>
              <w:t>本次项目建设需求和烟草行业</w:t>
            </w:r>
            <w:r>
              <w:rPr>
                <w:rFonts w:ascii="宋体" w:hAnsi="宋体" w:eastAsia="宋体"/>
                <w:szCs w:val="21"/>
              </w:rPr>
              <w:t>采购业务流程</w:t>
            </w:r>
            <w:r>
              <w:rPr>
                <w:rFonts w:hint="eastAsia" w:ascii="宋体" w:hAnsi="宋体" w:eastAsia="宋体"/>
                <w:szCs w:val="21"/>
              </w:rPr>
              <w:t>，甄别我公司现有产品与用需求之间的差别，并</w:t>
            </w:r>
            <w:r>
              <w:rPr>
                <w:rFonts w:ascii="宋体" w:hAnsi="宋体" w:eastAsia="宋体"/>
              </w:rPr>
              <w:t>撰写</w:t>
            </w:r>
            <w:r>
              <w:rPr>
                <w:rFonts w:hint="eastAsia" w:ascii="宋体" w:hAnsi="宋体" w:eastAsia="宋体"/>
              </w:rPr>
              <w:t>二次开发</w:t>
            </w:r>
            <w:r>
              <w:rPr>
                <w:rFonts w:ascii="宋体" w:hAnsi="宋体" w:eastAsia="宋体"/>
              </w:rPr>
              <w:t>需求规格说明书</w:t>
            </w:r>
            <w:r>
              <w:rPr>
                <w:rFonts w:hint="eastAsia" w:ascii="宋体" w:hAnsi="宋体" w:eastAsia="宋体"/>
              </w:rPr>
              <w:t>、编制详细设计中的原型设计</w:t>
            </w:r>
            <w:r>
              <w:rPr>
                <w:rFonts w:ascii="宋体" w:hAnsi="宋体" w:eastAsia="宋体"/>
              </w:rPr>
              <w:t>，与用户和开发团队保持沟通，确保需求被正确理解和实现</w:t>
            </w:r>
            <w:r>
              <w:rPr>
                <w:rFonts w:hint="eastAsia" w:ascii="宋体" w:hAnsi="宋体" w:eastAsia="宋体"/>
              </w:rPr>
              <w:t>，同时负责</w:t>
            </w:r>
            <w:r>
              <w:rPr>
                <w:rFonts w:hint="eastAsia" w:ascii="宋体" w:hAnsi="宋体" w:eastAsia="宋体" w:cs="宋体"/>
                <w:szCs w:val="21"/>
              </w:rPr>
              <w:t>本项目的文档、资料、进度管理</w:t>
            </w:r>
            <w:r>
              <w:rPr>
                <w:rFonts w:hint="eastAsia" w:ascii="宋体" w:hAnsi="宋体" w:eastAsia="宋体"/>
              </w:rPr>
              <w:t>。</w:t>
            </w:r>
          </w:p>
        </w:tc>
      </w:tr>
      <w:tr w14:paraId="4AA1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562" w:type="dxa"/>
            <w:vMerge w:val="continue"/>
          </w:tcPr>
          <w:p w14:paraId="42AB0B7C">
            <w:pPr>
              <w:snapToGrid w:val="0"/>
              <w:spacing w:line="360" w:lineRule="auto"/>
              <w:contextualSpacing/>
              <w:rPr>
                <w:rFonts w:hint="eastAsia" w:ascii="宋体" w:hAnsi="宋体" w:eastAsia="宋体" w:cs="宋体"/>
                <w:szCs w:val="21"/>
              </w:rPr>
            </w:pPr>
          </w:p>
        </w:tc>
        <w:tc>
          <w:tcPr>
            <w:tcW w:w="1418" w:type="dxa"/>
            <w:vMerge w:val="continue"/>
          </w:tcPr>
          <w:p w14:paraId="36E460C6">
            <w:pPr>
              <w:snapToGrid w:val="0"/>
              <w:spacing w:line="360" w:lineRule="auto"/>
              <w:contextualSpacing/>
              <w:rPr>
                <w:rFonts w:hint="eastAsia" w:ascii="宋体" w:hAnsi="宋体" w:eastAsia="宋体" w:cs="宋体"/>
                <w:szCs w:val="21"/>
              </w:rPr>
            </w:pPr>
          </w:p>
        </w:tc>
        <w:tc>
          <w:tcPr>
            <w:tcW w:w="852" w:type="dxa"/>
          </w:tcPr>
          <w:p w14:paraId="726165C4">
            <w:pPr>
              <w:snapToGrid w:val="0"/>
              <w:spacing w:line="360" w:lineRule="auto"/>
              <w:contextualSpacing/>
              <w:rPr>
                <w:rFonts w:hint="eastAsia" w:ascii="宋体" w:hAnsi="宋体" w:eastAsia="宋体" w:cs="宋体"/>
                <w:b/>
                <w:bCs/>
                <w:szCs w:val="21"/>
              </w:rPr>
            </w:pPr>
          </w:p>
          <w:p w14:paraId="1D8A083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需求分析设计组</w:t>
            </w:r>
          </w:p>
          <w:p w14:paraId="536AE5B3">
            <w:pPr>
              <w:snapToGrid w:val="0"/>
              <w:spacing w:line="360" w:lineRule="auto"/>
              <w:contextualSpacing/>
              <w:rPr>
                <w:rFonts w:hint="eastAsia" w:ascii="宋体" w:hAnsi="宋体" w:eastAsia="宋体" w:cs="宋体"/>
                <w:b/>
                <w:bCs/>
                <w:szCs w:val="21"/>
              </w:rPr>
            </w:pPr>
          </w:p>
        </w:tc>
        <w:tc>
          <w:tcPr>
            <w:tcW w:w="2266" w:type="dxa"/>
            <w:gridSpan w:val="2"/>
          </w:tcPr>
          <w:p w14:paraId="46FAE03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刘东</w:t>
            </w:r>
          </w:p>
          <w:p w14:paraId="21777B5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郑良瑜</w:t>
            </w:r>
          </w:p>
          <w:p w14:paraId="7FC278C9">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刘森</w:t>
            </w:r>
          </w:p>
        </w:tc>
        <w:tc>
          <w:tcPr>
            <w:tcW w:w="4246" w:type="dxa"/>
            <w:vMerge w:val="continue"/>
          </w:tcPr>
          <w:p w14:paraId="62A0B738">
            <w:pPr>
              <w:snapToGrid w:val="0"/>
              <w:spacing w:line="360" w:lineRule="auto"/>
              <w:contextualSpacing/>
              <w:rPr>
                <w:rFonts w:hint="eastAsia" w:ascii="宋体" w:hAnsi="宋体" w:eastAsia="宋体"/>
                <w:szCs w:val="21"/>
              </w:rPr>
            </w:pPr>
          </w:p>
        </w:tc>
      </w:tr>
      <w:tr w14:paraId="423E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62" w:type="dxa"/>
            <w:vMerge w:val="restart"/>
          </w:tcPr>
          <w:p w14:paraId="3DD35D80">
            <w:pPr>
              <w:snapToGrid w:val="0"/>
              <w:spacing w:line="360" w:lineRule="auto"/>
              <w:contextualSpacing/>
              <w:rPr>
                <w:rFonts w:hint="eastAsia" w:ascii="宋体" w:hAnsi="宋体" w:eastAsia="宋体" w:cs="宋体"/>
                <w:szCs w:val="21"/>
              </w:rPr>
            </w:pPr>
          </w:p>
        </w:tc>
        <w:tc>
          <w:tcPr>
            <w:tcW w:w="1418" w:type="dxa"/>
            <w:vMerge w:val="restart"/>
          </w:tcPr>
          <w:p w14:paraId="70B6C19A">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研发团队</w:t>
            </w:r>
          </w:p>
        </w:tc>
        <w:tc>
          <w:tcPr>
            <w:tcW w:w="1080" w:type="dxa"/>
            <w:gridSpan w:val="2"/>
          </w:tcPr>
          <w:p w14:paraId="2E2E2370">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负责人</w:t>
            </w:r>
          </w:p>
        </w:tc>
        <w:tc>
          <w:tcPr>
            <w:tcW w:w="2038" w:type="dxa"/>
          </w:tcPr>
          <w:p w14:paraId="3B124825">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林胜明</w:t>
            </w:r>
          </w:p>
        </w:tc>
        <w:tc>
          <w:tcPr>
            <w:tcW w:w="4246" w:type="dxa"/>
            <w:vMerge w:val="restart"/>
          </w:tcPr>
          <w:p w14:paraId="47667FB8">
            <w:pPr>
              <w:snapToGrid w:val="0"/>
              <w:spacing w:line="360" w:lineRule="auto"/>
              <w:contextualSpacing/>
              <w:rPr>
                <w:rFonts w:hint="eastAsia" w:ascii="宋体" w:hAnsi="宋体" w:eastAsia="宋体" w:cs="宋体"/>
                <w:szCs w:val="21"/>
              </w:rPr>
            </w:pPr>
            <w:r>
              <w:rPr>
                <w:rFonts w:ascii="宋体" w:hAnsi="宋体" w:eastAsia="宋体"/>
              </w:rPr>
              <w:t>根据</w:t>
            </w:r>
            <w:r>
              <w:rPr>
                <w:rFonts w:hint="eastAsia" w:ascii="宋体" w:hAnsi="宋体" w:eastAsia="宋体"/>
              </w:rPr>
              <w:t>系统技术设计和二次开发需求说明书及详细</w:t>
            </w:r>
            <w:r>
              <w:rPr>
                <w:rFonts w:ascii="宋体" w:hAnsi="宋体" w:eastAsia="宋体"/>
              </w:rPr>
              <w:t>设计文档进行编码，实现</w:t>
            </w:r>
            <w:r>
              <w:rPr>
                <w:rFonts w:hint="eastAsia" w:ascii="宋体" w:hAnsi="宋体" w:eastAsia="宋体"/>
              </w:rPr>
              <w:t>产品</w:t>
            </w:r>
            <w:r>
              <w:rPr>
                <w:rFonts w:ascii="宋体" w:hAnsi="宋体" w:eastAsia="宋体"/>
              </w:rPr>
              <w:t>功能</w:t>
            </w:r>
            <w:r>
              <w:rPr>
                <w:rFonts w:hint="eastAsia" w:ascii="宋体" w:hAnsi="宋体" w:eastAsia="宋体"/>
              </w:rPr>
              <w:t>的适配和新功能的开发，</w:t>
            </w:r>
            <w:r>
              <w:rPr>
                <w:rFonts w:ascii="宋体" w:hAnsi="宋体" w:eastAsia="宋体"/>
                <w:szCs w:val="21"/>
              </w:rPr>
              <w:t>根据技术栈分配任务</w:t>
            </w:r>
            <w:r>
              <w:rPr>
                <w:rFonts w:hint="eastAsia" w:ascii="宋体" w:hAnsi="宋体" w:eastAsia="宋体"/>
                <w:szCs w:val="21"/>
              </w:rPr>
              <w:t>，并</w:t>
            </w:r>
            <w:r>
              <w:rPr>
                <w:rFonts w:ascii="宋体" w:hAnsi="宋体" w:eastAsia="宋体"/>
                <w:szCs w:val="21"/>
              </w:rPr>
              <w:t>确保</w:t>
            </w:r>
            <w:r>
              <w:rPr>
                <w:rFonts w:hint="eastAsia" w:ascii="宋体" w:hAnsi="宋体" w:eastAsia="宋体"/>
                <w:szCs w:val="21"/>
              </w:rPr>
              <w:t>整个</w:t>
            </w:r>
            <w:r>
              <w:rPr>
                <w:rFonts w:ascii="宋体" w:hAnsi="宋体" w:eastAsia="宋体"/>
                <w:szCs w:val="21"/>
              </w:rPr>
              <w:t>技术团队技能互补，高效协作</w:t>
            </w:r>
          </w:p>
        </w:tc>
      </w:tr>
      <w:tr w14:paraId="7907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562" w:type="dxa"/>
            <w:vMerge w:val="continue"/>
          </w:tcPr>
          <w:p w14:paraId="7496C431">
            <w:pPr>
              <w:snapToGrid w:val="0"/>
              <w:spacing w:line="360" w:lineRule="auto"/>
              <w:contextualSpacing/>
              <w:rPr>
                <w:rFonts w:hint="eastAsia" w:ascii="宋体" w:hAnsi="宋体" w:eastAsia="宋体" w:cs="宋体"/>
                <w:szCs w:val="21"/>
              </w:rPr>
            </w:pPr>
          </w:p>
        </w:tc>
        <w:tc>
          <w:tcPr>
            <w:tcW w:w="1418" w:type="dxa"/>
            <w:vMerge w:val="continue"/>
          </w:tcPr>
          <w:p w14:paraId="56F1894E">
            <w:pPr>
              <w:snapToGrid w:val="0"/>
              <w:spacing w:line="360" w:lineRule="auto"/>
              <w:contextualSpacing/>
              <w:rPr>
                <w:rFonts w:hint="eastAsia" w:ascii="宋体" w:hAnsi="宋体" w:eastAsia="宋体" w:cs="宋体"/>
                <w:szCs w:val="21"/>
              </w:rPr>
            </w:pPr>
          </w:p>
        </w:tc>
        <w:tc>
          <w:tcPr>
            <w:tcW w:w="1080" w:type="dxa"/>
            <w:gridSpan w:val="2"/>
          </w:tcPr>
          <w:p w14:paraId="0B2D58C5">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研发组</w:t>
            </w:r>
          </w:p>
        </w:tc>
        <w:tc>
          <w:tcPr>
            <w:tcW w:w="2038" w:type="dxa"/>
          </w:tcPr>
          <w:p w14:paraId="65B3327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沙言智</w:t>
            </w:r>
          </w:p>
          <w:p w14:paraId="26A3E236">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梁霄</w:t>
            </w:r>
          </w:p>
          <w:p w14:paraId="782A096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董凯</w:t>
            </w:r>
          </w:p>
          <w:p w14:paraId="7FB8BCAA">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张运行</w:t>
            </w:r>
          </w:p>
          <w:p w14:paraId="6D2AC1C3">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郭启航</w:t>
            </w:r>
          </w:p>
          <w:p w14:paraId="1C58475C">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马林</w:t>
            </w:r>
          </w:p>
          <w:p w14:paraId="01B64F18">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孙刚</w:t>
            </w:r>
          </w:p>
          <w:p w14:paraId="4A0507D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郭剑章</w:t>
            </w:r>
          </w:p>
          <w:p w14:paraId="3E0983F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李克林</w:t>
            </w:r>
          </w:p>
          <w:p w14:paraId="0E187D9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屈年博</w:t>
            </w:r>
          </w:p>
        </w:tc>
        <w:tc>
          <w:tcPr>
            <w:tcW w:w="4246" w:type="dxa"/>
            <w:vMerge w:val="continue"/>
          </w:tcPr>
          <w:p w14:paraId="5C95C731">
            <w:pPr>
              <w:snapToGrid w:val="0"/>
              <w:spacing w:line="360" w:lineRule="auto"/>
              <w:contextualSpacing/>
              <w:rPr>
                <w:rFonts w:hint="eastAsia" w:ascii="宋体" w:hAnsi="宋体" w:eastAsia="宋体"/>
              </w:rPr>
            </w:pPr>
          </w:p>
        </w:tc>
      </w:tr>
      <w:tr w14:paraId="5013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562" w:type="dxa"/>
            <w:vMerge w:val="continue"/>
          </w:tcPr>
          <w:p w14:paraId="2FD52AC9">
            <w:pPr>
              <w:snapToGrid w:val="0"/>
              <w:spacing w:line="360" w:lineRule="auto"/>
              <w:contextualSpacing/>
              <w:rPr>
                <w:rFonts w:hint="eastAsia" w:ascii="宋体" w:hAnsi="宋体" w:eastAsia="宋体" w:cs="宋体"/>
                <w:szCs w:val="21"/>
              </w:rPr>
            </w:pPr>
          </w:p>
        </w:tc>
        <w:tc>
          <w:tcPr>
            <w:tcW w:w="1418" w:type="dxa"/>
            <w:vMerge w:val="continue"/>
          </w:tcPr>
          <w:p w14:paraId="1FD72C2D">
            <w:pPr>
              <w:snapToGrid w:val="0"/>
              <w:spacing w:line="360" w:lineRule="auto"/>
              <w:contextualSpacing/>
              <w:rPr>
                <w:rFonts w:hint="eastAsia" w:ascii="宋体" w:hAnsi="宋体" w:eastAsia="宋体" w:cs="宋体"/>
                <w:szCs w:val="21"/>
              </w:rPr>
            </w:pPr>
          </w:p>
        </w:tc>
        <w:tc>
          <w:tcPr>
            <w:tcW w:w="1080" w:type="dxa"/>
            <w:gridSpan w:val="2"/>
          </w:tcPr>
          <w:p w14:paraId="1CC674F2">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非招标模块研发组</w:t>
            </w:r>
          </w:p>
        </w:tc>
        <w:tc>
          <w:tcPr>
            <w:tcW w:w="2038" w:type="dxa"/>
          </w:tcPr>
          <w:p w14:paraId="04811D0B">
            <w:pPr>
              <w:snapToGrid w:val="0"/>
              <w:spacing w:line="360" w:lineRule="auto"/>
              <w:contextualSpacing/>
              <w:rPr>
                <w:rFonts w:hint="eastAsia" w:ascii="宋体" w:hAnsi="宋体" w:eastAsia="宋体" w:cs="宋体"/>
                <w:szCs w:val="21"/>
              </w:rPr>
            </w:pPr>
            <w:r>
              <w:rPr>
                <w:rFonts w:hint="eastAsia" w:ascii="宋体" w:hAnsi="宋体" w:eastAsia="宋体" w:cs="宋体"/>
                <w:szCs w:val="21"/>
              </w:rPr>
              <w:t>付增斌</w:t>
            </w:r>
          </w:p>
          <w:p w14:paraId="6843DA2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王文博</w:t>
            </w:r>
          </w:p>
          <w:p w14:paraId="0E14FBFD">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王站飞</w:t>
            </w:r>
          </w:p>
        </w:tc>
        <w:tc>
          <w:tcPr>
            <w:tcW w:w="4246" w:type="dxa"/>
            <w:vMerge w:val="continue"/>
          </w:tcPr>
          <w:p w14:paraId="5613C903">
            <w:pPr>
              <w:snapToGrid w:val="0"/>
              <w:spacing w:line="360" w:lineRule="auto"/>
              <w:contextualSpacing/>
              <w:rPr>
                <w:rFonts w:hint="eastAsia" w:ascii="宋体" w:hAnsi="宋体" w:eastAsia="宋体"/>
              </w:rPr>
            </w:pPr>
          </w:p>
        </w:tc>
      </w:tr>
      <w:tr w14:paraId="2AF2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62" w:type="dxa"/>
            <w:vMerge w:val="continue"/>
          </w:tcPr>
          <w:p w14:paraId="13C18087">
            <w:pPr>
              <w:snapToGrid w:val="0"/>
              <w:spacing w:line="360" w:lineRule="auto"/>
              <w:contextualSpacing/>
              <w:rPr>
                <w:rFonts w:hint="eastAsia" w:ascii="宋体" w:hAnsi="宋体" w:eastAsia="宋体" w:cs="宋体"/>
                <w:szCs w:val="21"/>
              </w:rPr>
            </w:pPr>
          </w:p>
        </w:tc>
        <w:tc>
          <w:tcPr>
            <w:tcW w:w="1418" w:type="dxa"/>
            <w:vMerge w:val="continue"/>
          </w:tcPr>
          <w:p w14:paraId="016C786A">
            <w:pPr>
              <w:snapToGrid w:val="0"/>
              <w:spacing w:line="360" w:lineRule="auto"/>
              <w:contextualSpacing/>
              <w:rPr>
                <w:rFonts w:hint="eastAsia" w:ascii="宋体" w:hAnsi="宋体" w:eastAsia="宋体" w:cs="宋体"/>
                <w:szCs w:val="21"/>
              </w:rPr>
            </w:pPr>
          </w:p>
        </w:tc>
        <w:tc>
          <w:tcPr>
            <w:tcW w:w="1080" w:type="dxa"/>
            <w:gridSpan w:val="2"/>
          </w:tcPr>
          <w:p w14:paraId="395424EB">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前端组</w:t>
            </w:r>
          </w:p>
        </w:tc>
        <w:tc>
          <w:tcPr>
            <w:tcW w:w="2038" w:type="dxa"/>
          </w:tcPr>
          <w:p w14:paraId="6C191DD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姚明辉</w:t>
            </w:r>
          </w:p>
          <w:p w14:paraId="1A9BB26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汪洋彬</w:t>
            </w:r>
          </w:p>
          <w:p w14:paraId="6218E546">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王嘉帅</w:t>
            </w:r>
          </w:p>
          <w:p w14:paraId="70209AEC">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杜文静</w:t>
            </w:r>
          </w:p>
        </w:tc>
        <w:tc>
          <w:tcPr>
            <w:tcW w:w="4246" w:type="dxa"/>
            <w:vMerge w:val="continue"/>
          </w:tcPr>
          <w:p w14:paraId="2DE4508A">
            <w:pPr>
              <w:snapToGrid w:val="0"/>
              <w:spacing w:line="360" w:lineRule="auto"/>
              <w:contextualSpacing/>
              <w:rPr>
                <w:rFonts w:hint="eastAsia" w:ascii="宋体" w:hAnsi="宋体" w:eastAsia="宋体"/>
              </w:rPr>
            </w:pPr>
          </w:p>
        </w:tc>
      </w:tr>
      <w:tr w14:paraId="4DE7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62" w:type="dxa"/>
            <w:vMerge w:val="continue"/>
          </w:tcPr>
          <w:p w14:paraId="3361AF4F">
            <w:pPr>
              <w:snapToGrid w:val="0"/>
              <w:spacing w:line="360" w:lineRule="auto"/>
              <w:contextualSpacing/>
              <w:rPr>
                <w:rFonts w:hint="eastAsia" w:ascii="宋体" w:hAnsi="宋体" w:eastAsia="宋体" w:cs="宋体"/>
                <w:szCs w:val="21"/>
              </w:rPr>
            </w:pPr>
          </w:p>
        </w:tc>
        <w:tc>
          <w:tcPr>
            <w:tcW w:w="1418" w:type="dxa"/>
            <w:vMerge w:val="continue"/>
          </w:tcPr>
          <w:p w14:paraId="458F36CD">
            <w:pPr>
              <w:snapToGrid w:val="0"/>
              <w:spacing w:line="360" w:lineRule="auto"/>
              <w:contextualSpacing/>
              <w:rPr>
                <w:rFonts w:hint="eastAsia" w:ascii="宋体" w:hAnsi="宋体" w:eastAsia="宋体" w:cs="宋体"/>
                <w:szCs w:val="21"/>
              </w:rPr>
            </w:pPr>
          </w:p>
        </w:tc>
        <w:tc>
          <w:tcPr>
            <w:tcW w:w="1080" w:type="dxa"/>
            <w:gridSpan w:val="2"/>
          </w:tcPr>
          <w:p w14:paraId="22362CCB">
            <w:pPr>
              <w:snapToGrid w:val="0"/>
              <w:spacing w:line="360" w:lineRule="auto"/>
              <w:contextualSpacing/>
              <w:rPr>
                <w:rFonts w:hint="eastAsia" w:ascii="宋体" w:hAnsi="宋体" w:eastAsia="宋体" w:cs="宋体"/>
                <w:szCs w:val="21"/>
              </w:rPr>
            </w:pPr>
            <w:r>
              <w:rPr>
                <w:rFonts w:hint="eastAsia" w:ascii="宋体" w:hAnsi="宋体" w:eastAsia="宋体" w:cs="宋体"/>
                <w:szCs w:val="21"/>
              </w:rPr>
              <w:t>UI设计</w:t>
            </w:r>
          </w:p>
        </w:tc>
        <w:tc>
          <w:tcPr>
            <w:tcW w:w="2038" w:type="dxa"/>
          </w:tcPr>
          <w:p w14:paraId="136124D1">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梁杰</w:t>
            </w:r>
          </w:p>
        </w:tc>
        <w:tc>
          <w:tcPr>
            <w:tcW w:w="4246" w:type="dxa"/>
            <w:vMerge w:val="continue"/>
          </w:tcPr>
          <w:p w14:paraId="10CE1AD4">
            <w:pPr>
              <w:snapToGrid w:val="0"/>
              <w:spacing w:line="360" w:lineRule="auto"/>
              <w:contextualSpacing/>
              <w:rPr>
                <w:rFonts w:hint="eastAsia" w:ascii="宋体" w:hAnsi="宋体" w:eastAsia="宋体"/>
              </w:rPr>
            </w:pPr>
          </w:p>
        </w:tc>
      </w:tr>
      <w:tr w14:paraId="1958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2" w:type="dxa"/>
            <w:vMerge w:val="restart"/>
          </w:tcPr>
          <w:p w14:paraId="567A65AB">
            <w:pPr>
              <w:snapToGrid w:val="0"/>
              <w:spacing w:line="360" w:lineRule="auto"/>
              <w:contextualSpacing/>
              <w:rPr>
                <w:rFonts w:hint="eastAsia" w:ascii="宋体" w:hAnsi="宋体" w:eastAsia="宋体" w:cs="宋体"/>
                <w:szCs w:val="21"/>
              </w:rPr>
            </w:pPr>
          </w:p>
        </w:tc>
        <w:tc>
          <w:tcPr>
            <w:tcW w:w="1418" w:type="dxa"/>
            <w:vMerge w:val="restart"/>
          </w:tcPr>
          <w:p w14:paraId="309B2677">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测试团队</w:t>
            </w:r>
          </w:p>
        </w:tc>
        <w:tc>
          <w:tcPr>
            <w:tcW w:w="1080" w:type="dxa"/>
            <w:gridSpan w:val="2"/>
          </w:tcPr>
          <w:p w14:paraId="4B1F78CC">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负责人</w:t>
            </w:r>
          </w:p>
        </w:tc>
        <w:tc>
          <w:tcPr>
            <w:tcW w:w="2038" w:type="dxa"/>
          </w:tcPr>
          <w:p w14:paraId="116A1496">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夏慧萍</w:t>
            </w:r>
          </w:p>
        </w:tc>
        <w:tc>
          <w:tcPr>
            <w:tcW w:w="4246" w:type="dxa"/>
            <w:vMerge w:val="restart"/>
          </w:tcPr>
          <w:p w14:paraId="2DA4763E">
            <w:pPr>
              <w:snapToGrid w:val="0"/>
              <w:spacing w:line="360" w:lineRule="auto"/>
              <w:contextualSpacing/>
              <w:rPr>
                <w:rFonts w:hint="eastAsia" w:ascii="宋体" w:hAnsi="宋体" w:eastAsia="宋体" w:cs="宋体"/>
                <w:szCs w:val="21"/>
              </w:rPr>
            </w:pPr>
            <w:r>
              <w:rPr>
                <w:rFonts w:hint="eastAsia" w:ascii="宋体" w:hAnsi="宋体" w:eastAsia="宋体"/>
              </w:rPr>
              <w:t>根据现有产品功能手册、本次项目二次开发需求规格说明书、详细设计方案</w:t>
            </w:r>
            <w:r>
              <w:rPr>
                <w:rFonts w:ascii="宋体" w:hAnsi="宋体" w:eastAsia="宋体"/>
                <w:szCs w:val="21"/>
              </w:rPr>
              <w:t>制定详细的测试计划，包括自动化测试脚本的编写，以提高测试效率</w:t>
            </w:r>
            <w:r>
              <w:rPr>
                <w:rFonts w:hint="eastAsia" w:ascii="宋体" w:hAnsi="宋体" w:eastAsia="宋体"/>
                <w:szCs w:val="21"/>
              </w:rPr>
              <w:t>，</w:t>
            </w:r>
            <w:r>
              <w:rPr>
                <w:rFonts w:ascii="宋体" w:hAnsi="宋体" w:eastAsia="宋体"/>
              </w:rPr>
              <w:t>编写测试用例，执行测试计划，确保软件质量</w:t>
            </w:r>
            <w:r>
              <w:rPr>
                <w:rFonts w:hint="eastAsia" w:ascii="宋体" w:hAnsi="宋体" w:eastAsia="宋体"/>
              </w:rPr>
              <w:t>。</w:t>
            </w:r>
          </w:p>
        </w:tc>
      </w:tr>
      <w:tr w14:paraId="2C4F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6" w:hRule="atLeast"/>
        </w:trPr>
        <w:tc>
          <w:tcPr>
            <w:tcW w:w="562" w:type="dxa"/>
            <w:vMerge w:val="continue"/>
          </w:tcPr>
          <w:p w14:paraId="01CBB45D">
            <w:pPr>
              <w:snapToGrid w:val="0"/>
              <w:spacing w:line="360" w:lineRule="auto"/>
              <w:contextualSpacing/>
              <w:rPr>
                <w:rFonts w:hint="eastAsia" w:ascii="宋体" w:hAnsi="宋体" w:eastAsia="宋体" w:cs="宋体"/>
                <w:szCs w:val="21"/>
              </w:rPr>
            </w:pPr>
          </w:p>
        </w:tc>
        <w:tc>
          <w:tcPr>
            <w:tcW w:w="1418" w:type="dxa"/>
            <w:vMerge w:val="continue"/>
          </w:tcPr>
          <w:p w14:paraId="7ED31100">
            <w:pPr>
              <w:snapToGrid w:val="0"/>
              <w:spacing w:line="360" w:lineRule="auto"/>
              <w:contextualSpacing/>
              <w:rPr>
                <w:rFonts w:hint="eastAsia" w:ascii="宋体" w:hAnsi="宋体" w:eastAsia="宋体" w:cs="宋体"/>
                <w:szCs w:val="21"/>
              </w:rPr>
            </w:pPr>
          </w:p>
        </w:tc>
        <w:tc>
          <w:tcPr>
            <w:tcW w:w="1080" w:type="dxa"/>
            <w:gridSpan w:val="2"/>
          </w:tcPr>
          <w:p w14:paraId="02401635">
            <w:pPr>
              <w:snapToGrid w:val="0"/>
              <w:spacing w:line="360" w:lineRule="auto"/>
              <w:contextualSpacing/>
              <w:rPr>
                <w:rFonts w:hint="eastAsia" w:ascii="宋体" w:hAnsi="宋体" w:eastAsia="宋体" w:cs="宋体"/>
                <w:b/>
                <w:bCs/>
                <w:szCs w:val="21"/>
              </w:rPr>
            </w:pPr>
          </w:p>
        </w:tc>
        <w:tc>
          <w:tcPr>
            <w:tcW w:w="2038" w:type="dxa"/>
          </w:tcPr>
          <w:p w14:paraId="6FA0945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高小亭</w:t>
            </w:r>
          </w:p>
          <w:p w14:paraId="7E67CA6F">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孔祥乐</w:t>
            </w:r>
          </w:p>
          <w:p w14:paraId="6ECE0CC4">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姚美丽</w:t>
            </w:r>
          </w:p>
          <w:p w14:paraId="71CCB29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庞思成</w:t>
            </w:r>
          </w:p>
          <w:p w14:paraId="54EB25CA">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宋思诺</w:t>
            </w:r>
          </w:p>
          <w:p w14:paraId="5C158A6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王今</w:t>
            </w:r>
          </w:p>
        </w:tc>
        <w:tc>
          <w:tcPr>
            <w:tcW w:w="4246" w:type="dxa"/>
            <w:vMerge w:val="continue"/>
          </w:tcPr>
          <w:p w14:paraId="416A7677">
            <w:pPr>
              <w:snapToGrid w:val="0"/>
              <w:spacing w:line="360" w:lineRule="auto"/>
              <w:contextualSpacing/>
              <w:rPr>
                <w:rFonts w:hint="eastAsia" w:ascii="宋体" w:hAnsi="宋体" w:eastAsia="宋体"/>
              </w:rPr>
            </w:pPr>
          </w:p>
        </w:tc>
      </w:tr>
      <w:tr w14:paraId="0897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62" w:type="dxa"/>
            <w:vMerge w:val="restart"/>
          </w:tcPr>
          <w:p w14:paraId="050024E7">
            <w:pPr>
              <w:snapToGrid w:val="0"/>
              <w:spacing w:line="360" w:lineRule="auto"/>
              <w:contextualSpacing/>
              <w:rPr>
                <w:rFonts w:hint="eastAsia" w:ascii="宋体" w:hAnsi="宋体" w:eastAsia="宋体" w:cs="宋体"/>
                <w:szCs w:val="21"/>
              </w:rPr>
            </w:pPr>
          </w:p>
        </w:tc>
        <w:tc>
          <w:tcPr>
            <w:tcW w:w="1418" w:type="dxa"/>
            <w:vMerge w:val="restart"/>
          </w:tcPr>
          <w:p w14:paraId="71945D73">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运维团队</w:t>
            </w:r>
          </w:p>
        </w:tc>
        <w:tc>
          <w:tcPr>
            <w:tcW w:w="1080" w:type="dxa"/>
            <w:gridSpan w:val="2"/>
          </w:tcPr>
          <w:p w14:paraId="63D1F312">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负责人</w:t>
            </w:r>
          </w:p>
        </w:tc>
        <w:tc>
          <w:tcPr>
            <w:tcW w:w="2038" w:type="dxa"/>
          </w:tcPr>
          <w:p w14:paraId="0866E1C5">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张政辉</w:t>
            </w:r>
          </w:p>
        </w:tc>
        <w:tc>
          <w:tcPr>
            <w:tcW w:w="4246" w:type="dxa"/>
            <w:vMerge w:val="restart"/>
          </w:tcPr>
          <w:p w14:paraId="6DEFE914">
            <w:pPr>
              <w:spacing w:line="360" w:lineRule="auto"/>
              <w:rPr>
                <w:rFonts w:hint="eastAsia" w:ascii="宋体" w:hAnsi="宋体" w:eastAsia="宋体"/>
              </w:rPr>
            </w:pPr>
            <w:r>
              <w:rPr>
                <w:rFonts w:hint="eastAsia" w:ascii="宋体" w:hAnsi="宋体" w:eastAsia="宋体"/>
              </w:rPr>
              <w:t>根据项目建设阶段分为两个阶段，一是开发建设阶段，二是上线后运营阶段。其中开发建设阶段</w:t>
            </w:r>
            <w:r>
              <w:rPr>
                <w:rFonts w:ascii="宋体" w:hAnsi="宋体" w:eastAsia="宋体"/>
              </w:rPr>
              <w:t>负责</w:t>
            </w:r>
            <w:r>
              <w:rPr>
                <w:rFonts w:hint="eastAsia" w:ascii="宋体" w:hAnsi="宋体" w:eastAsia="宋体"/>
              </w:rPr>
              <w:t>本次项目的</w:t>
            </w:r>
            <w:r>
              <w:rPr>
                <w:rFonts w:ascii="宋体" w:hAnsi="宋体" w:eastAsia="宋体"/>
              </w:rPr>
              <w:t>系统部署、配置、监控和维护</w:t>
            </w:r>
            <w:r>
              <w:rPr>
                <w:rFonts w:hint="eastAsia" w:ascii="宋体" w:hAnsi="宋体" w:eastAsia="宋体"/>
              </w:rPr>
              <w:t>工作</w:t>
            </w:r>
            <w:r>
              <w:rPr>
                <w:rFonts w:ascii="宋体" w:hAnsi="宋体" w:eastAsia="宋体"/>
              </w:rPr>
              <w:t>，</w:t>
            </w:r>
            <w:r>
              <w:rPr>
                <w:rFonts w:ascii="宋体" w:hAnsi="宋体" w:eastAsia="宋体"/>
                <w:szCs w:val="21"/>
              </w:rPr>
              <w:t>熟悉</w:t>
            </w:r>
            <w:r>
              <w:rPr>
                <w:rFonts w:hint="eastAsia" w:ascii="宋体" w:hAnsi="宋体" w:eastAsia="宋体"/>
                <w:szCs w:val="21"/>
              </w:rPr>
              <w:t>烟草总公司</w:t>
            </w:r>
            <w:r>
              <w:rPr>
                <w:rFonts w:hint="eastAsia" w:ascii="宋体" w:hAnsi="宋体" w:eastAsia="宋体" w:cs="宋体"/>
                <w:bCs/>
              </w:rPr>
              <w:t>行业云平台</w:t>
            </w:r>
            <w:r>
              <w:rPr>
                <w:rFonts w:ascii="宋体" w:hAnsi="宋体" w:eastAsia="宋体"/>
                <w:szCs w:val="21"/>
              </w:rPr>
              <w:t>系统部署环境，</w:t>
            </w:r>
            <w:r>
              <w:rPr>
                <w:rFonts w:hint="eastAsia" w:ascii="宋体" w:hAnsi="宋体" w:eastAsia="宋体"/>
                <w:szCs w:val="21"/>
              </w:rPr>
              <w:t>制定生产和测试/开发双环境的部署方案，并</w:t>
            </w:r>
            <w:r>
              <w:rPr>
                <w:rFonts w:ascii="宋体" w:hAnsi="宋体" w:eastAsia="宋体"/>
                <w:szCs w:val="21"/>
              </w:rPr>
              <w:t>制定应急预案，确保系统上线后的稳定运行</w:t>
            </w:r>
            <w:r>
              <w:rPr>
                <w:rFonts w:hint="eastAsia" w:ascii="宋体" w:hAnsi="宋体" w:eastAsia="宋体"/>
                <w:szCs w:val="21"/>
              </w:rPr>
              <w:t>，</w:t>
            </w:r>
            <w:r>
              <w:rPr>
                <w:rFonts w:ascii="宋体" w:hAnsi="宋体" w:eastAsia="宋体"/>
              </w:rPr>
              <w:t>确保系统稳定运行。</w:t>
            </w:r>
          </w:p>
          <w:p w14:paraId="27CD8C0B">
            <w:pPr>
              <w:spacing w:line="360" w:lineRule="auto"/>
              <w:rPr>
                <w:rFonts w:hint="eastAsia" w:ascii="宋体" w:hAnsi="宋体" w:eastAsia="宋体"/>
              </w:rPr>
            </w:pPr>
            <w:r>
              <w:rPr>
                <w:rFonts w:hint="eastAsia" w:ascii="宋体" w:hAnsi="宋体" w:eastAsia="宋体" w:cs="宋体"/>
                <w:szCs w:val="21"/>
              </w:rPr>
              <w:t>上线运营后做好系统的部署和运行环境的保障作，</w:t>
            </w:r>
            <w:r>
              <w:rPr>
                <w:rFonts w:hint="eastAsia" w:ascii="宋体" w:hAnsi="宋体" w:eastAsia="宋体"/>
              </w:rPr>
              <w:t>包括不限于</w:t>
            </w:r>
            <w:r>
              <w:rPr>
                <w:rFonts w:hint="eastAsia" w:ascii="宋体" w:hAnsi="宋体" w:eastAsia="宋体" w:cs="宋体"/>
                <w:szCs w:val="21"/>
              </w:rPr>
              <w:t>系统升级服务、系统优化服务、咨询服务、报表服务、响应服务、安全服务、巡检服务、紧急服务等。</w:t>
            </w:r>
          </w:p>
          <w:p w14:paraId="13824B81">
            <w:pPr>
              <w:snapToGrid w:val="0"/>
              <w:spacing w:line="360" w:lineRule="auto"/>
              <w:contextualSpacing/>
              <w:rPr>
                <w:rFonts w:hint="eastAsia" w:ascii="宋体" w:hAnsi="宋体" w:eastAsia="宋体" w:cs="宋体"/>
                <w:szCs w:val="21"/>
              </w:rPr>
            </w:pPr>
          </w:p>
        </w:tc>
      </w:tr>
      <w:tr w14:paraId="61E5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62" w:type="dxa"/>
            <w:vMerge w:val="continue"/>
          </w:tcPr>
          <w:p w14:paraId="2FAF79BC">
            <w:pPr>
              <w:snapToGrid w:val="0"/>
              <w:spacing w:line="360" w:lineRule="auto"/>
              <w:contextualSpacing/>
              <w:rPr>
                <w:rFonts w:hint="eastAsia" w:ascii="宋体" w:hAnsi="宋体" w:eastAsia="宋体" w:cs="宋体"/>
                <w:szCs w:val="21"/>
              </w:rPr>
            </w:pPr>
          </w:p>
        </w:tc>
        <w:tc>
          <w:tcPr>
            <w:tcW w:w="1418" w:type="dxa"/>
            <w:vMerge w:val="continue"/>
          </w:tcPr>
          <w:p w14:paraId="79DDEA93">
            <w:pPr>
              <w:snapToGrid w:val="0"/>
              <w:spacing w:line="360" w:lineRule="auto"/>
              <w:contextualSpacing/>
              <w:rPr>
                <w:rFonts w:hint="eastAsia" w:ascii="宋体" w:hAnsi="宋体" w:eastAsia="宋体" w:cs="宋体"/>
                <w:b/>
                <w:bCs/>
                <w:szCs w:val="21"/>
              </w:rPr>
            </w:pPr>
          </w:p>
        </w:tc>
        <w:tc>
          <w:tcPr>
            <w:tcW w:w="1080" w:type="dxa"/>
            <w:gridSpan w:val="2"/>
          </w:tcPr>
          <w:p w14:paraId="517CFBF8">
            <w:pPr>
              <w:snapToGrid w:val="0"/>
              <w:spacing w:line="360" w:lineRule="auto"/>
              <w:contextualSpacing/>
              <w:rPr>
                <w:rFonts w:hint="eastAsia" w:ascii="宋体" w:hAnsi="宋体" w:eastAsia="宋体" w:cs="宋体"/>
                <w:szCs w:val="21"/>
              </w:rPr>
            </w:pPr>
          </w:p>
        </w:tc>
        <w:tc>
          <w:tcPr>
            <w:tcW w:w="2038" w:type="dxa"/>
          </w:tcPr>
          <w:p w14:paraId="42DB2898">
            <w:pPr>
              <w:snapToGrid w:val="0"/>
              <w:spacing w:line="360" w:lineRule="auto"/>
              <w:contextualSpacing/>
              <w:rPr>
                <w:rFonts w:hint="eastAsia" w:ascii="宋体" w:hAnsi="宋体" w:eastAsia="宋体" w:cs="宋体"/>
                <w:b/>
                <w:bCs/>
                <w:szCs w:val="21"/>
              </w:rPr>
            </w:pPr>
          </w:p>
        </w:tc>
        <w:tc>
          <w:tcPr>
            <w:tcW w:w="4246" w:type="dxa"/>
            <w:vMerge w:val="continue"/>
          </w:tcPr>
          <w:p w14:paraId="6CB11E57">
            <w:pPr>
              <w:spacing w:line="360" w:lineRule="auto"/>
              <w:rPr>
                <w:rFonts w:hint="eastAsia" w:ascii="宋体" w:hAnsi="宋体" w:eastAsia="宋体"/>
              </w:rPr>
            </w:pPr>
          </w:p>
        </w:tc>
      </w:tr>
      <w:tr w14:paraId="67DC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trPr>
        <w:tc>
          <w:tcPr>
            <w:tcW w:w="562" w:type="dxa"/>
            <w:vMerge w:val="continue"/>
          </w:tcPr>
          <w:p w14:paraId="4C19B65C">
            <w:pPr>
              <w:snapToGrid w:val="0"/>
              <w:spacing w:line="360" w:lineRule="auto"/>
              <w:contextualSpacing/>
              <w:rPr>
                <w:rFonts w:hint="eastAsia" w:ascii="宋体" w:hAnsi="宋体" w:eastAsia="宋体" w:cs="宋体"/>
                <w:szCs w:val="21"/>
              </w:rPr>
            </w:pPr>
          </w:p>
        </w:tc>
        <w:tc>
          <w:tcPr>
            <w:tcW w:w="1418" w:type="dxa"/>
            <w:vMerge w:val="continue"/>
          </w:tcPr>
          <w:p w14:paraId="1175D3C5">
            <w:pPr>
              <w:snapToGrid w:val="0"/>
              <w:spacing w:line="360" w:lineRule="auto"/>
              <w:contextualSpacing/>
              <w:rPr>
                <w:rFonts w:hint="eastAsia" w:ascii="宋体" w:hAnsi="宋体" w:eastAsia="宋体" w:cs="宋体"/>
                <w:szCs w:val="21"/>
              </w:rPr>
            </w:pPr>
          </w:p>
        </w:tc>
        <w:tc>
          <w:tcPr>
            <w:tcW w:w="1080" w:type="dxa"/>
            <w:gridSpan w:val="2"/>
          </w:tcPr>
          <w:p w14:paraId="7049F911">
            <w:pPr>
              <w:snapToGrid w:val="0"/>
              <w:spacing w:line="360" w:lineRule="auto"/>
              <w:contextualSpacing/>
              <w:rPr>
                <w:rFonts w:hint="eastAsia" w:ascii="宋体" w:hAnsi="宋体" w:eastAsia="宋体" w:cs="宋体"/>
                <w:b/>
                <w:bCs/>
                <w:szCs w:val="21"/>
              </w:rPr>
            </w:pPr>
          </w:p>
        </w:tc>
        <w:tc>
          <w:tcPr>
            <w:tcW w:w="2038" w:type="dxa"/>
          </w:tcPr>
          <w:p w14:paraId="60E4EC79">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宋夺</w:t>
            </w:r>
          </w:p>
          <w:p w14:paraId="4950BBF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常岚超</w:t>
            </w:r>
          </w:p>
          <w:p w14:paraId="3948D78A">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李紫恒</w:t>
            </w:r>
          </w:p>
          <w:p w14:paraId="3A81A1EC">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刘昕</w:t>
            </w:r>
          </w:p>
        </w:tc>
        <w:tc>
          <w:tcPr>
            <w:tcW w:w="4246" w:type="dxa"/>
            <w:vMerge w:val="continue"/>
          </w:tcPr>
          <w:p w14:paraId="1A2DBDF1">
            <w:pPr>
              <w:spacing w:line="360" w:lineRule="auto"/>
              <w:rPr>
                <w:rFonts w:hint="eastAsia" w:ascii="宋体" w:hAnsi="宋体" w:eastAsia="宋体"/>
              </w:rPr>
            </w:pPr>
          </w:p>
        </w:tc>
      </w:tr>
      <w:tr w14:paraId="1590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62" w:type="dxa"/>
            <w:vMerge w:val="restart"/>
          </w:tcPr>
          <w:p w14:paraId="13168FA1">
            <w:pPr>
              <w:snapToGrid w:val="0"/>
              <w:spacing w:line="360" w:lineRule="auto"/>
              <w:contextualSpacing/>
              <w:rPr>
                <w:rFonts w:hint="eastAsia" w:ascii="宋体" w:hAnsi="宋体" w:eastAsia="宋体" w:cs="宋体"/>
                <w:szCs w:val="21"/>
              </w:rPr>
            </w:pPr>
          </w:p>
        </w:tc>
        <w:tc>
          <w:tcPr>
            <w:tcW w:w="1418" w:type="dxa"/>
            <w:vMerge w:val="restart"/>
          </w:tcPr>
          <w:p w14:paraId="6390C3D1">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运营及培训团队</w:t>
            </w:r>
          </w:p>
        </w:tc>
        <w:tc>
          <w:tcPr>
            <w:tcW w:w="1080" w:type="dxa"/>
            <w:gridSpan w:val="2"/>
          </w:tcPr>
          <w:p w14:paraId="43B508D6">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负责人</w:t>
            </w:r>
          </w:p>
        </w:tc>
        <w:tc>
          <w:tcPr>
            <w:tcW w:w="2038" w:type="dxa"/>
          </w:tcPr>
          <w:p w14:paraId="1320C067">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赵学真</w:t>
            </w:r>
          </w:p>
        </w:tc>
        <w:tc>
          <w:tcPr>
            <w:tcW w:w="4246" w:type="dxa"/>
            <w:vMerge w:val="restart"/>
          </w:tcPr>
          <w:p w14:paraId="6A81EDE8">
            <w:pPr>
              <w:snapToGrid w:val="0"/>
              <w:spacing w:line="360" w:lineRule="auto"/>
              <w:contextualSpacing/>
              <w:rPr>
                <w:rFonts w:hint="eastAsia" w:ascii="宋体" w:hAnsi="宋体" w:eastAsia="宋体" w:cs="宋体"/>
                <w:szCs w:val="21"/>
              </w:rPr>
            </w:pPr>
            <w:r>
              <w:rPr>
                <w:rFonts w:hint="eastAsia" w:ascii="宋体" w:hAnsi="宋体" w:eastAsia="宋体"/>
              </w:rPr>
              <w:t>负责上线后运营阶段负责整个系统的技术支持和客服工作。同时</w:t>
            </w:r>
            <w:r>
              <w:rPr>
                <w:rFonts w:ascii="宋体" w:hAnsi="宋体" w:eastAsia="宋体"/>
                <w:szCs w:val="21"/>
              </w:rPr>
              <w:t>根据</w:t>
            </w:r>
            <w:r>
              <w:rPr>
                <w:rFonts w:hint="eastAsia" w:ascii="宋体" w:hAnsi="宋体" w:eastAsia="宋体"/>
                <w:szCs w:val="21"/>
              </w:rPr>
              <w:t>烟草行业</w:t>
            </w:r>
            <w:r>
              <w:rPr>
                <w:rFonts w:ascii="宋体" w:hAnsi="宋体" w:eastAsia="宋体"/>
                <w:szCs w:val="21"/>
              </w:rPr>
              <w:t>用户群体定制培训内容</w:t>
            </w:r>
            <w:r>
              <w:rPr>
                <w:rFonts w:hint="eastAsia" w:ascii="宋体" w:hAnsi="宋体" w:eastAsia="宋体"/>
                <w:szCs w:val="21"/>
              </w:rPr>
              <w:t>、培训计划</w:t>
            </w:r>
            <w:r>
              <w:rPr>
                <w:rFonts w:ascii="宋体" w:hAnsi="宋体" w:eastAsia="宋体"/>
                <w:szCs w:val="21"/>
              </w:rPr>
              <w:t>，采用线上+线下结合的方式，提高培训效果</w:t>
            </w:r>
            <w:r>
              <w:rPr>
                <w:rFonts w:hint="eastAsia" w:ascii="宋体" w:hAnsi="宋体" w:eastAsia="宋体"/>
                <w:szCs w:val="21"/>
              </w:rPr>
              <w:t>，</w:t>
            </w:r>
            <w:r>
              <w:rPr>
                <w:rFonts w:ascii="宋体" w:hAnsi="宋体" w:eastAsia="宋体"/>
              </w:rPr>
              <w:t>准备培训材料，进行系统操作培训，确保用户能够熟练使用</w:t>
            </w:r>
            <w:r>
              <w:rPr>
                <w:rFonts w:hint="eastAsia" w:ascii="宋体" w:hAnsi="宋体" w:eastAsia="宋体"/>
              </w:rPr>
              <w:t>本</w:t>
            </w:r>
            <w:r>
              <w:rPr>
                <w:rFonts w:ascii="宋体" w:hAnsi="宋体" w:eastAsia="宋体"/>
              </w:rPr>
              <w:t>系统。</w:t>
            </w:r>
          </w:p>
        </w:tc>
      </w:tr>
      <w:tr w14:paraId="4C13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562" w:type="dxa"/>
            <w:vMerge w:val="continue"/>
          </w:tcPr>
          <w:p w14:paraId="6E9C9199">
            <w:pPr>
              <w:snapToGrid w:val="0"/>
              <w:spacing w:line="360" w:lineRule="auto"/>
              <w:contextualSpacing/>
              <w:rPr>
                <w:rFonts w:hint="eastAsia" w:ascii="宋体" w:hAnsi="宋体" w:eastAsia="宋体" w:cs="宋体"/>
                <w:szCs w:val="21"/>
              </w:rPr>
            </w:pPr>
          </w:p>
        </w:tc>
        <w:tc>
          <w:tcPr>
            <w:tcW w:w="1418" w:type="dxa"/>
            <w:vMerge w:val="continue"/>
          </w:tcPr>
          <w:p w14:paraId="078A9FE2">
            <w:pPr>
              <w:snapToGrid w:val="0"/>
              <w:spacing w:line="360" w:lineRule="auto"/>
              <w:contextualSpacing/>
              <w:rPr>
                <w:rFonts w:hint="eastAsia" w:ascii="宋体" w:hAnsi="宋体" w:eastAsia="宋体" w:cs="宋体"/>
                <w:szCs w:val="21"/>
              </w:rPr>
            </w:pPr>
          </w:p>
        </w:tc>
        <w:tc>
          <w:tcPr>
            <w:tcW w:w="1080" w:type="dxa"/>
            <w:gridSpan w:val="2"/>
          </w:tcPr>
          <w:p w14:paraId="6C2459F8">
            <w:pPr>
              <w:snapToGrid w:val="0"/>
              <w:spacing w:line="360" w:lineRule="auto"/>
              <w:contextualSpacing/>
              <w:rPr>
                <w:rFonts w:hint="eastAsia" w:ascii="宋体" w:hAnsi="宋体" w:eastAsia="宋体" w:cs="宋体"/>
                <w:szCs w:val="21"/>
              </w:rPr>
            </w:pPr>
            <w:r>
              <w:rPr>
                <w:rFonts w:hint="eastAsia" w:ascii="宋体" w:hAnsi="宋体" w:eastAsia="宋体" w:cs="宋体"/>
                <w:szCs w:val="21"/>
              </w:rPr>
              <w:t>运营及培训组</w:t>
            </w:r>
          </w:p>
        </w:tc>
        <w:tc>
          <w:tcPr>
            <w:tcW w:w="2038" w:type="dxa"/>
          </w:tcPr>
          <w:p w14:paraId="499C7A20">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王丹</w:t>
            </w:r>
          </w:p>
          <w:p w14:paraId="1306015C">
            <w:pPr>
              <w:snapToGrid w:val="0"/>
              <w:spacing w:line="360" w:lineRule="auto"/>
              <w:contextualSpacing/>
              <w:rPr>
                <w:rFonts w:hint="eastAsia" w:ascii="宋体" w:hAnsi="宋体" w:eastAsia="宋体" w:cs="宋体"/>
                <w:szCs w:val="21"/>
              </w:rPr>
            </w:pPr>
            <w:r>
              <w:rPr>
                <w:rFonts w:hint="eastAsia" w:ascii="宋体" w:hAnsi="宋体" w:eastAsia="宋体" w:cs="宋体"/>
                <w:szCs w:val="21"/>
              </w:rPr>
              <w:t>任志豪</w:t>
            </w:r>
          </w:p>
          <w:p w14:paraId="686ED0D4">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朱光浩</w:t>
            </w:r>
          </w:p>
          <w:p w14:paraId="7E4E4DDF">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刘壮</w:t>
            </w:r>
          </w:p>
        </w:tc>
        <w:tc>
          <w:tcPr>
            <w:tcW w:w="4246" w:type="dxa"/>
            <w:vMerge w:val="continue"/>
          </w:tcPr>
          <w:p w14:paraId="1D0E63B1">
            <w:pPr>
              <w:snapToGrid w:val="0"/>
              <w:spacing w:line="360" w:lineRule="auto"/>
              <w:contextualSpacing/>
              <w:rPr>
                <w:rFonts w:hint="eastAsia" w:ascii="宋体" w:hAnsi="宋体" w:eastAsia="宋体"/>
                <w:szCs w:val="21"/>
              </w:rPr>
            </w:pPr>
          </w:p>
        </w:tc>
      </w:tr>
    </w:tbl>
    <w:p w14:paraId="1A39F1D3">
      <w:pPr>
        <w:snapToGrid w:val="0"/>
        <w:spacing w:line="360" w:lineRule="auto"/>
        <w:contextualSpacing/>
        <w:rPr>
          <w:rFonts w:hint="eastAsia" w:ascii="宋体" w:hAnsi="宋体" w:eastAsia="宋体" w:cs="宋体"/>
          <w:szCs w:val="21"/>
        </w:rPr>
      </w:pPr>
    </w:p>
    <w:p w14:paraId="3BFEF741">
      <w:pPr>
        <w:pStyle w:val="5"/>
        <w:numPr>
          <w:ilvl w:val="1"/>
          <w:numId w:val="39"/>
        </w:numPr>
        <w:spacing w:before="260" w:after="260"/>
        <w:jc w:val="both"/>
        <w:rPr>
          <w:rFonts w:hint="eastAsia" w:ascii="宋体" w:hAnsi="宋体"/>
          <w:szCs w:val="28"/>
        </w:rPr>
      </w:pPr>
      <w:bookmarkStart w:id="244" w:name="_Toc179751542"/>
      <w:bookmarkStart w:id="245" w:name="_Toc180265661"/>
      <w:r>
        <w:rPr>
          <w:rFonts w:hint="eastAsia" w:ascii="宋体" w:hAnsi="宋体"/>
          <w:szCs w:val="28"/>
        </w:rPr>
        <w:t>管理措施及实施流程方案</w:t>
      </w:r>
      <w:bookmarkEnd w:id="244"/>
      <w:bookmarkEnd w:id="245"/>
    </w:p>
    <w:p w14:paraId="3F605D04">
      <w:pPr>
        <w:pStyle w:val="6"/>
        <w:numPr>
          <w:ilvl w:val="2"/>
          <w:numId w:val="39"/>
        </w:numPr>
        <w:spacing w:before="260" w:after="260" w:line="416" w:lineRule="auto"/>
        <w:jc w:val="both"/>
        <w:rPr>
          <w:rFonts w:hint="eastAsia" w:ascii="宋体" w:hAnsi="宋体" w:cstheme="majorBidi"/>
          <w:szCs w:val="24"/>
        </w:rPr>
      </w:pPr>
      <w:bookmarkStart w:id="246" w:name="_Toc179751543"/>
      <w:bookmarkStart w:id="247" w:name="_Toc180265662"/>
      <w:r>
        <w:rPr>
          <w:rFonts w:hint="eastAsia" w:ascii="宋体" w:hAnsi="宋体" w:cstheme="majorBidi"/>
          <w:szCs w:val="24"/>
        </w:rPr>
        <w:t>本项目的管理措施</w:t>
      </w:r>
      <w:bookmarkEnd w:id="246"/>
      <w:bookmarkEnd w:id="247"/>
    </w:p>
    <w:p w14:paraId="6EDD4B93">
      <w:pPr>
        <w:pStyle w:val="2"/>
        <w:tabs>
          <w:tab w:val="left" w:pos="5580"/>
        </w:tabs>
        <w:spacing w:line="360" w:lineRule="auto"/>
        <w:ind w:left="0" w:leftChars="0"/>
        <w:rPr>
          <w:rFonts w:hint="eastAsia" w:ascii="宋体" w:hAnsi="宋体" w:cs="宋体"/>
          <w:szCs w:val="21"/>
        </w:rPr>
      </w:pPr>
      <w:r>
        <w:rPr>
          <w:rFonts w:hint="eastAsia" w:ascii="宋体" w:hAnsi="宋体" w:cs="宋体"/>
          <w:szCs w:val="21"/>
        </w:rPr>
        <w:t>本项目的开发建设完全遵循IT行业和烟草行业相关信息化建设项目实施开发规范，明确项目管理机制，我方为实施本项目成立了专门项目组，配置了专职服务本项目的项目经理、运营负责人和技术负责人各1人，安排本项目专职工作人员自项目启动开始即参与需求调研、功能优化、实施部署、调试等各项工作，并配备专职服务本项目的文档、资料、进度管理人员，同时在项目管控方面遵循以下管理措施：</w:t>
      </w:r>
    </w:p>
    <w:p w14:paraId="3AA94089">
      <w:pPr>
        <w:spacing w:line="360" w:lineRule="auto"/>
        <w:ind w:firstLine="422" w:firstLineChars="200"/>
        <w:rPr>
          <w:rFonts w:hint="eastAsia" w:ascii="宋体" w:hAnsi="宋体" w:eastAsia="宋体" w:cs="宋体"/>
          <w:szCs w:val="21"/>
        </w:rPr>
      </w:pPr>
      <w:r>
        <w:rPr>
          <w:rFonts w:ascii="宋体" w:hAnsi="宋体" w:eastAsia="宋体"/>
          <w:b/>
          <w:bCs/>
        </w:rPr>
        <w:t>1.</w:t>
      </w:r>
      <w:r>
        <w:rPr>
          <w:rFonts w:hint="eastAsia" w:ascii="宋体" w:hAnsi="宋体" w:eastAsia="宋体"/>
          <w:b/>
          <w:bCs/>
        </w:rPr>
        <w:t xml:space="preserve"> </w:t>
      </w:r>
      <w:r>
        <w:rPr>
          <w:rFonts w:hint="eastAsia" w:ascii="宋体" w:hAnsi="宋体" w:eastAsia="宋体" w:cs="宋体"/>
          <w:szCs w:val="21"/>
        </w:rPr>
        <w:t>我方承诺以不低于CMMI3级（软件能力成熟度模型）有关要求实施本项目，包括对代码进行规范化注释、对代码进行白盒安全检查等。在架构与软件实现过程中，严格遵守微服务架构、容器、持续集成与交付、DevOps等云原生要求。</w:t>
      </w:r>
    </w:p>
    <w:p w14:paraId="0A1DA49C">
      <w:pPr>
        <w:spacing w:line="360" w:lineRule="auto"/>
        <w:ind w:firstLine="422" w:firstLineChars="200"/>
        <w:rPr>
          <w:rFonts w:hint="eastAsia" w:ascii="宋体" w:hAnsi="宋体" w:eastAsia="宋体" w:cs="宋体"/>
          <w:szCs w:val="21"/>
        </w:rPr>
      </w:pPr>
      <w:r>
        <w:rPr>
          <w:rFonts w:hint="eastAsia" w:ascii="宋体" w:hAnsi="宋体" w:eastAsia="宋体"/>
          <w:b/>
          <w:bCs/>
        </w:rPr>
        <w:t>2</w:t>
      </w:r>
      <w:r>
        <w:rPr>
          <w:rFonts w:ascii="宋体" w:hAnsi="宋体" w:eastAsia="宋体"/>
          <w:b/>
          <w:bCs/>
        </w:rPr>
        <w:t>.</w:t>
      </w:r>
      <w:r>
        <w:rPr>
          <w:rFonts w:hint="eastAsia" w:ascii="宋体" w:hAnsi="宋体" w:eastAsia="宋体" w:cs="宋体"/>
          <w:szCs w:val="21"/>
        </w:rPr>
        <w:t xml:space="preserve"> 我方将按科学的项目管理流程和有关规定管理本项目，项目终验前按招标人要求将全部项目管理文件、技术文件、阶段验收相关资料等文档汇集成册。</w:t>
      </w:r>
    </w:p>
    <w:p w14:paraId="2E40AA2C">
      <w:pPr>
        <w:spacing w:line="360" w:lineRule="auto"/>
        <w:ind w:firstLine="422" w:firstLineChars="200"/>
        <w:rPr>
          <w:rFonts w:hint="eastAsia" w:ascii="宋体" w:hAnsi="宋体" w:eastAsia="宋体" w:cs="宋体"/>
          <w:szCs w:val="21"/>
        </w:rPr>
      </w:pPr>
      <w:r>
        <w:rPr>
          <w:rFonts w:hint="eastAsia" w:ascii="宋体" w:hAnsi="宋体" w:eastAsia="宋体"/>
          <w:b/>
          <w:bCs/>
        </w:rPr>
        <w:t>3</w:t>
      </w:r>
      <w:r>
        <w:rPr>
          <w:rFonts w:ascii="宋体" w:hAnsi="宋体" w:eastAsia="宋体"/>
          <w:b/>
          <w:bCs/>
        </w:rPr>
        <w:t>.</w:t>
      </w:r>
      <w:r>
        <w:rPr>
          <w:rFonts w:hint="eastAsia" w:ascii="宋体" w:hAnsi="宋体" w:eastAsia="宋体"/>
          <w:b/>
          <w:bCs/>
        </w:rPr>
        <w:t xml:space="preserve"> </w:t>
      </w:r>
      <w:r>
        <w:rPr>
          <w:rFonts w:hint="eastAsia" w:ascii="宋体" w:hAnsi="宋体" w:eastAsia="宋体" w:cs="宋体"/>
          <w:szCs w:val="21"/>
        </w:rPr>
        <w:t>我方根据本次项目建设需求制定本系统实施方案，具体描述针对本项目实施的具体组织、实施步骤和方法措施，提供详细的系统设计、开发及实施计划，包括但不限于实施组织、项目人员、项目管理措施、项目实施流程、项目实施进度、培训计划、运行维护计划以及风险分析和控制等内容，方案力求合理、可行。</w:t>
      </w:r>
    </w:p>
    <w:p w14:paraId="01CD27FD">
      <w:pPr>
        <w:spacing w:line="360" w:lineRule="auto"/>
        <w:ind w:firstLine="422" w:firstLineChars="200"/>
        <w:rPr>
          <w:rFonts w:hint="eastAsia" w:ascii="宋体" w:hAnsi="宋体" w:eastAsia="宋体" w:cs="宋体"/>
          <w:szCs w:val="21"/>
        </w:rPr>
      </w:pPr>
      <w:r>
        <w:rPr>
          <w:rFonts w:hint="eastAsia" w:ascii="宋体" w:hAnsi="宋体" w:eastAsia="宋体"/>
          <w:b/>
          <w:bCs/>
        </w:rPr>
        <w:t>4</w:t>
      </w:r>
      <w:r>
        <w:rPr>
          <w:rFonts w:ascii="宋体" w:hAnsi="宋体" w:eastAsia="宋体"/>
          <w:b/>
          <w:bCs/>
        </w:rPr>
        <w:t>.</w:t>
      </w:r>
      <w:r>
        <w:rPr>
          <w:rFonts w:hint="eastAsia" w:ascii="宋体" w:hAnsi="宋体" w:eastAsia="宋体"/>
          <w:b/>
          <w:bCs/>
        </w:rPr>
        <w:t xml:space="preserve"> </w:t>
      </w:r>
      <w:r>
        <w:rPr>
          <w:rFonts w:hint="eastAsia" w:ascii="宋体" w:hAnsi="宋体" w:eastAsia="宋体" w:cs="宋体"/>
          <w:szCs w:val="21"/>
        </w:rPr>
        <w:t>本项目实现平台在烟草总公司及其下属单位的实施，并制定合理、可行的项目数据入行业数据湖的方案。</w:t>
      </w:r>
    </w:p>
    <w:p w14:paraId="3683CBC2">
      <w:pPr>
        <w:spacing w:line="360" w:lineRule="auto"/>
        <w:ind w:firstLine="422" w:firstLineChars="200"/>
        <w:rPr>
          <w:rFonts w:hint="eastAsia" w:ascii="宋体" w:hAnsi="宋体" w:eastAsia="宋体" w:cs="宋体"/>
          <w:szCs w:val="21"/>
        </w:rPr>
      </w:pPr>
      <w:r>
        <w:rPr>
          <w:rFonts w:hint="eastAsia" w:ascii="宋体" w:hAnsi="宋体" w:eastAsia="宋体"/>
          <w:b/>
          <w:bCs/>
        </w:rPr>
        <w:t>5</w:t>
      </w:r>
      <w:r>
        <w:rPr>
          <w:rFonts w:ascii="宋体" w:hAnsi="宋体" w:eastAsia="宋体"/>
          <w:b/>
          <w:bCs/>
        </w:rPr>
        <w:t>.</w:t>
      </w:r>
      <w:r>
        <w:rPr>
          <w:rFonts w:hint="eastAsia" w:ascii="宋体" w:hAnsi="宋体" w:eastAsia="宋体"/>
          <w:b/>
          <w:bCs/>
        </w:rPr>
        <w:t xml:space="preserve"> </w:t>
      </w:r>
      <w:r>
        <w:rPr>
          <w:rFonts w:hint="eastAsia" w:ascii="宋体" w:hAnsi="宋体" w:eastAsia="宋体"/>
        </w:rPr>
        <w:t>我方承诺</w:t>
      </w:r>
      <w:r>
        <w:rPr>
          <w:rFonts w:hint="eastAsia" w:ascii="宋体" w:hAnsi="宋体" w:eastAsia="宋体" w:cs="宋体"/>
          <w:szCs w:val="21"/>
        </w:rPr>
        <w:t>在从合同签订到项目验收的整个过程中，完全接受烟草总公司指定单位的监理和审计，项目的实施部署和开发的系统确保通过指定单位的网络安全等级保护测评和第三方测试。</w:t>
      </w:r>
    </w:p>
    <w:p w14:paraId="792CA9D1">
      <w:pPr>
        <w:pStyle w:val="39"/>
        <w:spacing w:after="0" w:line="360" w:lineRule="auto"/>
        <w:ind w:left="420" w:firstLine="0" w:firstLineChars="0"/>
        <w:rPr>
          <w:rFonts w:hint="eastAsia" w:ascii="宋体" w:hAnsi="宋体" w:eastAsia="宋体" w:cs="宋体"/>
        </w:rPr>
      </w:pPr>
      <w:r>
        <w:rPr>
          <w:rFonts w:hint="eastAsia" w:ascii="宋体" w:hAnsi="宋体" w:eastAsia="宋体"/>
          <w:b/>
          <w:bCs/>
        </w:rPr>
        <w:t>6</w:t>
      </w:r>
      <w:r>
        <w:rPr>
          <w:rFonts w:ascii="宋体" w:hAnsi="宋体" w:eastAsia="宋体"/>
          <w:b/>
          <w:bCs/>
        </w:rPr>
        <w:t>.</w:t>
      </w:r>
      <w:r>
        <w:rPr>
          <w:rFonts w:hint="eastAsia" w:ascii="宋体" w:hAnsi="宋体" w:eastAsia="宋体"/>
          <w:b/>
          <w:bCs/>
        </w:rPr>
        <w:t xml:space="preserve"> </w:t>
      </w:r>
      <w:r>
        <w:rPr>
          <w:rFonts w:hint="eastAsia" w:ascii="宋体" w:hAnsi="宋体" w:eastAsia="宋体"/>
        </w:rPr>
        <w:t>我</w:t>
      </w:r>
      <w:r>
        <w:rPr>
          <w:rFonts w:hint="eastAsia" w:ascii="宋体" w:hAnsi="宋体" w:eastAsia="宋体" w:cs="宋体"/>
        </w:rPr>
        <w:t>方将开展系统网络安全相关工作，包括但不限于代码安全检测、网络安全检测、信创环境适配、数据安全、个人信息防护等，且承诺相关网络安全费由我方承担。</w:t>
      </w:r>
    </w:p>
    <w:p w14:paraId="417BADB0">
      <w:pPr>
        <w:spacing w:line="360" w:lineRule="auto"/>
        <w:ind w:firstLine="422" w:firstLineChars="200"/>
        <w:rPr>
          <w:rFonts w:hint="eastAsia" w:ascii="宋体" w:hAnsi="宋体" w:eastAsia="宋体" w:cs="宋体"/>
          <w:szCs w:val="21"/>
        </w:rPr>
      </w:pPr>
      <w:r>
        <w:rPr>
          <w:rFonts w:hint="eastAsia" w:ascii="宋体" w:hAnsi="宋体" w:eastAsia="宋体"/>
          <w:b/>
          <w:bCs/>
        </w:rPr>
        <w:t>7</w:t>
      </w:r>
      <w:r>
        <w:rPr>
          <w:rFonts w:ascii="宋体" w:hAnsi="宋体" w:eastAsia="宋体"/>
          <w:b/>
          <w:bCs/>
        </w:rPr>
        <w:t>.</w:t>
      </w:r>
      <w:r>
        <w:rPr>
          <w:rFonts w:hint="eastAsia" w:ascii="宋体" w:hAnsi="宋体" w:eastAsia="宋体"/>
          <w:b/>
          <w:bCs/>
        </w:rPr>
        <w:t xml:space="preserve"> </w:t>
      </w:r>
      <w:r>
        <w:rPr>
          <w:rFonts w:hint="eastAsia" w:ascii="宋体" w:hAnsi="宋体" w:eastAsia="宋体"/>
        </w:rPr>
        <w:t>我方</w:t>
      </w:r>
      <w:r>
        <w:rPr>
          <w:rFonts w:hint="eastAsia" w:ascii="宋体" w:hAnsi="宋体" w:eastAsia="宋体" w:cs="宋体"/>
          <w:szCs w:val="21"/>
        </w:rPr>
        <w:t>会建立严格的质量保证体系，制定项目实施质量控制方案和实施措施，并督促落实各环节质量控制内容和目标；保证项目实施、系统运行与验收各个阶段工作满足烟草总公司对质量的要求。</w:t>
      </w:r>
    </w:p>
    <w:p w14:paraId="40C30F08">
      <w:pPr>
        <w:spacing w:line="360" w:lineRule="auto"/>
        <w:ind w:firstLine="422" w:firstLineChars="200"/>
        <w:rPr>
          <w:rFonts w:hint="eastAsia" w:ascii="宋体" w:hAnsi="宋体" w:eastAsia="宋体" w:cs="宋体"/>
          <w:szCs w:val="21"/>
        </w:rPr>
      </w:pPr>
      <w:r>
        <w:rPr>
          <w:rFonts w:hint="eastAsia" w:ascii="宋体" w:hAnsi="宋体" w:eastAsia="宋体"/>
          <w:b/>
          <w:bCs/>
        </w:rPr>
        <w:t>8</w:t>
      </w:r>
      <w:r>
        <w:rPr>
          <w:rFonts w:ascii="宋体" w:hAnsi="宋体" w:eastAsia="宋体"/>
          <w:b/>
          <w:bCs/>
        </w:rPr>
        <w:t>.</w:t>
      </w:r>
      <w:r>
        <w:rPr>
          <w:rFonts w:hint="eastAsia" w:ascii="宋体" w:hAnsi="宋体" w:eastAsia="宋体"/>
          <w:b/>
          <w:bCs/>
        </w:rPr>
        <w:t xml:space="preserve"> </w:t>
      </w:r>
      <w:r>
        <w:rPr>
          <w:rFonts w:hint="eastAsia" w:ascii="宋体" w:hAnsi="宋体" w:eastAsia="宋体"/>
        </w:rPr>
        <w:t>我方</w:t>
      </w:r>
      <w:r>
        <w:rPr>
          <w:rFonts w:hint="eastAsia" w:ascii="宋体" w:hAnsi="宋体" w:eastAsia="宋体" w:cs="宋体"/>
          <w:szCs w:val="21"/>
        </w:rPr>
        <w:t>承诺在项目开发过程中会对开发内容对外保密，不会随意变更开发人员，若有特殊原因，提前告知用户，做好人员更换和风险防控。</w:t>
      </w:r>
    </w:p>
    <w:p w14:paraId="1624746F">
      <w:pPr>
        <w:pStyle w:val="6"/>
        <w:numPr>
          <w:ilvl w:val="2"/>
          <w:numId w:val="39"/>
        </w:numPr>
        <w:spacing w:before="260" w:after="260" w:line="416" w:lineRule="auto"/>
        <w:jc w:val="both"/>
        <w:rPr>
          <w:rFonts w:hint="eastAsia" w:ascii="宋体" w:hAnsi="宋体" w:cstheme="majorBidi"/>
          <w:szCs w:val="24"/>
        </w:rPr>
      </w:pPr>
      <w:bookmarkStart w:id="248" w:name="_Toc179751544"/>
      <w:bookmarkStart w:id="249" w:name="_Toc180265663"/>
      <w:r>
        <w:rPr>
          <w:rFonts w:hint="eastAsia" w:ascii="宋体" w:hAnsi="宋体" w:cstheme="majorBidi"/>
          <w:szCs w:val="24"/>
        </w:rPr>
        <w:t>实施流程方案</w:t>
      </w:r>
      <w:bookmarkEnd w:id="248"/>
      <w:bookmarkEnd w:id="249"/>
    </w:p>
    <w:p w14:paraId="0F938797">
      <w:pPr>
        <w:pStyle w:val="7"/>
        <w:numPr>
          <w:ilvl w:val="3"/>
          <w:numId w:val="39"/>
        </w:numPr>
        <w:spacing w:before="280" w:after="290" w:line="376" w:lineRule="auto"/>
        <w:jc w:val="both"/>
        <w:rPr>
          <w:rFonts w:hint="eastAsia" w:ascii="宋体" w:hAnsi="宋体"/>
          <w:sz w:val="21"/>
          <w:szCs w:val="21"/>
        </w:rPr>
      </w:pPr>
      <w:r>
        <w:rPr>
          <w:rFonts w:hint="eastAsia" w:ascii="宋体" w:hAnsi="宋体"/>
          <w:sz w:val="21"/>
          <w:szCs w:val="21"/>
        </w:rPr>
        <w:t>项目实施整体流程</w:t>
      </w:r>
    </w:p>
    <w:p w14:paraId="29C5675A">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明确目标与需求</w:t>
      </w:r>
    </w:p>
    <w:p w14:paraId="151AA3B7">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按照烟草总公司“整体设计，分步实施”的实施策略，建设本次烟草行业的数字化采购交易监管平台，通过行业重点物资在平台上实施采购、统一管理、精准监督，逐步引导和服务行业各单位工程、货物和服务招采活动实现全流程、全品类、全组织的采购要素数字化转型，实现业务线上化，执行规范化、信息数字化，全面促进烟草行业采购可视化交易、穿透式监管、数据化驱动、平台化运行水平。</w:t>
      </w:r>
    </w:p>
    <w:p w14:paraId="3A0769EA">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rPr>
        <w:t>遵循《电子招标投标办法》《电子采购交易规范非招标方式》等国家标准及规范，搭建行业电子采购系统，推进采购交易管理的全覆盖、流程化、系统化和实时化，实现招标类、非招标类项目的电子全流程线上交易管理，</w:t>
      </w:r>
      <w:r>
        <w:rPr>
          <w:rFonts w:ascii="宋体" w:hAnsi="宋体" w:eastAsia="宋体" w:cs="宋体"/>
          <w:szCs w:val="21"/>
        </w:rPr>
        <w:t>提高采购效率、降低采购成本、优化供应商管理等。</w:t>
      </w:r>
    </w:p>
    <w:p w14:paraId="497705F5">
      <w:pPr>
        <w:numPr>
          <w:ilvl w:val="1"/>
          <w:numId w:val="65"/>
        </w:numPr>
        <w:snapToGrid w:val="0"/>
        <w:spacing w:line="360" w:lineRule="auto"/>
        <w:contextualSpacing/>
        <w:rPr>
          <w:rFonts w:hint="eastAsia" w:ascii="宋体" w:hAnsi="宋体" w:eastAsia="宋体" w:cs="宋体"/>
          <w:szCs w:val="21"/>
        </w:rPr>
      </w:pPr>
      <w:r>
        <w:rPr>
          <w:rFonts w:ascii="宋体" w:hAnsi="宋体" w:eastAsia="宋体" w:cs="宋体"/>
          <w:szCs w:val="21"/>
        </w:rPr>
        <w:t>对现有采购流程进行全面分析，找出瓶颈和问题点，为系统建设提供改进方向。</w:t>
      </w:r>
    </w:p>
    <w:p w14:paraId="762C5A92">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组建专业团队</w:t>
      </w:r>
    </w:p>
    <w:p w14:paraId="1E9B99B0">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在本次项目实施过程中我方首先明确实施项目的核心团队成员名单（项目经理、运营负责人、技术负责人、系统设计人员、咨询顾问、UI设计人员、开发人员、测试人员等项目核心团队成员）及其负责的工作，具体人员及分工详见【16.2.2团队成员分工方案】。</w:t>
      </w:r>
    </w:p>
    <w:p w14:paraId="5263B826">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并</w:t>
      </w:r>
      <w:r>
        <w:rPr>
          <w:rFonts w:ascii="宋体" w:hAnsi="宋体" w:eastAsia="宋体" w:cs="宋体"/>
          <w:szCs w:val="21"/>
        </w:rPr>
        <w:t>确保团队成员具备</w:t>
      </w:r>
      <w:r>
        <w:rPr>
          <w:rFonts w:hint="eastAsia" w:ascii="宋体" w:hAnsi="宋体" w:eastAsia="宋体" w:cs="宋体"/>
          <w:szCs w:val="21"/>
        </w:rPr>
        <w:t>了</w:t>
      </w:r>
      <w:r>
        <w:rPr>
          <w:rFonts w:ascii="宋体" w:hAnsi="宋体" w:eastAsia="宋体" w:cs="宋体"/>
          <w:szCs w:val="21"/>
        </w:rPr>
        <w:t>相关技能和经验，能够胜任各自的工作职责。</w:t>
      </w:r>
    </w:p>
    <w:p w14:paraId="569C6105">
      <w:pPr>
        <w:pStyle w:val="73"/>
        <w:numPr>
          <w:ilvl w:val="1"/>
          <w:numId w:val="6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为保证项目进度和质量，我方承诺未经烟草总公司许可不会更换项目组驻场工作人员及核心团队成员，为本项目配置的核心团队成员不会兼职其他项目，如有特殊原因确需更换（如离职、生病、休假等）项目组现场工作人员及关键人员，我方会在变更人员前一个月向烟草总公司书面提出变更申请并配套提交人员更换和风险控制方案，经烟草总公司同意才会更换人员。我方承诺所有驻场服务人员会在烟草总公司指定地点的办公场所驻场。在项目实施过程中，为保证项目建设质量和进度，我方接受烟草总公司要求更换相关项目人员，我方予以配合。</w:t>
      </w:r>
    </w:p>
    <w:p w14:paraId="4842E724">
      <w:pPr>
        <w:pStyle w:val="73"/>
        <w:numPr>
          <w:ilvl w:val="1"/>
          <w:numId w:val="6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我方承诺投标文件中提供参与项目建设的项目经理、技术负责人、运营负责人名单，与签订本项目合同时提供的人员名单一致，并参加项目开发建设驻场服务，原则上不会变更。</w:t>
      </w:r>
    </w:p>
    <w:p w14:paraId="49AA2040">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制定项目计划</w:t>
      </w:r>
    </w:p>
    <w:p w14:paraId="1EA41EBA">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根据烟草总公司的建设要求</w:t>
      </w:r>
      <w:r>
        <w:rPr>
          <w:rFonts w:ascii="宋体" w:hAnsi="宋体" w:eastAsia="宋体" w:cs="宋体"/>
          <w:szCs w:val="21"/>
        </w:rPr>
        <w:t>制定</w:t>
      </w:r>
      <w:r>
        <w:rPr>
          <w:rFonts w:hint="eastAsia" w:ascii="宋体" w:hAnsi="宋体" w:eastAsia="宋体" w:cs="宋体"/>
          <w:szCs w:val="21"/>
        </w:rPr>
        <w:t>项目</w:t>
      </w:r>
      <w:r>
        <w:rPr>
          <w:rFonts w:ascii="宋体" w:hAnsi="宋体" w:eastAsia="宋体" w:cs="宋体"/>
          <w:szCs w:val="21"/>
        </w:rPr>
        <w:t>详细的项目计划，包括时间表、里程碑、任务分配等，确保项目按计划推进</w:t>
      </w:r>
      <w:r>
        <w:rPr>
          <w:rFonts w:hint="eastAsia" w:ascii="宋体" w:hAnsi="宋体" w:eastAsia="宋体" w:cs="宋体"/>
          <w:szCs w:val="21"/>
        </w:rPr>
        <w:t>，整体项目计划分为两个大的阶段</w:t>
      </w:r>
      <w:r>
        <w:rPr>
          <w:rFonts w:ascii="宋体" w:hAnsi="宋体" w:eastAsia="宋体" w:cs="宋体"/>
          <w:szCs w:val="21"/>
        </w:rPr>
        <w:t>。</w:t>
      </w:r>
    </w:p>
    <w:p w14:paraId="193B997E">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pacing w:val="-8"/>
          <w:szCs w:val="21"/>
          <w:lang w:bidi="ar"/>
        </w:rPr>
        <w:t>第一阶段：</w:t>
      </w:r>
      <w:r>
        <w:rPr>
          <w:rFonts w:hint="eastAsia" w:ascii="宋体" w:hAnsi="宋体" w:eastAsia="宋体" w:cs="宋体"/>
          <w:spacing w:val="-8"/>
          <w:szCs w:val="21"/>
        </w:rPr>
        <w:t>2025年1月1日前完成系统本地化部署和联调测试并具备上线运行条件，</w:t>
      </w:r>
      <w:r>
        <w:rPr>
          <w:rFonts w:hint="eastAsia" w:ascii="宋体" w:hAnsi="宋体" w:eastAsia="宋体" w:cs="宋体"/>
          <w:spacing w:val="-8"/>
          <w:szCs w:val="21"/>
          <w:lang w:bidi="ar"/>
        </w:rPr>
        <w:t>双方签署初验报告。</w:t>
      </w:r>
    </w:p>
    <w:p w14:paraId="1E7C3B09">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pacing w:val="-8"/>
          <w:szCs w:val="21"/>
          <w:lang w:bidi="ar"/>
        </w:rPr>
        <w:t>第二阶段：</w:t>
      </w:r>
      <w:r>
        <w:rPr>
          <w:rFonts w:hint="eastAsia" w:ascii="宋体" w:hAnsi="宋体" w:eastAsia="宋体"/>
        </w:rPr>
        <w:t>自双方签署</w:t>
      </w:r>
      <w:r>
        <w:rPr>
          <w:rFonts w:hint="eastAsia" w:ascii="宋体" w:hAnsi="宋体" w:eastAsia="宋体" w:cs="宋体"/>
          <w:spacing w:val="-8"/>
          <w:szCs w:val="21"/>
          <w:lang w:bidi="ar"/>
        </w:rPr>
        <w:t>初验报告之日起，系统进入上线运行，运营和运维服务期12个月。运营和运维服务期内我方完成烟草总公司要求的所有工作内容，并按合同约定提供包括但不限于项目相关实施报告、技术报告、系统运行报告、操作手册、源代码等材料后，双方签署终验报告。</w:t>
      </w:r>
    </w:p>
    <w:p w14:paraId="1EF18DF5">
      <w:pPr>
        <w:numPr>
          <w:ilvl w:val="1"/>
          <w:numId w:val="6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我方会根据两个阶段不同的建设内容和要求</w:t>
      </w:r>
      <w:r>
        <w:rPr>
          <w:rFonts w:ascii="宋体" w:hAnsi="宋体" w:eastAsia="宋体" w:cs="宋体"/>
          <w:szCs w:val="21"/>
        </w:rPr>
        <w:t>设定</w:t>
      </w:r>
      <w:r>
        <w:rPr>
          <w:rFonts w:hint="eastAsia" w:ascii="宋体" w:hAnsi="宋体" w:eastAsia="宋体" w:cs="宋体"/>
          <w:szCs w:val="21"/>
        </w:rPr>
        <w:t>不同的</w:t>
      </w:r>
      <w:r>
        <w:rPr>
          <w:rFonts w:ascii="宋体" w:hAnsi="宋体" w:eastAsia="宋体" w:cs="宋体"/>
          <w:szCs w:val="21"/>
        </w:rPr>
        <w:t>关键绩效指标（KPIs），用于监控项目进展和评估成果。</w:t>
      </w:r>
    </w:p>
    <w:p w14:paraId="33DFA0A2">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沟通与协作</w:t>
      </w:r>
    </w:p>
    <w:p w14:paraId="25223C46">
      <w:pPr>
        <w:numPr>
          <w:ilvl w:val="1"/>
          <w:numId w:val="41"/>
        </w:numPr>
        <w:spacing w:line="360" w:lineRule="auto"/>
        <w:rPr>
          <w:rFonts w:hint="eastAsia" w:ascii="宋体" w:hAnsi="宋体" w:eastAsia="宋体"/>
        </w:rPr>
      </w:pPr>
      <w:r>
        <w:rPr>
          <w:rFonts w:ascii="宋体" w:hAnsi="宋体" w:eastAsia="宋体" w:cs="宋体"/>
          <w:szCs w:val="21"/>
        </w:rPr>
        <w:t>建立有效的沟通机制，确保</w:t>
      </w:r>
      <w:r>
        <w:rPr>
          <w:rFonts w:hint="eastAsia" w:ascii="宋体" w:hAnsi="宋体" w:eastAsia="宋体" w:cs="宋体"/>
          <w:szCs w:val="21"/>
        </w:rPr>
        <w:t>项目组与烟草总公司需求组之间、</w:t>
      </w:r>
      <w:r>
        <w:rPr>
          <w:rFonts w:ascii="宋体" w:hAnsi="宋体" w:eastAsia="宋体" w:cs="宋体"/>
          <w:szCs w:val="21"/>
        </w:rPr>
        <w:t>项目组</w:t>
      </w:r>
      <w:r>
        <w:rPr>
          <w:rFonts w:hint="eastAsia" w:ascii="宋体" w:hAnsi="宋体" w:eastAsia="宋体" w:cs="宋体"/>
          <w:szCs w:val="21"/>
        </w:rPr>
        <w:t>内部</w:t>
      </w:r>
      <w:r>
        <w:rPr>
          <w:rFonts w:ascii="宋体" w:hAnsi="宋体" w:eastAsia="宋体" w:cs="宋体"/>
          <w:szCs w:val="21"/>
        </w:rPr>
        <w:t>成员之间的信息共享和协作</w:t>
      </w:r>
      <w:r>
        <w:rPr>
          <w:rFonts w:hint="eastAsia" w:ascii="宋体" w:hAnsi="宋体" w:eastAsia="宋体" w:cs="宋体"/>
          <w:szCs w:val="21"/>
        </w:rPr>
        <w:t>，</w:t>
      </w:r>
      <w:r>
        <w:rPr>
          <w:rFonts w:hint="eastAsia" w:ascii="宋体" w:hAnsi="宋体" w:eastAsia="宋体"/>
        </w:rPr>
        <w:t>明确</w:t>
      </w:r>
      <w:r>
        <w:rPr>
          <w:rFonts w:ascii="宋体" w:hAnsi="宋体" w:eastAsia="宋体"/>
        </w:rPr>
        <w:t>项目沟通</w:t>
      </w:r>
      <w:r>
        <w:rPr>
          <w:rFonts w:hint="eastAsia" w:ascii="宋体" w:hAnsi="宋体" w:eastAsia="宋体"/>
        </w:rPr>
        <w:t>方式</w:t>
      </w:r>
      <w:r>
        <w:rPr>
          <w:rFonts w:ascii="宋体" w:hAnsi="宋体" w:eastAsia="宋体"/>
        </w:rPr>
        <w:t>，包括</w:t>
      </w:r>
      <w:r>
        <w:rPr>
          <w:rFonts w:hint="eastAsia" w:ascii="宋体" w:hAnsi="宋体" w:eastAsia="宋体"/>
        </w:rPr>
        <w:t>项目会议形式、</w:t>
      </w:r>
      <w:r>
        <w:rPr>
          <w:rFonts w:ascii="宋体" w:hAnsi="宋体" w:eastAsia="宋体"/>
        </w:rPr>
        <w:t>会议频率、报告格式等</w:t>
      </w:r>
      <w:r>
        <w:rPr>
          <w:rFonts w:hint="eastAsia" w:ascii="宋体" w:hAnsi="宋体" w:eastAsia="宋体"/>
        </w:rPr>
        <w:t>，</w:t>
      </w:r>
      <w:r>
        <w:rPr>
          <w:rFonts w:ascii="宋体" w:hAnsi="宋体" w:eastAsia="宋体"/>
          <w:szCs w:val="21"/>
        </w:rPr>
        <w:t>设立项目沟通平台（如钉钉、微信等），确保信息实时共享</w:t>
      </w:r>
      <w:r>
        <w:rPr>
          <w:rFonts w:ascii="宋体" w:hAnsi="宋体" w:eastAsia="宋体"/>
        </w:rPr>
        <w:t>。</w:t>
      </w:r>
    </w:p>
    <w:p w14:paraId="2D6EFF9B">
      <w:pPr>
        <w:numPr>
          <w:ilvl w:val="1"/>
          <w:numId w:val="65"/>
        </w:numPr>
        <w:snapToGrid w:val="0"/>
        <w:spacing w:line="360" w:lineRule="auto"/>
        <w:contextualSpacing/>
        <w:rPr>
          <w:rFonts w:hint="eastAsia" w:ascii="宋体" w:hAnsi="宋体" w:eastAsia="宋体" w:cs="宋体"/>
          <w:szCs w:val="21"/>
        </w:rPr>
      </w:pPr>
      <w:r>
        <w:rPr>
          <w:rFonts w:ascii="宋体" w:hAnsi="宋体" w:eastAsia="宋体" w:cs="宋体"/>
          <w:szCs w:val="21"/>
        </w:rPr>
        <w:t>定期召开项目会议，讨论项目进展、问题和解决方案。</w:t>
      </w:r>
    </w:p>
    <w:p w14:paraId="16509D4D">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风险管理</w:t>
      </w:r>
    </w:p>
    <w:p w14:paraId="2DAF4B18">
      <w:pPr>
        <w:numPr>
          <w:ilvl w:val="1"/>
          <w:numId w:val="65"/>
        </w:numPr>
        <w:snapToGrid w:val="0"/>
        <w:spacing w:line="360" w:lineRule="auto"/>
        <w:contextualSpacing/>
        <w:rPr>
          <w:rFonts w:hint="eastAsia" w:ascii="宋体" w:hAnsi="宋体" w:eastAsia="宋体" w:cs="宋体"/>
          <w:szCs w:val="21"/>
        </w:rPr>
      </w:pPr>
      <w:r>
        <w:rPr>
          <w:rFonts w:ascii="宋体" w:hAnsi="宋体" w:eastAsia="宋体" w:cs="宋体"/>
          <w:szCs w:val="21"/>
        </w:rPr>
        <w:t>识别</w:t>
      </w:r>
      <w:r>
        <w:rPr>
          <w:rFonts w:hint="eastAsia" w:ascii="宋体" w:hAnsi="宋体" w:eastAsia="宋体" w:cs="宋体"/>
          <w:szCs w:val="21"/>
        </w:rPr>
        <w:t>本次项目的实施过程中的</w:t>
      </w:r>
      <w:r>
        <w:rPr>
          <w:rFonts w:ascii="宋体" w:hAnsi="宋体" w:eastAsia="宋体" w:cs="宋体"/>
          <w:szCs w:val="21"/>
        </w:rPr>
        <w:t>潜在风险，如技术风险、数据安全风险、供应商风险等，并制定相应的应对措施。</w:t>
      </w:r>
    </w:p>
    <w:p w14:paraId="38E0B36F">
      <w:pPr>
        <w:numPr>
          <w:ilvl w:val="1"/>
          <w:numId w:val="65"/>
        </w:numPr>
        <w:snapToGrid w:val="0"/>
        <w:spacing w:line="360" w:lineRule="auto"/>
        <w:contextualSpacing/>
        <w:rPr>
          <w:rFonts w:hint="eastAsia" w:ascii="宋体" w:hAnsi="宋体" w:eastAsia="宋体" w:cs="宋体"/>
          <w:szCs w:val="21"/>
        </w:rPr>
      </w:pPr>
      <w:r>
        <w:rPr>
          <w:rFonts w:ascii="宋体" w:hAnsi="宋体" w:eastAsia="宋体" w:cs="宋体"/>
          <w:szCs w:val="21"/>
        </w:rPr>
        <w:t>设立风险管理小组，负责监控和应对风险。</w:t>
      </w:r>
    </w:p>
    <w:p w14:paraId="1F506964">
      <w:pPr>
        <w:numPr>
          <w:ilvl w:val="0"/>
          <w:numId w:val="65"/>
        </w:numPr>
        <w:snapToGrid w:val="0"/>
        <w:spacing w:line="360" w:lineRule="auto"/>
        <w:contextualSpacing/>
        <w:rPr>
          <w:rFonts w:hint="eastAsia" w:ascii="宋体" w:hAnsi="宋体" w:eastAsia="宋体" w:cs="宋体"/>
          <w:b/>
          <w:bCs/>
          <w:szCs w:val="21"/>
        </w:rPr>
      </w:pPr>
      <w:r>
        <w:rPr>
          <w:rFonts w:ascii="宋体" w:hAnsi="宋体" w:eastAsia="宋体" w:cs="宋体"/>
          <w:b/>
          <w:bCs/>
          <w:szCs w:val="21"/>
        </w:rPr>
        <w:t>培训与推广</w:t>
      </w:r>
    </w:p>
    <w:p w14:paraId="6AE7E06A">
      <w:pPr>
        <w:spacing w:line="360" w:lineRule="auto"/>
        <w:ind w:left="840" w:firstLine="420"/>
        <w:jc w:val="left"/>
        <w:rPr>
          <w:rFonts w:hint="eastAsia" w:ascii="宋体" w:hAnsi="宋体" w:eastAsia="宋体" w:cs="宋体"/>
          <w:szCs w:val="21"/>
        </w:rPr>
      </w:pPr>
      <w:r>
        <w:rPr>
          <w:rFonts w:hint="eastAsia" w:ascii="宋体" w:hAnsi="宋体" w:eastAsia="宋体" w:cs="宋体"/>
          <w:szCs w:val="21"/>
        </w:rPr>
        <w:t>我方会根据本次项目建设培训要求编制项目培训方案、培训计划及大纲，对培训课程进行详细设计与说明。并且会按照本项目服务期不同阶段的建设要求和建设内容，结合烟草总公司需求，对项目参与人员、用户等进行有针对性的培训，包括但不局限于项目管理培训、系统知识培训、开发技术培训、安装部署培训、用户使用培训等，明确培训目标、内容、课时、课件、进度等，采用有效手段确保培训效果。详细措施如下：</w:t>
      </w:r>
    </w:p>
    <w:p w14:paraId="5C994076">
      <w:pPr>
        <w:pStyle w:val="73"/>
        <w:numPr>
          <w:ilvl w:val="1"/>
          <w:numId w:val="6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我方承诺培训工作会派具有实际工作和教学经验的相关专业人员进行培训，并提供详细培训资料。</w:t>
      </w:r>
    </w:p>
    <w:p w14:paraId="7E4AD5BE">
      <w:pPr>
        <w:pStyle w:val="73"/>
        <w:numPr>
          <w:ilvl w:val="1"/>
          <w:numId w:val="6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除既定的培训外，在系统运行期间，若烟草总公司有培训要求，我方无条件协助完成。</w:t>
      </w:r>
    </w:p>
    <w:p w14:paraId="17F6C2ED">
      <w:pPr>
        <w:pStyle w:val="73"/>
        <w:numPr>
          <w:ilvl w:val="1"/>
          <w:numId w:val="65"/>
        </w:numPr>
        <w:spacing w:line="360" w:lineRule="auto"/>
        <w:ind w:firstLineChars="0"/>
        <w:jc w:val="left"/>
        <w:rPr>
          <w:rFonts w:hint="eastAsia" w:ascii="宋体" w:hAnsi="宋体" w:eastAsia="宋体" w:cs="宋体"/>
          <w:szCs w:val="21"/>
        </w:rPr>
      </w:pPr>
      <w:r>
        <w:rPr>
          <w:rFonts w:hint="eastAsia" w:ascii="宋体" w:hAnsi="宋体" w:eastAsia="宋体" w:cs="宋体"/>
          <w:szCs w:val="21"/>
        </w:rPr>
        <w:t>我方承诺本次项目的运营和运维人员提供不少于【2次】的现场培训服务，其中运营人员培训不少于5人次，运维人员培训不少于5人次，确保烟草总公司相关人员具备日常运营和运维能力；所提供的系统用户培训人数不限，确保相关人员掌握系统的使用方法和操作能力，具体由烟草总公司根据实际情况进行安排。培训地点由烟草总公司指定，我方承诺承担所有培训相关费用。</w:t>
      </w:r>
    </w:p>
    <w:p w14:paraId="70A0BCF6">
      <w:pPr>
        <w:numPr>
          <w:ilvl w:val="1"/>
          <w:numId w:val="65"/>
        </w:numPr>
        <w:snapToGrid w:val="0"/>
        <w:spacing w:line="360" w:lineRule="auto"/>
        <w:contextualSpacing/>
        <w:rPr>
          <w:rFonts w:hint="eastAsia" w:ascii="宋体" w:hAnsi="宋体" w:eastAsia="宋体" w:cs="宋体"/>
          <w:szCs w:val="21"/>
        </w:rPr>
      </w:pPr>
      <w:r>
        <w:rPr>
          <w:rFonts w:ascii="宋体" w:hAnsi="宋体" w:eastAsia="宋体" w:cs="宋体"/>
          <w:szCs w:val="21"/>
        </w:rPr>
        <w:t>在系统上线前，</w:t>
      </w:r>
      <w:r>
        <w:rPr>
          <w:rFonts w:hint="eastAsia" w:ascii="宋体" w:hAnsi="宋体" w:eastAsia="宋体" w:cs="宋体"/>
          <w:szCs w:val="21"/>
        </w:rPr>
        <w:t>会</w:t>
      </w:r>
      <w:r>
        <w:rPr>
          <w:rFonts w:ascii="宋体" w:hAnsi="宋体" w:eastAsia="宋体" w:cs="宋体"/>
          <w:szCs w:val="21"/>
        </w:rPr>
        <w:t>对采购人员、</w:t>
      </w:r>
      <w:r>
        <w:rPr>
          <w:rFonts w:hint="eastAsia" w:ascii="宋体" w:hAnsi="宋体" w:eastAsia="宋体" w:cs="宋体"/>
          <w:szCs w:val="21"/>
        </w:rPr>
        <w:t>代理机构、</w:t>
      </w:r>
      <w:r>
        <w:rPr>
          <w:rFonts w:ascii="宋体" w:hAnsi="宋体" w:eastAsia="宋体" w:cs="宋体"/>
          <w:szCs w:val="21"/>
        </w:rPr>
        <w:t>供应商等相关人员进行</w:t>
      </w:r>
      <w:r>
        <w:rPr>
          <w:rFonts w:hint="eastAsia" w:ascii="宋体" w:hAnsi="宋体" w:eastAsia="宋体" w:cs="宋体"/>
          <w:szCs w:val="21"/>
        </w:rPr>
        <w:t>线上+线下的集中培训，系统上线后运营阶段提供实时在线的</w:t>
      </w:r>
      <w:r>
        <w:rPr>
          <w:rFonts w:ascii="宋体" w:hAnsi="宋体" w:eastAsia="宋体" w:cs="宋体"/>
          <w:szCs w:val="21"/>
        </w:rPr>
        <w:t>系统操作培训。</w:t>
      </w:r>
    </w:p>
    <w:p w14:paraId="617E126A">
      <w:pPr>
        <w:pStyle w:val="7"/>
        <w:numPr>
          <w:ilvl w:val="3"/>
          <w:numId w:val="39"/>
        </w:numPr>
        <w:spacing w:before="280" w:after="290" w:line="376" w:lineRule="auto"/>
        <w:jc w:val="both"/>
        <w:rPr>
          <w:rFonts w:hint="eastAsia" w:ascii="宋体" w:hAnsi="宋体"/>
          <w:sz w:val="21"/>
          <w:szCs w:val="21"/>
        </w:rPr>
      </w:pPr>
      <w:r>
        <w:rPr>
          <w:rFonts w:hint="eastAsia" w:ascii="宋体" w:hAnsi="宋体"/>
          <w:sz w:val="21"/>
          <w:szCs w:val="21"/>
        </w:rPr>
        <w:t>迭代开发流程</w:t>
      </w:r>
    </w:p>
    <w:p w14:paraId="3C955FD3">
      <w:pPr>
        <w:snapToGrid w:val="0"/>
        <w:spacing w:line="360" w:lineRule="auto"/>
        <w:ind w:left="420" w:firstLine="420"/>
        <w:contextualSpacing/>
        <w:rPr>
          <w:rFonts w:hint="eastAsia" w:ascii="宋体" w:hAnsi="宋体" w:eastAsia="宋体" w:cs="宋体"/>
          <w:szCs w:val="21"/>
        </w:rPr>
      </w:pPr>
      <w:r>
        <w:rPr>
          <w:rFonts w:hint="eastAsia" w:ascii="宋体" w:hAnsi="宋体" w:eastAsia="宋体" w:cs="宋体"/>
          <w:szCs w:val="21"/>
        </w:rPr>
        <w:t>根据我司多年来开发遵循的敏捷快速迭代流程进行本次项目的迭代开发工作，具体流程见下图所示：</w:t>
      </w:r>
    </w:p>
    <w:p w14:paraId="4989EA08">
      <w:pPr>
        <w:snapToGrid w:val="0"/>
        <w:spacing w:line="360" w:lineRule="auto"/>
        <w:contextualSpacing/>
        <w:rPr>
          <w:rFonts w:hint="eastAsia" w:ascii="宋体" w:hAnsi="宋体" w:eastAsia="宋体" w:cs="宋体"/>
          <w:szCs w:val="21"/>
        </w:rPr>
      </w:pPr>
      <w:r>
        <w:rPr>
          <w:rFonts w:ascii="宋体" w:hAnsi="宋体" w:eastAsia="宋体" w:cs="宋体"/>
          <w:szCs w:val="21"/>
        </w:rPr>
        <w:drawing>
          <wp:inline distT="0" distB="0" distL="0" distR="0">
            <wp:extent cx="5939790" cy="3846830"/>
            <wp:effectExtent l="0" t="0" r="3810" b="1270"/>
            <wp:docPr id="152520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037" name="图片 1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5939790" cy="3846830"/>
                    </a:xfrm>
                    <a:prstGeom prst="rect">
                      <a:avLst/>
                    </a:prstGeom>
                    <a:noFill/>
                    <a:ln>
                      <a:noFill/>
                    </a:ln>
                  </pic:spPr>
                </pic:pic>
              </a:graphicData>
            </a:graphic>
          </wp:inline>
        </w:drawing>
      </w:r>
    </w:p>
    <w:p w14:paraId="4AE42094">
      <w:pPr>
        <w:pStyle w:val="7"/>
        <w:numPr>
          <w:ilvl w:val="3"/>
          <w:numId w:val="39"/>
        </w:numPr>
        <w:spacing w:before="280" w:after="290" w:line="376" w:lineRule="auto"/>
        <w:jc w:val="both"/>
        <w:rPr>
          <w:rFonts w:hint="eastAsia" w:ascii="宋体" w:hAnsi="宋体"/>
          <w:sz w:val="21"/>
          <w:szCs w:val="21"/>
        </w:rPr>
      </w:pPr>
      <w:r>
        <w:rPr>
          <w:rFonts w:hint="eastAsia" w:ascii="宋体" w:hAnsi="宋体"/>
          <w:sz w:val="21"/>
          <w:szCs w:val="21"/>
        </w:rPr>
        <w:t>需求分析设计环节流程</w:t>
      </w:r>
    </w:p>
    <w:p w14:paraId="2CC2A848">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结合本次项目的实际需求，在</w:t>
      </w:r>
      <w:r>
        <w:rPr>
          <w:rFonts w:ascii="宋体" w:hAnsi="宋体" w:eastAsia="宋体" w:cs="宋体"/>
          <w:szCs w:val="21"/>
        </w:rPr>
        <w:t>实施需求分析与设计时，</w:t>
      </w:r>
      <w:r>
        <w:rPr>
          <w:rFonts w:hint="eastAsia" w:ascii="宋体" w:hAnsi="宋体" w:eastAsia="宋体" w:cs="宋体"/>
          <w:szCs w:val="21"/>
        </w:rPr>
        <w:t>重点是二次开发需求的获取分析和设计，重点以采购计划、采购监督管理等与管理制度、管理理念紧密相结合的功能为主，同时兼顾整体需求的把控，分节点流程描述如下</w:t>
      </w:r>
      <w:r>
        <w:rPr>
          <w:rFonts w:ascii="宋体" w:hAnsi="宋体" w:eastAsia="宋体" w:cs="宋体"/>
          <w:szCs w:val="21"/>
        </w:rPr>
        <w:t>：</w:t>
      </w:r>
    </w:p>
    <w:p w14:paraId="42BE95D1">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一、需求获取与分析</w:t>
      </w:r>
    </w:p>
    <w:p w14:paraId="24864D97">
      <w:pPr>
        <w:numPr>
          <w:ilvl w:val="0"/>
          <w:numId w:val="66"/>
        </w:numPr>
        <w:snapToGrid w:val="0"/>
        <w:spacing w:line="360" w:lineRule="auto"/>
        <w:contextualSpacing/>
        <w:rPr>
          <w:rFonts w:hint="eastAsia" w:ascii="宋体" w:hAnsi="宋体" w:eastAsia="宋体" w:cs="宋体"/>
          <w:szCs w:val="21"/>
        </w:rPr>
      </w:pPr>
      <w:r>
        <w:rPr>
          <w:rFonts w:ascii="宋体" w:hAnsi="宋体" w:eastAsia="宋体" w:cs="宋体"/>
          <w:b/>
          <w:bCs/>
          <w:szCs w:val="21"/>
        </w:rPr>
        <w:t>全面收集信息</w:t>
      </w:r>
      <w:r>
        <w:rPr>
          <w:rFonts w:ascii="宋体" w:hAnsi="宋体" w:eastAsia="宋体" w:cs="宋体"/>
          <w:szCs w:val="21"/>
        </w:rPr>
        <w:t>：</w:t>
      </w:r>
    </w:p>
    <w:p w14:paraId="4F5B6B74">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与</w:t>
      </w:r>
      <w:r>
        <w:rPr>
          <w:rFonts w:hint="eastAsia" w:ascii="宋体" w:hAnsi="宋体" w:eastAsia="宋体" w:cs="宋体"/>
          <w:szCs w:val="21"/>
        </w:rPr>
        <w:t>烟草总公司需求组及采购相关部门、机构</w:t>
      </w:r>
      <w:r>
        <w:rPr>
          <w:rFonts w:ascii="宋体" w:hAnsi="宋体" w:eastAsia="宋体" w:cs="宋体"/>
          <w:szCs w:val="21"/>
        </w:rPr>
        <w:t>进行深入沟通，了解其</w:t>
      </w:r>
      <w:r>
        <w:rPr>
          <w:rFonts w:hint="eastAsia" w:ascii="宋体" w:hAnsi="宋体" w:eastAsia="宋体" w:cs="宋体"/>
          <w:szCs w:val="21"/>
        </w:rPr>
        <w:t>采购监管需求</w:t>
      </w:r>
      <w:r>
        <w:rPr>
          <w:rFonts w:ascii="宋体" w:hAnsi="宋体" w:eastAsia="宋体" w:cs="宋体"/>
          <w:szCs w:val="21"/>
        </w:rPr>
        <w:t>、</w:t>
      </w:r>
      <w:r>
        <w:rPr>
          <w:rFonts w:hint="eastAsia" w:ascii="宋体" w:hAnsi="宋体" w:eastAsia="宋体" w:cs="宋体"/>
          <w:szCs w:val="21"/>
        </w:rPr>
        <w:t>目前管理流程和制度</w:t>
      </w:r>
      <w:r>
        <w:rPr>
          <w:rFonts w:ascii="宋体" w:hAnsi="宋体" w:eastAsia="宋体" w:cs="宋体"/>
          <w:szCs w:val="21"/>
        </w:rPr>
        <w:t>、</w:t>
      </w:r>
      <w:r>
        <w:rPr>
          <w:rFonts w:hint="eastAsia" w:ascii="宋体" w:hAnsi="宋体" w:eastAsia="宋体" w:cs="宋体"/>
          <w:szCs w:val="21"/>
        </w:rPr>
        <w:t>对交易主体的关注点和诉求</w:t>
      </w:r>
      <w:r>
        <w:rPr>
          <w:rFonts w:ascii="宋体" w:hAnsi="宋体" w:eastAsia="宋体" w:cs="宋体"/>
          <w:szCs w:val="21"/>
        </w:rPr>
        <w:t>等关键信息。</w:t>
      </w:r>
    </w:p>
    <w:p w14:paraId="01361391">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参考</w:t>
      </w:r>
      <w:r>
        <w:rPr>
          <w:rFonts w:hint="eastAsia" w:ascii="宋体" w:hAnsi="宋体" w:eastAsia="宋体" w:cs="宋体"/>
          <w:szCs w:val="21"/>
        </w:rPr>
        <w:t>和学习烟草总公司需求组前期工作成果、</w:t>
      </w:r>
      <w:r>
        <w:rPr>
          <w:rFonts w:ascii="宋体" w:hAnsi="宋体" w:eastAsia="宋体" w:cs="宋体"/>
          <w:szCs w:val="21"/>
        </w:rPr>
        <w:t>调研报告、</w:t>
      </w:r>
      <w:r>
        <w:rPr>
          <w:rFonts w:hint="eastAsia" w:ascii="宋体" w:hAnsi="宋体" w:eastAsia="宋体" w:cs="宋体"/>
          <w:szCs w:val="21"/>
        </w:rPr>
        <w:t>需求文档等，并结合我司平台已经具备的成熟功能进行综合分析，</w:t>
      </w:r>
      <w:r>
        <w:rPr>
          <w:rFonts w:ascii="宋体" w:hAnsi="宋体" w:eastAsia="宋体" w:cs="宋体"/>
          <w:szCs w:val="21"/>
        </w:rPr>
        <w:t>确保需求的准确性和前瞻性。</w:t>
      </w:r>
    </w:p>
    <w:p w14:paraId="12994DA9">
      <w:pPr>
        <w:numPr>
          <w:ilvl w:val="0"/>
          <w:numId w:val="66"/>
        </w:numPr>
        <w:snapToGrid w:val="0"/>
        <w:spacing w:line="360" w:lineRule="auto"/>
        <w:contextualSpacing/>
        <w:rPr>
          <w:rFonts w:hint="eastAsia" w:ascii="宋体" w:hAnsi="宋体" w:eastAsia="宋体" w:cs="宋体"/>
          <w:szCs w:val="21"/>
        </w:rPr>
      </w:pPr>
      <w:r>
        <w:rPr>
          <w:rFonts w:ascii="宋体" w:hAnsi="宋体" w:eastAsia="宋体" w:cs="宋体"/>
          <w:b/>
          <w:bCs/>
          <w:szCs w:val="21"/>
        </w:rPr>
        <w:t>需求细化与分类</w:t>
      </w:r>
      <w:r>
        <w:rPr>
          <w:rFonts w:ascii="宋体" w:hAnsi="宋体" w:eastAsia="宋体" w:cs="宋体"/>
          <w:szCs w:val="21"/>
        </w:rPr>
        <w:t>：</w:t>
      </w:r>
    </w:p>
    <w:p w14:paraId="1E4517C7">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对收集到的需求进行细化和分类，如</w:t>
      </w:r>
      <w:r>
        <w:rPr>
          <w:rFonts w:hint="eastAsia" w:ascii="宋体" w:hAnsi="宋体" w:eastAsia="宋体" w:cs="宋体"/>
          <w:szCs w:val="21"/>
        </w:rPr>
        <w:t>我司成熟系统功能和需求差别，尤其在采购计划管理、采购监督管理等方面的细化</w:t>
      </w:r>
      <w:r>
        <w:rPr>
          <w:rFonts w:ascii="宋体" w:hAnsi="宋体" w:eastAsia="宋体" w:cs="宋体"/>
          <w:szCs w:val="21"/>
        </w:rPr>
        <w:t>。</w:t>
      </w:r>
    </w:p>
    <w:p w14:paraId="5BADE1EE">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确保每个需求都清晰明确，可度量，并与项目目标紧密相关。</w:t>
      </w:r>
    </w:p>
    <w:p w14:paraId="38C1453C">
      <w:pPr>
        <w:numPr>
          <w:ilvl w:val="0"/>
          <w:numId w:val="66"/>
        </w:numPr>
        <w:snapToGrid w:val="0"/>
        <w:spacing w:line="360" w:lineRule="auto"/>
        <w:contextualSpacing/>
        <w:rPr>
          <w:rFonts w:hint="eastAsia" w:ascii="宋体" w:hAnsi="宋体" w:eastAsia="宋体" w:cs="宋体"/>
          <w:szCs w:val="21"/>
        </w:rPr>
      </w:pPr>
      <w:r>
        <w:rPr>
          <w:rFonts w:ascii="宋体" w:hAnsi="宋体" w:eastAsia="宋体" w:cs="宋体"/>
          <w:b/>
          <w:bCs/>
          <w:szCs w:val="21"/>
        </w:rPr>
        <w:t>需求验证与确认</w:t>
      </w:r>
      <w:r>
        <w:rPr>
          <w:rFonts w:ascii="宋体" w:hAnsi="宋体" w:eastAsia="宋体" w:cs="宋体"/>
          <w:szCs w:val="21"/>
        </w:rPr>
        <w:t>：</w:t>
      </w:r>
    </w:p>
    <w:p w14:paraId="6989E1D1">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通过原型法、状态建模等技巧，激发和验证干系人的需求</w:t>
      </w:r>
      <w:r>
        <w:rPr>
          <w:rFonts w:hint="eastAsia" w:ascii="宋体" w:hAnsi="宋体" w:eastAsia="宋体" w:cs="宋体"/>
          <w:szCs w:val="21"/>
        </w:rPr>
        <w:t>，尤其是涉及烟草总公司与省市县下属单位之间的数据流、审批流、监管流的环节明确和管理需求</w:t>
      </w:r>
      <w:r>
        <w:rPr>
          <w:rFonts w:ascii="宋体" w:hAnsi="宋体" w:eastAsia="宋体" w:cs="宋体"/>
          <w:szCs w:val="21"/>
        </w:rPr>
        <w:t>。</w:t>
      </w:r>
    </w:p>
    <w:p w14:paraId="69A8F2A7">
      <w:pPr>
        <w:numPr>
          <w:ilvl w:val="1"/>
          <w:numId w:val="66"/>
        </w:numPr>
        <w:snapToGrid w:val="0"/>
        <w:spacing w:line="360" w:lineRule="auto"/>
        <w:contextualSpacing/>
        <w:rPr>
          <w:rFonts w:hint="eastAsia" w:ascii="宋体" w:hAnsi="宋体" w:eastAsia="宋体" w:cs="宋体"/>
          <w:szCs w:val="21"/>
        </w:rPr>
      </w:pPr>
      <w:r>
        <w:rPr>
          <w:rFonts w:ascii="宋体" w:hAnsi="宋体" w:eastAsia="宋体" w:cs="宋体"/>
          <w:szCs w:val="21"/>
        </w:rPr>
        <w:t>与</w:t>
      </w:r>
      <w:r>
        <w:rPr>
          <w:rFonts w:hint="eastAsia" w:ascii="宋体" w:hAnsi="宋体" w:eastAsia="宋体" w:cs="宋体"/>
          <w:szCs w:val="21"/>
        </w:rPr>
        <w:t>烟草总公司需求组</w:t>
      </w:r>
      <w:r>
        <w:rPr>
          <w:rFonts w:ascii="宋体" w:hAnsi="宋体" w:eastAsia="宋体" w:cs="宋体"/>
          <w:szCs w:val="21"/>
        </w:rPr>
        <w:t>共同确认需求的准确性和完整性，确保双方对需求的理解一致。</w:t>
      </w:r>
    </w:p>
    <w:p w14:paraId="1171E7CF">
      <w:pPr>
        <w:numPr>
          <w:ilvl w:val="1"/>
          <w:numId w:val="66"/>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最终形成完整的烟草总公司电子采购系统建设二次开发需求规格说明书。</w:t>
      </w:r>
    </w:p>
    <w:p w14:paraId="59D69C55">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二、设计环节</w:t>
      </w:r>
    </w:p>
    <w:p w14:paraId="19384232">
      <w:pPr>
        <w:numPr>
          <w:ilvl w:val="0"/>
          <w:numId w:val="67"/>
        </w:numPr>
        <w:snapToGrid w:val="0"/>
        <w:spacing w:line="360" w:lineRule="auto"/>
        <w:contextualSpacing/>
        <w:rPr>
          <w:rFonts w:hint="eastAsia" w:ascii="宋体" w:hAnsi="宋体" w:eastAsia="宋体" w:cs="宋体"/>
          <w:szCs w:val="21"/>
        </w:rPr>
      </w:pPr>
      <w:r>
        <w:rPr>
          <w:rFonts w:ascii="宋体" w:hAnsi="宋体" w:eastAsia="宋体" w:cs="宋体"/>
          <w:b/>
          <w:bCs/>
          <w:szCs w:val="21"/>
        </w:rPr>
        <w:t>总体结构设计</w:t>
      </w:r>
      <w:r>
        <w:rPr>
          <w:rFonts w:ascii="宋体" w:hAnsi="宋体" w:eastAsia="宋体" w:cs="宋体"/>
          <w:szCs w:val="21"/>
        </w:rPr>
        <w:t>：</w:t>
      </w:r>
    </w:p>
    <w:p w14:paraId="1E503F6C">
      <w:pPr>
        <w:numPr>
          <w:ilvl w:val="1"/>
          <w:numId w:val="67"/>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由本项目系统架构师</w:t>
      </w:r>
      <w:r>
        <w:rPr>
          <w:rFonts w:ascii="宋体" w:hAnsi="宋体" w:eastAsia="宋体" w:cs="宋体"/>
          <w:szCs w:val="21"/>
        </w:rPr>
        <w:t>根据需求分析的结果，设计系统的</w:t>
      </w:r>
      <w:r>
        <w:rPr>
          <w:rFonts w:hint="eastAsia" w:ascii="宋体" w:hAnsi="宋体" w:eastAsia="宋体" w:cs="宋体"/>
          <w:szCs w:val="21"/>
        </w:rPr>
        <w:t>技术架构，</w:t>
      </w:r>
      <w:r>
        <w:rPr>
          <w:rFonts w:hint="eastAsia" w:ascii="宋体" w:hAnsi="宋体" w:eastAsia="宋体" w:cs="宋体"/>
          <w:bCs/>
        </w:rPr>
        <w:t>包括并不限于</w:t>
      </w:r>
      <w:r>
        <w:rPr>
          <w:rFonts w:hint="eastAsia" w:ascii="宋体" w:hAnsi="宋体" w:eastAsia="宋体"/>
        </w:rPr>
        <w:t>总体架构、集成架构、技术架构、功能架构、部署架构、数据架构等</w:t>
      </w:r>
      <w:r>
        <w:rPr>
          <w:rFonts w:ascii="宋体" w:hAnsi="宋体" w:eastAsia="宋体" w:cs="宋体"/>
          <w:szCs w:val="21"/>
        </w:rPr>
        <w:t>，</w:t>
      </w:r>
      <w:r>
        <w:rPr>
          <w:rFonts w:hint="eastAsia" w:ascii="宋体" w:hAnsi="宋体" w:eastAsia="宋体" w:cs="宋体"/>
          <w:szCs w:val="21"/>
        </w:rPr>
        <w:t>在架构与软件实现过程中，遵循微服务架构、容器、持续集成与交付、</w:t>
      </w:r>
      <w:bookmarkStart w:id="250" w:name="OLE_LINK22"/>
      <w:r>
        <w:rPr>
          <w:rFonts w:hint="eastAsia" w:ascii="宋体" w:hAnsi="宋体" w:eastAsia="宋体" w:cs="宋体"/>
          <w:szCs w:val="21"/>
        </w:rPr>
        <w:t>DevOps等云原生</w:t>
      </w:r>
      <w:bookmarkEnd w:id="250"/>
      <w:r>
        <w:rPr>
          <w:rFonts w:hint="eastAsia" w:ascii="宋体" w:hAnsi="宋体" w:eastAsia="宋体" w:cs="宋体"/>
          <w:szCs w:val="21"/>
        </w:rPr>
        <w:t>要求</w:t>
      </w:r>
      <w:r>
        <w:rPr>
          <w:rFonts w:ascii="宋体" w:hAnsi="宋体" w:eastAsia="宋体" w:cs="宋体"/>
          <w:szCs w:val="21"/>
        </w:rPr>
        <w:t>。</w:t>
      </w:r>
    </w:p>
    <w:p w14:paraId="079DE21D">
      <w:pPr>
        <w:numPr>
          <w:ilvl w:val="1"/>
          <w:numId w:val="67"/>
        </w:numPr>
        <w:snapToGrid w:val="0"/>
        <w:spacing w:line="360" w:lineRule="auto"/>
        <w:contextualSpacing/>
        <w:rPr>
          <w:rFonts w:hint="eastAsia" w:ascii="宋体" w:hAnsi="宋体" w:eastAsia="宋体" w:cs="宋体"/>
          <w:szCs w:val="21"/>
        </w:rPr>
      </w:pPr>
      <w:r>
        <w:rPr>
          <w:rFonts w:ascii="宋体" w:hAnsi="宋体" w:eastAsia="宋体" w:cs="宋体"/>
          <w:szCs w:val="21"/>
        </w:rPr>
        <w:t>确保系统结构清晰、合理，能够支持后续的开发和维护工作。</w:t>
      </w:r>
    </w:p>
    <w:p w14:paraId="4EF817C6">
      <w:pPr>
        <w:numPr>
          <w:ilvl w:val="0"/>
          <w:numId w:val="67"/>
        </w:numPr>
        <w:snapToGrid w:val="0"/>
        <w:spacing w:line="360" w:lineRule="auto"/>
        <w:contextualSpacing/>
        <w:rPr>
          <w:rFonts w:hint="eastAsia" w:ascii="宋体" w:hAnsi="宋体" w:eastAsia="宋体" w:cs="宋体"/>
          <w:szCs w:val="21"/>
        </w:rPr>
      </w:pPr>
      <w:r>
        <w:rPr>
          <w:rFonts w:ascii="宋体" w:hAnsi="宋体" w:eastAsia="宋体" w:cs="宋体"/>
          <w:b/>
          <w:bCs/>
          <w:szCs w:val="21"/>
        </w:rPr>
        <w:t>详细设计</w:t>
      </w:r>
      <w:r>
        <w:rPr>
          <w:rFonts w:ascii="宋体" w:hAnsi="宋体" w:eastAsia="宋体" w:cs="宋体"/>
          <w:szCs w:val="21"/>
        </w:rPr>
        <w:t>：</w:t>
      </w:r>
    </w:p>
    <w:p w14:paraId="1EB4EB56">
      <w:pPr>
        <w:numPr>
          <w:ilvl w:val="1"/>
          <w:numId w:val="67"/>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对照烟草总公司的需求和我司成熟产品之间的差异和新的如采购计划、采购监管等需求进行优化功能、新增功能的</w:t>
      </w:r>
      <w:r>
        <w:rPr>
          <w:rFonts w:ascii="宋体" w:hAnsi="宋体" w:eastAsia="宋体" w:cs="宋体"/>
          <w:szCs w:val="21"/>
        </w:rPr>
        <w:t>详细设计，包括功能</w:t>
      </w:r>
      <w:r>
        <w:rPr>
          <w:rFonts w:hint="eastAsia" w:ascii="宋体" w:hAnsi="宋体" w:eastAsia="宋体" w:cs="宋体"/>
          <w:szCs w:val="21"/>
        </w:rPr>
        <w:t>界面、逻辑</w:t>
      </w:r>
      <w:r>
        <w:rPr>
          <w:rFonts w:ascii="宋体" w:hAnsi="宋体" w:eastAsia="宋体" w:cs="宋体"/>
          <w:szCs w:val="21"/>
        </w:rPr>
        <w:t>设计、数据结构等。</w:t>
      </w:r>
    </w:p>
    <w:p w14:paraId="1DB50501">
      <w:pPr>
        <w:numPr>
          <w:ilvl w:val="1"/>
          <w:numId w:val="67"/>
        </w:numPr>
        <w:snapToGrid w:val="0"/>
        <w:spacing w:line="360" w:lineRule="auto"/>
        <w:contextualSpacing/>
        <w:rPr>
          <w:rFonts w:hint="eastAsia" w:ascii="宋体" w:hAnsi="宋体" w:eastAsia="宋体" w:cs="宋体"/>
          <w:szCs w:val="21"/>
        </w:rPr>
      </w:pPr>
      <w:r>
        <w:rPr>
          <w:rFonts w:ascii="宋体" w:hAnsi="宋体" w:eastAsia="宋体" w:cs="宋体"/>
          <w:szCs w:val="21"/>
        </w:rPr>
        <w:t>编写详细设计文档，为开发团队提供明确的指导。</w:t>
      </w:r>
    </w:p>
    <w:p w14:paraId="448DCB22">
      <w:pPr>
        <w:numPr>
          <w:ilvl w:val="0"/>
          <w:numId w:val="67"/>
        </w:numPr>
        <w:snapToGrid w:val="0"/>
        <w:spacing w:line="360" w:lineRule="auto"/>
        <w:contextualSpacing/>
        <w:rPr>
          <w:rFonts w:hint="eastAsia" w:ascii="宋体" w:hAnsi="宋体" w:eastAsia="宋体" w:cs="宋体"/>
          <w:szCs w:val="21"/>
        </w:rPr>
      </w:pPr>
      <w:r>
        <w:rPr>
          <w:rFonts w:ascii="宋体" w:hAnsi="宋体" w:eastAsia="宋体" w:cs="宋体"/>
          <w:b/>
          <w:bCs/>
          <w:szCs w:val="21"/>
        </w:rPr>
        <w:t>界面与用户体验设计</w:t>
      </w:r>
      <w:r>
        <w:rPr>
          <w:rFonts w:ascii="宋体" w:hAnsi="宋体" w:eastAsia="宋体" w:cs="宋体"/>
          <w:szCs w:val="21"/>
        </w:rPr>
        <w:t>：</w:t>
      </w:r>
    </w:p>
    <w:p w14:paraId="0EB6B40B">
      <w:pPr>
        <w:numPr>
          <w:ilvl w:val="1"/>
          <w:numId w:val="67"/>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根据系统二次开发需求规格说明书，</w:t>
      </w:r>
      <w:r>
        <w:rPr>
          <w:rFonts w:ascii="宋体" w:hAnsi="宋体" w:eastAsia="宋体" w:cs="宋体"/>
          <w:szCs w:val="21"/>
        </w:rPr>
        <w:t>设计</w:t>
      </w:r>
      <w:r>
        <w:rPr>
          <w:rFonts w:hint="eastAsia" w:ascii="宋体" w:hAnsi="宋体" w:eastAsia="宋体" w:cs="宋体"/>
          <w:szCs w:val="21"/>
        </w:rPr>
        <w:t>优化功能和新增功能的界面原型和操作方式</w:t>
      </w:r>
      <w:r>
        <w:rPr>
          <w:rFonts w:ascii="宋体" w:hAnsi="宋体" w:eastAsia="宋体" w:cs="宋体"/>
          <w:szCs w:val="21"/>
        </w:rPr>
        <w:t>，确保用户能够方便地与系统交互。</w:t>
      </w:r>
    </w:p>
    <w:p w14:paraId="1225B190">
      <w:pPr>
        <w:numPr>
          <w:ilvl w:val="1"/>
          <w:numId w:val="67"/>
        </w:numPr>
        <w:snapToGrid w:val="0"/>
        <w:spacing w:line="360" w:lineRule="auto"/>
        <w:contextualSpacing/>
        <w:rPr>
          <w:rFonts w:hint="eastAsia" w:ascii="宋体" w:hAnsi="宋体" w:eastAsia="宋体" w:cs="宋体"/>
          <w:szCs w:val="21"/>
        </w:rPr>
      </w:pPr>
      <w:r>
        <w:rPr>
          <w:rFonts w:ascii="宋体" w:hAnsi="宋体" w:eastAsia="宋体" w:cs="宋体"/>
          <w:szCs w:val="21"/>
        </w:rPr>
        <w:t>考虑用户体验，优化操作流程和界面布局，提高用户满意度。</w:t>
      </w:r>
    </w:p>
    <w:p w14:paraId="4B199131">
      <w:pPr>
        <w:numPr>
          <w:ilvl w:val="0"/>
          <w:numId w:val="67"/>
        </w:numPr>
        <w:snapToGrid w:val="0"/>
        <w:spacing w:line="360" w:lineRule="auto"/>
        <w:contextualSpacing/>
        <w:rPr>
          <w:rFonts w:hint="eastAsia" w:ascii="宋体" w:hAnsi="宋体" w:eastAsia="宋体" w:cs="宋体"/>
          <w:szCs w:val="21"/>
        </w:rPr>
      </w:pPr>
      <w:r>
        <w:rPr>
          <w:rFonts w:ascii="宋体" w:hAnsi="宋体" w:eastAsia="宋体" w:cs="宋体"/>
          <w:b/>
          <w:bCs/>
          <w:szCs w:val="21"/>
        </w:rPr>
        <w:t>数据库设计</w:t>
      </w:r>
      <w:r>
        <w:rPr>
          <w:rFonts w:ascii="宋体" w:hAnsi="宋体" w:eastAsia="宋体" w:cs="宋体"/>
          <w:szCs w:val="21"/>
        </w:rPr>
        <w:t>：</w:t>
      </w:r>
    </w:p>
    <w:p w14:paraId="2EE3E143">
      <w:pPr>
        <w:numPr>
          <w:ilvl w:val="1"/>
          <w:numId w:val="67"/>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根据系统二次开发需求规格说明书</w:t>
      </w:r>
      <w:r>
        <w:rPr>
          <w:rFonts w:ascii="宋体" w:hAnsi="宋体" w:eastAsia="宋体" w:cs="宋体"/>
          <w:szCs w:val="21"/>
        </w:rPr>
        <w:t>中确定的数据库需求，</w:t>
      </w:r>
      <w:r>
        <w:rPr>
          <w:rFonts w:hint="eastAsia" w:ascii="宋体" w:hAnsi="宋体" w:eastAsia="宋体" w:cs="宋体"/>
          <w:szCs w:val="21"/>
        </w:rPr>
        <w:t>调整和新</w:t>
      </w:r>
      <w:r>
        <w:rPr>
          <w:rFonts w:ascii="宋体" w:hAnsi="宋体" w:eastAsia="宋体" w:cs="宋体"/>
          <w:szCs w:val="21"/>
        </w:rPr>
        <w:t>设计系统的数据库结构。</w:t>
      </w:r>
    </w:p>
    <w:p w14:paraId="7745A6B8">
      <w:pPr>
        <w:numPr>
          <w:ilvl w:val="1"/>
          <w:numId w:val="67"/>
        </w:numPr>
        <w:snapToGrid w:val="0"/>
        <w:spacing w:line="360" w:lineRule="auto"/>
        <w:contextualSpacing/>
        <w:rPr>
          <w:rFonts w:hint="eastAsia" w:ascii="宋体" w:hAnsi="宋体" w:eastAsia="宋体" w:cs="宋体"/>
          <w:szCs w:val="21"/>
        </w:rPr>
      </w:pPr>
      <w:r>
        <w:rPr>
          <w:rFonts w:ascii="宋体" w:hAnsi="宋体" w:eastAsia="宋体" w:cs="宋体"/>
          <w:szCs w:val="21"/>
        </w:rPr>
        <w:t>确保数据库设计合理、高效，能够支持系统的数据存储和</w:t>
      </w:r>
      <w:r>
        <w:rPr>
          <w:rFonts w:hint="eastAsia" w:ascii="宋体" w:hAnsi="宋体" w:eastAsia="宋体" w:cs="宋体"/>
          <w:szCs w:val="21"/>
        </w:rPr>
        <w:t>管理</w:t>
      </w:r>
      <w:r>
        <w:rPr>
          <w:rFonts w:ascii="宋体" w:hAnsi="宋体" w:eastAsia="宋体" w:cs="宋体"/>
          <w:szCs w:val="21"/>
        </w:rPr>
        <w:t>需求。</w:t>
      </w:r>
    </w:p>
    <w:p w14:paraId="4619E9D0">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三</w:t>
      </w:r>
      <w:r>
        <w:rPr>
          <w:rFonts w:ascii="宋体" w:hAnsi="宋体" w:eastAsia="宋体" w:cs="宋体"/>
          <w:b/>
          <w:bCs/>
          <w:szCs w:val="21"/>
        </w:rPr>
        <w:t>、沟通与协作</w:t>
      </w:r>
    </w:p>
    <w:p w14:paraId="6B2BABE6">
      <w:pPr>
        <w:numPr>
          <w:ilvl w:val="0"/>
          <w:numId w:val="68"/>
        </w:numPr>
        <w:snapToGrid w:val="0"/>
        <w:spacing w:line="360" w:lineRule="auto"/>
        <w:contextualSpacing/>
        <w:rPr>
          <w:rFonts w:hint="eastAsia" w:ascii="宋体" w:hAnsi="宋体" w:eastAsia="宋体" w:cs="宋体"/>
          <w:szCs w:val="21"/>
        </w:rPr>
      </w:pPr>
      <w:r>
        <w:rPr>
          <w:rFonts w:ascii="宋体" w:hAnsi="宋体" w:eastAsia="宋体" w:cs="宋体"/>
          <w:b/>
          <w:bCs/>
          <w:szCs w:val="21"/>
        </w:rPr>
        <w:t>加强团队</w:t>
      </w:r>
      <w:r>
        <w:rPr>
          <w:rFonts w:hint="eastAsia" w:ascii="宋体" w:hAnsi="宋体" w:eastAsia="宋体" w:cs="宋体"/>
          <w:b/>
          <w:bCs/>
          <w:szCs w:val="21"/>
        </w:rPr>
        <w:t>内部</w:t>
      </w:r>
      <w:r>
        <w:rPr>
          <w:rFonts w:ascii="宋体" w:hAnsi="宋体" w:eastAsia="宋体" w:cs="宋体"/>
          <w:b/>
          <w:bCs/>
          <w:szCs w:val="21"/>
        </w:rPr>
        <w:t>沟通</w:t>
      </w:r>
      <w:r>
        <w:rPr>
          <w:rFonts w:ascii="宋体" w:hAnsi="宋体" w:eastAsia="宋体" w:cs="宋体"/>
          <w:szCs w:val="21"/>
        </w:rPr>
        <w:t>：</w:t>
      </w:r>
    </w:p>
    <w:p w14:paraId="056E8082">
      <w:pPr>
        <w:numPr>
          <w:ilvl w:val="1"/>
          <w:numId w:val="68"/>
        </w:numPr>
        <w:snapToGrid w:val="0"/>
        <w:spacing w:line="360" w:lineRule="auto"/>
        <w:contextualSpacing/>
        <w:rPr>
          <w:rFonts w:hint="eastAsia" w:ascii="宋体" w:hAnsi="宋体" w:eastAsia="宋体" w:cs="宋体"/>
          <w:szCs w:val="21"/>
        </w:rPr>
      </w:pPr>
      <w:r>
        <w:rPr>
          <w:rFonts w:ascii="宋体" w:hAnsi="宋体" w:eastAsia="宋体" w:cs="宋体"/>
          <w:szCs w:val="21"/>
        </w:rPr>
        <w:t>定期组织</w:t>
      </w:r>
      <w:r>
        <w:rPr>
          <w:rFonts w:hint="eastAsia" w:ascii="宋体" w:hAnsi="宋体" w:eastAsia="宋体" w:cs="宋体"/>
          <w:szCs w:val="21"/>
        </w:rPr>
        <w:t>产品团队内部的周例会和临时的组会议</w:t>
      </w:r>
      <w:r>
        <w:rPr>
          <w:rFonts w:ascii="宋体" w:hAnsi="宋体" w:eastAsia="宋体" w:cs="宋体"/>
          <w:szCs w:val="21"/>
        </w:rPr>
        <w:t>，</w:t>
      </w:r>
      <w:r>
        <w:rPr>
          <w:rFonts w:hint="eastAsia" w:ascii="宋体" w:hAnsi="宋体" w:eastAsia="宋体" w:cs="宋体"/>
          <w:szCs w:val="21"/>
        </w:rPr>
        <w:t>在产品组员内部</w:t>
      </w:r>
      <w:r>
        <w:rPr>
          <w:rFonts w:ascii="宋体" w:hAnsi="宋体" w:eastAsia="宋体" w:cs="宋体"/>
          <w:szCs w:val="21"/>
        </w:rPr>
        <w:t>分享需求分析和设计的进展和成果</w:t>
      </w:r>
      <w:r>
        <w:rPr>
          <w:rFonts w:hint="eastAsia" w:ascii="宋体" w:hAnsi="宋体" w:eastAsia="宋体" w:cs="宋体"/>
          <w:szCs w:val="21"/>
        </w:rPr>
        <w:t>及问题</w:t>
      </w:r>
      <w:r>
        <w:rPr>
          <w:rFonts w:ascii="宋体" w:hAnsi="宋体" w:eastAsia="宋体" w:cs="宋体"/>
          <w:szCs w:val="21"/>
        </w:rPr>
        <w:t>。</w:t>
      </w:r>
    </w:p>
    <w:p w14:paraId="7B44A8B4">
      <w:pPr>
        <w:numPr>
          <w:ilvl w:val="1"/>
          <w:numId w:val="68"/>
        </w:numPr>
        <w:snapToGrid w:val="0"/>
        <w:spacing w:line="360" w:lineRule="auto"/>
        <w:contextualSpacing/>
        <w:rPr>
          <w:rFonts w:hint="eastAsia" w:ascii="宋体" w:hAnsi="宋体" w:eastAsia="宋体" w:cs="宋体"/>
          <w:szCs w:val="21"/>
        </w:rPr>
      </w:pPr>
      <w:r>
        <w:rPr>
          <w:rFonts w:ascii="宋体" w:hAnsi="宋体" w:eastAsia="宋体" w:cs="宋体"/>
          <w:szCs w:val="21"/>
        </w:rPr>
        <w:t>鼓励团队成员之间的交流和协作，共同解决问题。</w:t>
      </w:r>
    </w:p>
    <w:p w14:paraId="14090B69">
      <w:pPr>
        <w:numPr>
          <w:ilvl w:val="0"/>
          <w:numId w:val="68"/>
        </w:numPr>
        <w:snapToGrid w:val="0"/>
        <w:spacing w:line="360" w:lineRule="auto"/>
        <w:contextualSpacing/>
        <w:rPr>
          <w:rFonts w:hint="eastAsia" w:ascii="宋体" w:hAnsi="宋体" w:eastAsia="宋体" w:cs="宋体"/>
          <w:szCs w:val="21"/>
        </w:rPr>
      </w:pPr>
      <w:r>
        <w:rPr>
          <w:rFonts w:ascii="宋体" w:hAnsi="宋体" w:eastAsia="宋体" w:cs="宋体"/>
          <w:b/>
          <w:bCs/>
          <w:szCs w:val="21"/>
        </w:rPr>
        <w:t>与客户保持沟通</w:t>
      </w:r>
      <w:r>
        <w:rPr>
          <w:rFonts w:ascii="宋体" w:hAnsi="宋体" w:eastAsia="宋体" w:cs="宋体"/>
          <w:szCs w:val="21"/>
        </w:rPr>
        <w:t>：</w:t>
      </w:r>
    </w:p>
    <w:p w14:paraId="3A078519">
      <w:pPr>
        <w:numPr>
          <w:ilvl w:val="1"/>
          <w:numId w:val="68"/>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由项目经理和产品团队负责人</w:t>
      </w:r>
      <w:r>
        <w:rPr>
          <w:rFonts w:ascii="宋体" w:hAnsi="宋体" w:eastAsia="宋体" w:cs="宋体"/>
          <w:szCs w:val="21"/>
        </w:rPr>
        <w:t>及时向</w:t>
      </w:r>
      <w:r>
        <w:rPr>
          <w:rFonts w:hint="eastAsia" w:ascii="宋体" w:hAnsi="宋体" w:eastAsia="宋体" w:cs="宋体"/>
          <w:szCs w:val="21"/>
        </w:rPr>
        <w:t>烟草总公司需求组和管理者</w:t>
      </w:r>
      <w:r>
        <w:rPr>
          <w:rFonts w:ascii="宋体" w:hAnsi="宋体" w:eastAsia="宋体" w:cs="宋体"/>
          <w:szCs w:val="21"/>
        </w:rPr>
        <w:t>汇报需求分析和设计的进展情况</w:t>
      </w:r>
      <w:r>
        <w:rPr>
          <w:rFonts w:hint="eastAsia" w:ascii="宋体" w:hAnsi="宋体" w:eastAsia="宋体" w:cs="宋体"/>
          <w:szCs w:val="21"/>
        </w:rPr>
        <w:t>和存在的问题</w:t>
      </w:r>
      <w:r>
        <w:rPr>
          <w:rFonts w:ascii="宋体" w:hAnsi="宋体" w:eastAsia="宋体" w:cs="宋体"/>
          <w:szCs w:val="21"/>
        </w:rPr>
        <w:t>。</w:t>
      </w:r>
    </w:p>
    <w:p w14:paraId="4D89F4A3">
      <w:pPr>
        <w:numPr>
          <w:ilvl w:val="1"/>
          <w:numId w:val="68"/>
        </w:numPr>
        <w:snapToGrid w:val="0"/>
        <w:spacing w:line="360" w:lineRule="auto"/>
        <w:contextualSpacing/>
        <w:rPr>
          <w:rFonts w:hint="eastAsia" w:ascii="宋体" w:hAnsi="宋体" w:eastAsia="宋体" w:cs="宋体"/>
          <w:szCs w:val="21"/>
        </w:rPr>
      </w:pPr>
      <w:r>
        <w:rPr>
          <w:rFonts w:ascii="宋体" w:hAnsi="宋体" w:eastAsia="宋体" w:cs="宋体"/>
          <w:szCs w:val="21"/>
        </w:rPr>
        <w:t>听取客户的意见和建议，及时调整和优化需求分析和设计方案。</w:t>
      </w:r>
    </w:p>
    <w:p w14:paraId="407AE1EA">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四</w:t>
      </w:r>
      <w:r>
        <w:rPr>
          <w:rFonts w:ascii="宋体" w:hAnsi="宋体" w:eastAsia="宋体" w:cs="宋体"/>
          <w:b/>
          <w:bCs/>
          <w:szCs w:val="21"/>
        </w:rPr>
        <w:t>、文档与记录</w:t>
      </w:r>
    </w:p>
    <w:p w14:paraId="45399989">
      <w:pPr>
        <w:numPr>
          <w:ilvl w:val="0"/>
          <w:numId w:val="69"/>
        </w:numPr>
        <w:snapToGrid w:val="0"/>
        <w:spacing w:line="360" w:lineRule="auto"/>
        <w:contextualSpacing/>
        <w:rPr>
          <w:rFonts w:hint="eastAsia" w:ascii="宋体" w:hAnsi="宋体" w:eastAsia="宋体" w:cs="宋体"/>
          <w:szCs w:val="21"/>
        </w:rPr>
      </w:pPr>
      <w:r>
        <w:rPr>
          <w:rFonts w:ascii="宋体" w:hAnsi="宋体" w:eastAsia="宋体" w:cs="宋体"/>
          <w:b/>
          <w:bCs/>
          <w:szCs w:val="21"/>
        </w:rPr>
        <w:t>编写需求规格说明书</w:t>
      </w:r>
      <w:r>
        <w:rPr>
          <w:rFonts w:hint="eastAsia" w:ascii="宋体" w:hAnsi="宋体" w:eastAsia="宋体" w:cs="宋体"/>
          <w:b/>
          <w:bCs/>
          <w:szCs w:val="21"/>
        </w:rPr>
        <w:t>和详细设计文档</w:t>
      </w:r>
      <w:r>
        <w:rPr>
          <w:rFonts w:ascii="宋体" w:hAnsi="宋体" w:eastAsia="宋体" w:cs="宋体"/>
          <w:szCs w:val="21"/>
        </w:rPr>
        <w:t>：</w:t>
      </w:r>
    </w:p>
    <w:p w14:paraId="4DC3FA34">
      <w:pPr>
        <w:numPr>
          <w:ilvl w:val="1"/>
          <w:numId w:val="69"/>
        </w:numPr>
        <w:snapToGrid w:val="0"/>
        <w:spacing w:line="360" w:lineRule="auto"/>
        <w:contextualSpacing/>
        <w:rPr>
          <w:rFonts w:hint="eastAsia" w:ascii="宋体" w:hAnsi="宋体" w:eastAsia="宋体" w:cs="宋体"/>
          <w:szCs w:val="21"/>
        </w:rPr>
      </w:pPr>
      <w:r>
        <w:rPr>
          <w:rFonts w:ascii="宋体" w:hAnsi="宋体" w:eastAsia="宋体" w:cs="宋体"/>
          <w:szCs w:val="21"/>
        </w:rPr>
        <w:t>编写详细的需求规格说明书</w:t>
      </w:r>
      <w:r>
        <w:rPr>
          <w:rFonts w:hint="eastAsia" w:ascii="宋体" w:hAnsi="宋体" w:eastAsia="宋体" w:cs="宋体"/>
          <w:szCs w:val="21"/>
        </w:rPr>
        <w:t>和详细设计文档</w:t>
      </w:r>
      <w:r>
        <w:rPr>
          <w:rFonts w:ascii="宋体" w:hAnsi="宋体" w:eastAsia="宋体" w:cs="宋体"/>
          <w:szCs w:val="21"/>
        </w:rPr>
        <w:t>，明确系统的功能、性能、安全等要求</w:t>
      </w:r>
      <w:r>
        <w:rPr>
          <w:rFonts w:hint="eastAsia" w:ascii="宋体" w:hAnsi="宋体" w:eastAsia="宋体" w:cs="宋体"/>
          <w:szCs w:val="21"/>
        </w:rPr>
        <w:t>，详细设计文档明确原型、逻辑、数据结构等内容</w:t>
      </w:r>
      <w:r>
        <w:rPr>
          <w:rFonts w:ascii="宋体" w:hAnsi="宋体" w:eastAsia="宋体" w:cs="宋体"/>
          <w:szCs w:val="21"/>
        </w:rPr>
        <w:t>。</w:t>
      </w:r>
    </w:p>
    <w:p w14:paraId="72628A22">
      <w:pPr>
        <w:numPr>
          <w:ilvl w:val="1"/>
          <w:numId w:val="69"/>
        </w:numPr>
        <w:snapToGrid w:val="0"/>
        <w:spacing w:line="360" w:lineRule="auto"/>
        <w:contextualSpacing/>
        <w:rPr>
          <w:rFonts w:hint="eastAsia" w:ascii="宋体" w:hAnsi="宋体" w:eastAsia="宋体" w:cs="宋体"/>
          <w:szCs w:val="21"/>
        </w:rPr>
      </w:pPr>
      <w:r>
        <w:rPr>
          <w:rFonts w:ascii="宋体" w:hAnsi="宋体" w:eastAsia="宋体" w:cs="宋体"/>
          <w:szCs w:val="21"/>
        </w:rPr>
        <w:t>确保</w:t>
      </w:r>
      <w:r>
        <w:rPr>
          <w:rFonts w:hint="eastAsia" w:ascii="宋体" w:hAnsi="宋体" w:eastAsia="宋体" w:cs="宋体"/>
          <w:szCs w:val="21"/>
        </w:rPr>
        <w:t>二次开发</w:t>
      </w:r>
      <w:r>
        <w:rPr>
          <w:rFonts w:ascii="宋体" w:hAnsi="宋体" w:eastAsia="宋体" w:cs="宋体"/>
          <w:szCs w:val="21"/>
        </w:rPr>
        <w:t>需求规格说明书</w:t>
      </w:r>
      <w:r>
        <w:rPr>
          <w:rFonts w:hint="eastAsia" w:ascii="宋体" w:hAnsi="宋体" w:eastAsia="宋体" w:cs="宋体"/>
          <w:szCs w:val="21"/>
        </w:rPr>
        <w:t>和详细设计</w:t>
      </w:r>
      <w:r>
        <w:rPr>
          <w:rFonts w:ascii="宋体" w:hAnsi="宋体" w:eastAsia="宋体" w:cs="宋体"/>
          <w:szCs w:val="21"/>
        </w:rPr>
        <w:t>清晰、准确、完整，可作为后续开发和测试的依据。</w:t>
      </w:r>
    </w:p>
    <w:p w14:paraId="495A341C">
      <w:pPr>
        <w:numPr>
          <w:ilvl w:val="0"/>
          <w:numId w:val="69"/>
        </w:numPr>
        <w:snapToGrid w:val="0"/>
        <w:spacing w:line="360" w:lineRule="auto"/>
        <w:contextualSpacing/>
        <w:rPr>
          <w:rFonts w:hint="eastAsia" w:ascii="宋体" w:hAnsi="宋体" w:eastAsia="宋体" w:cs="宋体"/>
          <w:szCs w:val="21"/>
        </w:rPr>
      </w:pPr>
      <w:r>
        <w:rPr>
          <w:rFonts w:ascii="宋体" w:hAnsi="宋体" w:eastAsia="宋体" w:cs="宋体"/>
          <w:b/>
          <w:bCs/>
          <w:szCs w:val="21"/>
        </w:rPr>
        <w:t>记录设计过程</w:t>
      </w:r>
      <w:r>
        <w:rPr>
          <w:rFonts w:ascii="宋体" w:hAnsi="宋体" w:eastAsia="宋体" w:cs="宋体"/>
          <w:szCs w:val="21"/>
        </w:rPr>
        <w:t>：</w:t>
      </w:r>
    </w:p>
    <w:p w14:paraId="248DF675">
      <w:pPr>
        <w:numPr>
          <w:ilvl w:val="1"/>
          <w:numId w:val="69"/>
        </w:numPr>
        <w:snapToGrid w:val="0"/>
        <w:spacing w:line="360" w:lineRule="auto"/>
        <w:contextualSpacing/>
        <w:rPr>
          <w:rFonts w:hint="eastAsia" w:ascii="宋体" w:hAnsi="宋体" w:eastAsia="宋体" w:cs="宋体"/>
          <w:szCs w:val="21"/>
        </w:rPr>
      </w:pPr>
      <w:r>
        <w:rPr>
          <w:rFonts w:ascii="宋体" w:hAnsi="宋体" w:eastAsia="宋体" w:cs="宋体"/>
          <w:szCs w:val="21"/>
        </w:rPr>
        <w:t>记录需求分析和设计过程中的关键决策和变更情况。</w:t>
      </w:r>
    </w:p>
    <w:p w14:paraId="7534A9A3">
      <w:pPr>
        <w:numPr>
          <w:ilvl w:val="1"/>
          <w:numId w:val="69"/>
        </w:numPr>
        <w:snapToGrid w:val="0"/>
        <w:spacing w:line="360" w:lineRule="auto"/>
        <w:contextualSpacing/>
        <w:rPr>
          <w:rFonts w:hint="eastAsia" w:ascii="宋体" w:hAnsi="宋体" w:eastAsia="宋体" w:cs="宋体"/>
          <w:szCs w:val="21"/>
        </w:rPr>
      </w:pPr>
      <w:r>
        <w:rPr>
          <w:rFonts w:ascii="宋体" w:hAnsi="宋体" w:eastAsia="宋体" w:cs="宋体"/>
          <w:szCs w:val="21"/>
        </w:rPr>
        <w:t>为后续的项目维护和升级提供有价值的参考信息。</w:t>
      </w:r>
    </w:p>
    <w:p w14:paraId="005CC8D5">
      <w:pPr>
        <w:pStyle w:val="7"/>
        <w:numPr>
          <w:ilvl w:val="3"/>
          <w:numId w:val="39"/>
        </w:numPr>
        <w:spacing w:before="280" w:after="290" w:line="376" w:lineRule="auto"/>
        <w:jc w:val="both"/>
        <w:rPr>
          <w:rFonts w:hint="eastAsia" w:ascii="宋体" w:hAnsi="宋体"/>
          <w:sz w:val="21"/>
          <w:szCs w:val="21"/>
        </w:rPr>
      </w:pPr>
      <w:r>
        <w:rPr>
          <w:rFonts w:hint="eastAsia" w:ascii="宋体" w:hAnsi="宋体"/>
          <w:sz w:val="21"/>
          <w:szCs w:val="21"/>
        </w:rPr>
        <w:t>开发环节流程</w:t>
      </w:r>
    </w:p>
    <w:p w14:paraId="0291352D">
      <w:pPr>
        <w:spacing w:line="360" w:lineRule="auto"/>
        <w:rPr>
          <w:rFonts w:hint="eastAsia" w:ascii="宋体" w:hAnsi="宋体" w:eastAsia="宋体"/>
        </w:rPr>
      </w:pPr>
      <w:r>
        <w:rPr>
          <w:rFonts w:ascii="宋体" w:hAnsi="宋体" w:eastAsia="宋体"/>
        </w:rPr>
        <w:t>在</w:t>
      </w:r>
      <w:r>
        <w:rPr>
          <w:rFonts w:hint="eastAsia" w:ascii="宋体" w:hAnsi="宋体" w:eastAsia="宋体"/>
        </w:rPr>
        <w:t>项目的</w:t>
      </w:r>
      <w:r>
        <w:rPr>
          <w:rFonts w:ascii="宋体" w:hAnsi="宋体" w:eastAsia="宋体"/>
        </w:rPr>
        <w:t>开发实现阶段，</w:t>
      </w:r>
      <w:r>
        <w:rPr>
          <w:rFonts w:hint="eastAsia" w:ascii="宋体" w:hAnsi="宋体" w:eastAsia="宋体"/>
        </w:rPr>
        <w:t>流程以以下</w:t>
      </w:r>
      <w:r>
        <w:rPr>
          <w:rFonts w:ascii="宋体" w:hAnsi="宋体" w:eastAsia="宋体"/>
        </w:rPr>
        <w:t>重点</w:t>
      </w:r>
      <w:r>
        <w:rPr>
          <w:rFonts w:hint="eastAsia" w:ascii="宋体" w:hAnsi="宋体" w:eastAsia="宋体"/>
        </w:rPr>
        <w:t>环节为主</w:t>
      </w:r>
      <w:r>
        <w:rPr>
          <w:rFonts w:ascii="宋体" w:hAnsi="宋体" w:eastAsia="宋体"/>
        </w:rPr>
        <w:t>：</w:t>
      </w:r>
    </w:p>
    <w:p w14:paraId="17B1AFC1">
      <w:pPr>
        <w:spacing w:line="360" w:lineRule="auto"/>
        <w:rPr>
          <w:rFonts w:hint="eastAsia" w:ascii="宋体" w:hAnsi="宋体" w:eastAsia="宋体"/>
          <w:b/>
          <w:bCs/>
        </w:rPr>
      </w:pPr>
      <w:r>
        <w:rPr>
          <w:rFonts w:ascii="宋体" w:hAnsi="宋体" w:eastAsia="宋体"/>
          <w:b/>
          <w:bCs/>
        </w:rPr>
        <w:t>一、项目规划与任务分配</w:t>
      </w:r>
    </w:p>
    <w:p w14:paraId="16B04E01">
      <w:pPr>
        <w:numPr>
          <w:ilvl w:val="0"/>
          <w:numId w:val="70"/>
        </w:numPr>
        <w:spacing w:line="360" w:lineRule="auto"/>
        <w:rPr>
          <w:rFonts w:hint="eastAsia" w:ascii="宋体" w:hAnsi="宋体" w:eastAsia="宋体"/>
        </w:rPr>
      </w:pPr>
      <w:r>
        <w:rPr>
          <w:rFonts w:ascii="宋体" w:hAnsi="宋体" w:eastAsia="宋体"/>
          <w:b/>
          <w:bCs/>
        </w:rPr>
        <w:t>明确开发目标</w:t>
      </w:r>
      <w:r>
        <w:rPr>
          <w:rFonts w:ascii="宋体" w:hAnsi="宋体" w:eastAsia="宋体"/>
        </w:rPr>
        <w:t>：</w:t>
      </w:r>
    </w:p>
    <w:p w14:paraId="04AD3A38">
      <w:pPr>
        <w:numPr>
          <w:ilvl w:val="1"/>
          <w:numId w:val="70"/>
        </w:numPr>
        <w:spacing w:line="360" w:lineRule="auto"/>
        <w:rPr>
          <w:rFonts w:hint="eastAsia" w:ascii="宋体" w:hAnsi="宋体" w:eastAsia="宋体"/>
        </w:rPr>
      </w:pPr>
      <w:r>
        <w:rPr>
          <w:rFonts w:ascii="宋体" w:hAnsi="宋体" w:eastAsia="宋体"/>
        </w:rPr>
        <w:t>根据</w:t>
      </w:r>
      <w:r>
        <w:rPr>
          <w:rFonts w:hint="eastAsia" w:ascii="宋体" w:hAnsi="宋体" w:eastAsia="宋体"/>
        </w:rPr>
        <w:t>二次开发</w:t>
      </w:r>
      <w:r>
        <w:rPr>
          <w:rFonts w:ascii="宋体" w:hAnsi="宋体" w:eastAsia="宋体"/>
        </w:rPr>
        <w:t>需求</w:t>
      </w:r>
      <w:r>
        <w:rPr>
          <w:rFonts w:hint="eastAsia" w:ascii="宋体" w:hAnsi="宋体" w:eastAsia="宋体"/>
        </w:rPr>
        <w:t>规格说明书、系统详细设计</w:t>
      </w:r>
      <w:r>
        <w:rPr>
          <w:rFonts w:ascii="宋体" w:hAnsi="宋体" w:eastAsia="宋体"/>
        </w:rPr>
        <w:t>分析的结果，明确</w:t>
      </w:r>
      <w:r>
        <w:rPr>
          <w:rFonts w:hint="eastAsia" w:ascii="宋体" w:hAnsi="宋体" w:eastAsia="宋体"/>
        </w:rPr>
        <w:t>本次</w:t>
      </w:r>
      <w:r>
        <w:rPr>
          <w:rFonts w:ascii="宋体" w:hAnsi="宋体" w:eastAsia="宋体"/>
        </w:rPr>
        <w:t>系统的开发目标、功能需求和性能要求。</w:t>
      </w:r>
    </w:p>
    <w:p w14:paraId="049F3ADF">
      <w:pPr>
        <w:numPr>
          <w:ilvl w:val="0"/>
          <w:numId w:val="70"/>
        </w:numPr>
        <w:spacing w:line="360" w:lineRule="auto"/>
        <w:rPr>
          <w:rFonts w:hint="eastAsia" w:ascii="宋体" w:hAnsi="宋体" w:eastAsia="宋体"/>
        </w:rPr>
      </w:pPr>
      <w:r>
        <w:rPr>
          <w:rFonts w:ascii="宋体" w:hAnsi="宋体" w:eastAsia="宋体"/>
          <w:b/>
          <w:bCs/>
        </w:rPr>
        <w:t>制定开发计划</w:t>
      </w:r>
      <w:r>
        <w:rPr>
          <w:rFonts w:ascii="宋体" w:hAnsi="宋体" w:eastAsia="宋体"/>
        </w:rPr>
        <w:t>：</w:t>
      </w:r>
    </w:p>
    <w:p w14:paraId="6BA22189">
      <w:pPr>
        <w:numPr>
          <w:ilvl w:val="1"/>
          <w:numId w:val="70"/>
        </w:numPr>
        <w:spacing w:line="360" w:lineRule="auto"/>
        <w:rPr>
          <w:rFonts w:hint="eastAsia" w:ascii="宋体" w:hAnsi="宋体" w:eastAsia="宋体"/>
        </w:rPr>
      </w:pPr>
      <w:r>
        <w:rPr>
          <w:rFonts w:hint="eastAsia" w:ascii="宋体" w:hAnsi="宋体" w:eastAsia="宋体"/>
        </w:rPr>
        <w:t>研发组内部根据分工</w:t>
      </w:r>
      <w:r>
        <w:rPr>
          <w:rFonts w:ascii="宋体" w:hAnsi="宋体" w:eastAsia="宋体"/>
        </w:rPr>
        <w:t>制定详细的项目开发计划，包括时间表、</w:t>
      </w:r>
      <w:r>
        <w:rPr>
          <w:rFonts w:hint="eastAsia" w:ascii="宋体" w:hAnsi="宋体" w:eastAsia="宋体"/>
        </w:rPr>
        <w:t>内部开发</w:t>
      </w:r>
      <w:r>
        <w:rPr>
          <w:rFonts w:ascii="宋体" w:hAnsi="宋体" w:eastAsia="宋体"/>
        </w:rPr>
        <w:t>里程碑、资源分配等。</w:t>
      </w:r>
    </w:p>
    <w:p w14:paraId="45ED86E2">
      <w:pPr>
        <w:numPr>
          <w:ilvl w:val="1"/>
          <w:numId w:val="70"/>
        </w:numPr>
        <w:spacing w:line="360" w:lineRule="auto"/>
        <w:rPr>
          <w:rFonts w:hint="eastAsia" w:ascii="宋体" w:hAnsi="宋体" w:eastAsia="宋体"/>
        </w:rPr>
      </w:pPr>
      <w:r>
        <w:rPr>
          <w:rFonts w:ascii="宋体" w:hAnsi="宋体" w:eastAsia="宋体"/>
        </w:rPr>
        <w:t>确保开发计划合理、可行，并考虑到可能的风险和应对措施。</w:t>
      </w:r>
    </w:p>
    <w:p w14:paraId="445C62F2">
      <w:pPr>
        <w:numPr>
          <w:ilvl w:val="0"/>
          <w:numId w:val="70"/>
        </w:numPr>
        <w:spacing w:line="360" w:lineRule="auto"/>
        <w:rPr>
          <w:rFonts w:hint="eastAsia" w:ascii="宋体" w:hAnsi="宋体" w:eastAsia="宋体"/>
        </w:rPr>
      </w:pPr>
      <w:r>
        <w:rPr>
          <w:rFonts w:ascii="宋体" w:hAnsi="宋体" w:eastAsia="宋体"/>
          <w:b/>
          <w:bCs/>
        </w:rPr>
        <w:t>任务分配与团队协作</w:t>
      </w:r>
      <w:r>
        <w:rPr>
          <w:rFonts w:ascii="宋体" w:hAnsi="宋体" w:eastAsia="宋体"/>
        </w:rPr>
        <w:t>：</w:t>
      </w:r>
    </w:p>
    <w:p w14:paraId="274CA566">
      <w:pPr>
        <w:numPr>
          <w:ilvl w:val="1"/>
          <w:numId w:val="70"/>
        </w:numPr>
        <w:spacing w:line="360" w:lineRule="auto"/>
        <w:rPr>
          <w:rFonts w:hint="eastAsia" w:ascii="宋体" w:hAnsi="宋体" w:eastAsia="宋体"/>
        </w:rPr>
      </w:pPr>
      <w:r>
        <w:rPr>
          <w:rFonts w:ascii="宋体" w:hAnsi="宋体" w:eastAsia="宋体"/>
        </w:rPr>
        <w:t>将开发任务分配给</w:t>
      </w:r>
      <w:r>
        <w:rPr>
          <w:rFonts w:hint="eastAsia" w:ascii="宋体" w:hAnsi="宋体" w:eastAsia="宋体"/>
        </w:rPr>
        <w:t>研发组、非招标模块研发组、前端开发组、UI设计师等</w:t>
      </w:r>
      <w:r>
        <w:rPr>
          <w:rFonts w:ascii="宋体" w:hAnsi="宋体" w:eastAsia="宋体"/>
        </w:rPr>
        <w:t>，明确每个人的职责和任务。</w:t>
      </w:r>
    </w:p>
    <w:p w14:paraId="4271F878">
      <w:pPr>
        <w:numPr>
          <w:ilvl w:val="1"/>
          <w:numId w:val="70"/>
        </w:numPr>
        <w:spacing w:line="360" w:lineRule="auto"/>
        <w:rPr>
          <w:rFonts w:hint="eastAsia" w:ascii="宋体" w:hAnsi="宋体" w:eastAsia="宋体"/>
        </w:rPr>
      </w:pPr>
      <w:r>
        <w:rPr>
          <w:rFonts w:ascii="宋体" w:hAnsi="宋体" w:eastAsia="宋体"/>
        </w:rPr>
        <w:t>建立有效的团队</w:t>
      </w:r>
      <w:r>
        <w:rPr>
          <w:rFonts w:hint="eastAsia" w:ascii="宋体" w:hAnsi="宋体" w:eastAsia="宋体"/>
        </w:rPr>
        <w:t>内部</w:t>
      </w:r>
      <w:r>
        <w:rPr>
          <w:rFonts w:ascii="宋体" w:hAnsi="宋体" w:eastAsia="宋体"/>
        </w:rPr>
        <w:t>协作机制，确保团队成员之间的沟通和协作顺畅。</w:t>
      </w:r>
    </w:p>
    <w:p w14:paraId="2955F933">
      <w:pPr>
        <w:spacing w:line="360" w:lineRule="auto"/>
        <w:rPr>
          <w:rFonts w:hint="eastAsia" w:ascii="宋体" w:hAnsi="宋体" w:eastAsia="宋体"/>
          <w:b/>
          <w:bCs/>
        </w:rPr>
      </w:pPr>
      <w:r>
        <w:rPr>
          <w:rFonts w:ascii="宋体" w:hAnsi="宋体" w:eastAsia="宋体"/>
          <w:b/>
          <w:bCs/>
        </w:rPr>
        <w:t>二、编码与</w:t>
      </w:r>
      <w:r>
        <w:rPr>
          <w:rFonts w:hint="eastAsia" w:ascii="宋体" w:hAnsi="宋体" w:eastAsia="宋体"/>
          <w:b/>
          <w:bCs/>
        </w:rPr>
        <w:t>内部</w:t>
      </w:r>
      <w:r>
        <w:rPr>
          <w:rFonts w:ascii="宋体" w:hAnsi="宋体" w:eastAsia="宋体"/>
          <w:b/>
          <w:bCs/>
        </w:rPr>
        <w:t>测试</w:t>
      </w:r>
    </w:p>
    <w:p w14:paraId="6245D8B1">
      <w:pPr>
        <w:numPr>
          <w:ilvl w:val="0"/>
          <w:numId w:val="71"/>
        </w:numPr>
        <w:spacing w:line="360" w:lineRule="auto"/>
        <w:rPr>
          <w:rFonts w:hint="eastAsia" w:ascii="宋体" w:hAnsi="宋体" w:eastAsia="宋体"/>
        </w:rPr>
      </w:pPr>
      <w:r>
        <w:rPr>
          <w:rFonts w:ascii="宋体" w:hAnsi="宋体" w:eastAsia="宋体"/>
          <w:b/>
          <w:bCs/>
        </w:rPr>
        <w:t>编码规范</w:t>
      </w:r>
      <w:r>
        <w:rPr>
          <w:rFonts w:ascii="宋体" w:hAnsi="宋体" w:eastAsia="宋体"/>
        </w:rPr>
        <w:t>：</w:t>
      </w:r>
    </w:p>
    <w:p w14:paraId="2C96DCDD">
      <w:pPr>
        <w:numPr>
          <w:ilvl w:val="1"/>
          <w:numId w:val="71"/>
        </w:numPr>
        <w:spacing w:line="360" w:lineRule="auto"/>
        <w:rPr>
          <w:rFonts w:hint="eastAsia" w:ascii="宋体" w:hAnsi="宋体" w:eastAsia="宋体"/>
        </w:rPr>
      </w:pPr>
      <w:r>
        <w:rPr>
          <w:rFonts w:hint="eastAsia" w:ascii="宋体" w:hAnsi="宋体" w:eastAsia="宋体"/>
        </w:rPr>
        <w:t>原有功能的优化遵照我司既有的</w:t>
      </w:r>
      <w:r>
        <w:rPr>
          <w:rFonts w:ascii="宋体" w:hAnsi="宋体" w:eastAsia="宋体"/>
        </w:rPr>
        <w:t>统一的编码规范，包括命名规则、代码结构、注释等</w:t>
      </w:r>
      <w:r>
        <w:rPr>
          <w:rFonts w:hint="eastAsia" w:ascii="宋体" w:hAnsi="宋体" w:eastAsia="宋体"/>
        </w:rPr>
        <w:t>，新开发功能按照烟草总公司的要求进行</w:t>
      </w:r>
      <w:r>
        <w:rPr>
          <w:rFonts w:ascii="宋体" w:hAnsi="宋体" w:eastAsia="宋体"/>
        </w:rPr>
        <w:t>。</w:t>
      </w:r>
    </w:p>
    <w:p w14:paraId="32A3C69B">
      <w:pPr>
        <w:numPr>
          <w:ilvl w:val="1"/>
          <w:numId w:val="71"/>
        </w:numPr>
        <w:spacing w:line="360" w:lineRule="auto"/>
        <w:rPr>
          <w:rFonts w:hint="eastAsia" w:ascii="宋体" w:hAnsi="宋体" w:eastAsia="宋体"/>
        </w:rPr>
      </w:pPr>
      <w:r>
        <w:rPr>
          <w:rFonts w:ascii="宋体" w:hAnsi="宋体" w:eastAsia="宋体"/>
        </w:rPr>
        <w:t>确保团队成员遵循</w:t>
      </w:r>
      <w:r>
        <w:rPr>
          <w:rFonts w:hint="eastAsia" w:ascii="宋体" w:hAnsi="宋体" w:eastAsia="宋体"/>
        </w:rPr>
        <w:t>本项目制定的</w:t>
      </w:r>
      <w:r>
        <w:rPr>
          <w:rFonts w:ascii="宋体" w:hAnsi="宋体" w:eastAsia="宋体"/>
        </w:rPr>
        <w:t>编码规范，提高代码的可读性和可维护性。</w:t>
      </w:r>
    </w:p>
    <w:p w14:paraId="5006E440">
      <w:pPr>
        <w:numPr>
          <w:ilvl w:val="0"/>
          <w:numId w:val="71"/>
        </w:numPr>
        <w:spacing w:line="360" w:lineRule="auto"/>
        <w:rPr>
          <w:rFonts w:hint="eastAsia" w:ascii="宋体" w:hAnsi="宋体" w:eastAsia="宋体"/>
        </w:rPr>
      </w:pPr>
      <w:r>
        <w:rPr>
          <w:rFonts w:ascii="宋体" w:hAnsi="宋体" w:eastAsia="宋体"/>
          <w:b/>
          <w:bCs/>
        </w:rPr>
        <w:t>编码实现</w:t>
      </w:r>
      <w:r>
        <w:rPr>
          <w:rFonts w:ascii="宋体" w:hAnsi="宋体" w:eastAsia="宋体"/>
        </w:rPr>
        <w:t>：</w:t>
      </w:r>
    </w:p>
    <w:p w14:paraId="336F5114">
      <w:pPr>
        <w:numPr>
          <w:ilvl w:val="1"/>
          <w:numId w:val="71"/>
        </w:numPr>
        <w:spacing w:line="360" w:lineRule="auto"/>
        <w:rPr>
          <w:rFonts w:hint="eastAsia" w:ascii="宋体" w:hAnsi="宋体" w:eastAsia="宋体"/>
        </w:rPr>
      </w:pPr>
      <w:r>
        <w:rPr>
          <w:rFonts w:ascii="宋体" w:hAnsi="宋体" w:eastAsia="宋体"/>
        </w:rPr>
        <w:t>根据</w:t>
      </w:r>
      <w:r>
        <w:rPr>
          <w:rFonts w:hint="eastAsia" w:ascii="宋体" w:hAnsi="宋体" w:eastAsia="宋体"/>
        </w:rPr>
        <w:t>详细</w:t>
      </w:r>
      <w:r>
        <w:rPr>
          <w:rFonts w:ascii="宋体" w:hAnsi="宋体" w:eastAsia="宋体"/>
        </w:rPr>
        <w:t>设计文档和</w:t>
      </w:r>
      <w:r>
        <w:rPr>
          <w:rFonts w:hint="eastAsia" w:ascii="宋体" w:hAnsi="宋体" w:eastAsia="宋体"/>
        </w:rPr>
        <w:t>二次开发</w:t>
      </w:r>
      <w:r>
        <w:rPr>
          <w:rFonts w:ascii="宋体" w:hAnsi="宋体" w:eastAsia="宋体"/>
        </w:rPr>
        <w:t>需求规格说明书，进行系统的编码实现。</w:t>
      </w:r>
    </w:p>
    <w:p w14:paraId="50864056">
      <w:pPr>
        <w:numPr>
          <w:ilvl w:val="1"/>
          <w:numId w:val="71"/>
        </w:numPr>
        <w:spacing w:line="360" w:lineRule="auto"/>
        <w:rPr>
          <w:rFonts w:hint="eastAsia" w:ascii="宋体" w:hAnsi="宋体" w:eastAsia="宋体"/>
        </w:rPr>
      </w:pPr>
      <w:r>
        <w:rPr>
          <w:rFonts w:ascii="宋体" w:hAnsi="宋体" w:eastAsia="宋体"/>
        </w:rPr>
        <w:t>编写高质量的代码，确保系统的功能正确、性能稳定。</w:t>
      </w:r>
    </w:p>
    <w:p w14:paraId="495EF570">
      <w:pPr>
        <w:numPr>
          <w:ilvl w:val="0"/>
          <w:numId w:val="71"/>
        </w:numPr>
        <w:spacing w:line="360" w:lineRule="auto"/>
        <w:rPr>
          <w:rFonts w:hint="eastAsia" w:ascii="宋体" w:hAnsi="宋体" w:eastAsia="宋体"/>
        </w:rPr>
      </w:pPr>
      <w:r>
        <w:rPr>
          <w:rFonts w:ascii="宋体" w:hAnsi="宋体" w:eastAsia="宋体"/>
          <w:b/>
          <w:bCs/>
        </w:rPr>
        <w:t>单元测试与集成测试</w:t>
      </w:r>
      <w:r>
        <w:rPr>
          <w:rFonts w:ascii="宋体" w:hAnsi="宋体" w:eastAsia="宋体"/>
        </w:rPr>
        <w:t>：</w:t>
      </w:r>
    </w:p>
    <w:p w14:paraId="5AFAAD7E">
      <w:pPr>
        <w:numPr>
          <w:ilvl w:val="1"/>
          <w:numId w:val="71"/>
        </w:numPr>
        <w:spacing w:line="360" w:lineRule="auto"/>
        <w:rPr>
          <w:rFonts w:hint="eastAsia" w:ascii="宋体" w:hAnsi="宋体" w:eastAsia="宋体"/>
        </w:rPr>
      </w:pPr>
      <w:r>
        <w:rPr>
          <w:rFonts w:hint="eastAsia" w:ascii="宋体" w:hAnsi="宋体" w:eastAsia="宋体"/>
        </w:rPr>
        <w:t>研发组内部</w:t>
      </w:r>
      <w:r>
        <w:rPr>
          <w:rFonts w:ascii="宋体" w:hAnsi="宋体" w:eastAsia="宋体"/>
        </w:rPr>
        <w:t>对每个</w:t>
      </w:r>
      <w:r>
        <w:rPr>
          <w:rFonts w:hint="eastAsia" w:ascii="宋体" w:hAnsi="宋体" w:eastAsia="宋体"/>
        </w:rPr>
        <w:t>代码实现</w:t>
      </w:r>
      <w:r>
        <w:rPr>
          <w:rFonts w:ascii="宋体" w:hAnsi="宋体" w:eastAsia="宋体"/>
        </w:rPr>
        <w:t>模块进行单元测试，确保模块</w:t>
      </w:r>
      <w:r>
        <w:rPr>
          <w:rFonts w:hint="eastAsia" w:ascii="宋体" w:hAnsi="宋体" w:eastAsia="宋体"/>
        </w:rPr>
        <w:t>自身</w:t>
      </w:r>
      <w:r>
        <w:rPr>
          <w:rFonts w:ascii="宋体" w:hAnsi="宋体" w:eastAsia="宋体"/>
        </w:rPr>
        <w:t>的功能正确、无缺陷。</w:t>
      </w:r>
    </w:p>
    <w:p w14:paraId="5DDE9283">
      <w:pPr>
        <w:numPr>
          <w:ilvl w:val="1"/>
          <w:numId w:val="71"/>
        </w:numPr>
        <w:spacing w:line="360" w:lineRule="auto"/>
        <w:rPr>
          <w:rFonts w:hint="eastAsia" w:ascii="宋体" w:hAnsi="宋体" w:eastAsia="宋体"/>
        </w:rPr>
      </w:pPr>
      <w:r>
        <w:rPr>
          <w:rFonts w:ascii="宋体" w:hAnsi="宋体" w:eastAsia="宋体"/>
        </w:rPr>
        <w:t>进行集成测试，验证各个模块之间的接口和交互是否正常。</w:t>
      </w:r>
    </w:p>
    <w:p w14:paraId="3EA7A054">
      <w:pPr>
        <w:numPr>
          <w:ilvl w:val="0"/>
          <w:numId w:val="71"/>
        </w:numPr>
        <w:spacing w:line="360" w:lineRule="auto"/>
        <w:rPr>
          <w:rFonts w:hint="eastAsia" w:ascii="宋体" w:hAnsi="宋体" w:eastAsia="宋体"/>
        </w:rPr>
      </w:pPr>
      <w:r>
        <w:rPr>
          <w:rFonts w:ascii="宋体" w:hAnsi="宋体" w:eastAsia="宋体"/>
          <w:b/>
          <w:bCs/>
        </w:rPr>
        <w:t>系统测试与验收</w:t>
      </w:r>
      <w:r>
        <w:rPr>
          <w:rFonts w:ascii="宋体" w:hAnsi="宋体" w:eastAsia="宋体"/>
        </w:rPr>
        <w:t>：</w:t>
      </w:r>
    </w:p>
    <w:p w14:paraId="3FBE9035">
      <w:pPr>
        <w:numPr>
          <w:ilvl w:val="1"/>
          <w:numId w:val="71"/>
        </w:numPr>
        <w:spacing w:line="360" w:lineRule="auto"/>
        <w:rPr>
          <w:rFonts w:hint="eastAsia" w:ascii="宋体" w:hAnsi="宋体" w:eastAsia="宋体"/>
        </w:rPr>
      </w:pPr>
      <w:r>
        <w:rPr>
          <w:rFonts w:hint="eastAsia" w:ascii="宋体" w:hAnsi="宋体" w:eastAsia="宋体"/>
        </w:rPr>
        <w:t>配合测试组</w:t>
      </w:r>
      <w:r>
        <w:rPr>
          <w:rFonts w:ascii="宋体" w:hAnsi="宋体" w:eastAsia="宋体"/>
        </w:rPr>
        <w:t>对整个系统进行系统测试，包括功能测试、性能测试、安全测试等。</w:t>
      </w:r>
    </w:p>
    <w:p w14:paraId="0CAF04FE">
      <w:pPr>
        <w:numPr>
          <w:ilvl w:val="1"/>
          <w:numId w:val="71"/>
        </w:numPr>
        <w:spacing w:line="360" w:lineRule="auto"/>
        <w:rPr>
          <w:rFonts w:hint="eastAsia" w:ascii="宋体" w:hAnsi="宋体" w:eastAsia="宋体"/>
        </w:rPr>
      </w:pPr>
      <w:r>
        <w:rPr>
          <w:rFonts w:ascii="宋体" w:hAnsi="宋体" w:eastAsia="宋体"/>
        </w:rPr>
        <w:t>根据测试结果进行问题修复和优化，确保系统满足需求规格说明书的要求。</w:t>
      </w:r>
    </w:p>
    <w:p w14:paraId="315F3F8B">
      <w:pPr>
        <w:numPr>
          <w:ilvl w:val="1"/>
          <w:numId w:val="71"/>
        </w:numPr>
        <w:spacing w:line="360" w:lineRule="auto"/>
        <w:rPr>
          <w:rFonts w:hint="eastAsia" w:ascii="宋体" w:hAnsi="宋体" w:eastAsia="宋体"/>
        </w:rPr>
      </w:pPr>
      <w:r>
        <w:rPr>
          <w:rFonts w:ascii="宋体" w:hAnsi="宋体" w:eastAsia="宋体"/>
        </w:rPr>
        <w:t>与</w:t>
      </w:r>
      <w:r>
        <w:rPr>
          <w:rFonts w:hint="eastAsia" w:ascii="宋体" w:hAnsi="宋体" w:eastAsia="宋体"/>
        </w:rPr>
        <w:t>产品团队</w:t>
      </w:r>
      <w:r>
        <w:rPr>
          <w:rFonts w:ascii="宋体" w:hAnsi="宋体" w:eastAsia="宋体"/>
        </w:rPr>
        <w:t>进行系统</w:t>
      </w:r>
      <w:r>
        <w:rPr>
          <w:rFonts w:hint="eastAsia" w:ascii="宋体" w:hAnsi="宋体" w:eastAsia="宋体"/>
        </w:rPr>
        <w:t>功能内部</w:t>
      </w:r>
      <w:r>
        <w:rPr>
          <w:rFonts w:ascii="宋体" w:hAnsi="宋体" w:eastAsia="宋体"/>
        </w:rPr>
        <w:t>验收，确保系统符合</w:t>
      </w:r>
      <w:r>
        <w:rPr>
          <w:rFonts w:hint="eastAsia" w:ascii="宋体" w:hAnsi="宋体" w:eastAsia="宋体"/>
        </w:rPr>
        <w:t>产品团队</w:t>
      </w:r>
      <w:r>
        <w:rPr>
          <w:rFonts w:ascii="宋体" w:hAnsi="宋体" w:eastAsia="宋体"/>
        </w:rPr>
        <w:t>的</w:t>
      </w:r>
      <w:r>
        <w:rPr>
          <w:rFonts w:hint="eastAsia" w:ascii="宋体" w:hAnsi="宋体" w:eastAsia="宋体"/>
        </w:rPr>
        <w:t>设计</w:t>
      </w:r>
      <w:r>
        <w:rPr>
          <w:rFonts w:ascii="宋体" w:hAnsi="宋体" w:eastAsia="宋体"/>
        </w:rPr>
        <w:t>期望和</w:t>
      </w:r>
      <w:r>
        <w:rPr>
          <w:rFonts w:hint="eastAsia" w:ascii="宋体" w:hAnsi="宋体" w:eastAsia="宋体"/>
        </w:rPr>
        <w:t>客户</w:t>
      </w:r>
      <w:r>
        <w:rPr>
          <w:rFonts w:ascii="宋体" w:hAnsi="宋体" w:eastAsia="宋体"/>
        </w:rPr>
        <w:t>要求。</w:t>
      </w:r>
    </w:p>
    <w:p w14:paraId="2E1584F9">
      <w:pPr>
        <w:spacing w:line="360" w:lineRule="auto"/>
        <w:rPr>
          <w:rFonts w:hint="eastAsia" w:ascii="宋体" w:hAnsi="宋体" w:eastAsia="宋体"/>
          <w:b/>
          <w:bCs/>
        </w:rPr>
      </w:pPr>
      <w:r>
        <w:rPr>
          <w:rFonts w:ascii="宋体" w:hAnsi="宋体" w:eastAsia="宋体"/>
          <w:b/>
          <w:bCs/>
        </w:rPr>
        <w:t>三、代码审查与版本控制</w:t>
      </w:r>
    </w:p>
    <w:p w14:paraId="0A9B1742">
      <w:pPr>
        <w:numPr>
          <w:ilvl w:val="0"/>
          <w:numId w:val="72"/>
        </w:numPr>
        <w:spacing w:line="360" w:lineRule="auto"/>
        <w:rPr>
          <w:rFonts w:hint="eastAsia" w:ascii="宋体" w:hAnsi="宋体" w:eastAsia="宋体"/>
        </w:rPr>
      </w:pPr>
      <w:r>
        <w:rPr>
          <w:rFonts w:ascii="宋体" w:hAnsi="宋体" w:eastAsia="宋体"/>
          <w:b/>
          <w:bCs/>
        </w:rPr>
        <w:t>代码审查</w:t>
      </w:r>
      <w:r>
        <w:rPr>
          <w:rFonts w:ascii="宋体" w:hAnsi="宋体" w:eastAsia="宋体"/>
        </w:rPr>
        <w:t>：</w:t>
      </w:r>
    </w:p>
    <w:p w14:paraId="7AD7E76F">
      <w:pPr>
        <w:numPr>
          <w:ilvl w:val="1"/>
          <w:numId w:val="72"/>
        </w:numPr>
        <w:spacing w:line="360" w:lineRule="auto"/>
        <w:rPr>
          <w:rFonts w:hint="eastAsia" w:ascii="宋体" w:hAnsi="宋体" w:eastAsia="宋体"/>
        </w:rPr>
      </w:pPr>
      <w:r>
        <w:rPr>
          <w:rFonts w:hint="eastAsia" w:ascii="宋体" w:hAnsi="宋体" w:eastAsia="宋体"/>
        </w:rPr>
        <w:t>以组为单位，各研发小组组长</w:t>
      </w:r>
      <w:r>
        <w:rPr>
          <w:rFonts w:ascii="宋体" w:hAnsi="宋体" w:eastAsia="宋体"/>
        </w:rPr>
        <w:t>定期对</w:t>
      </w:r>
      <w:r>
        <w:rPr>
          <w:rFonts w:hint="eastAsia" w:ascii="宋体" w:hAnsi="宋体" w:eastAsia="宋体"/>
        </w:rPr>
        <w:t>研发组</w:t>
      </w:r>
      <w:r>
        <w:rPr>
          <w:rFonts w:ascii="宋体" w:hAnsi="宋体" w:eastAsia="宋体"/>
        </w:rPr>
        <w:t>成员的代码进行</w:t>
      </w:r>
      <w:r>
        <w:rPr>
          <w:rFonts w:hint="eastAsia" w:ascii="宋体" w:hAnsi="宋体" w:eastAsia="宋体"/>
        </w:rPr>
        <w:t>抽查</w:t>
      </w:r>
      <w:r>
        <w:rPr>
          <w:rFonts w:ascii="宋体" w:hAnsi="宋体" w:eastAsia="宋体"/>
        </w:rPr>
        <w:t>，</w:t>
      </w:r>
      <w:r>
        <w:rPr>
          <w:rFonts w:hint="eastAsia" w:ascii="宋体" w:hAnsi="宋体" w:eastAsia="宋体"/>
        </w:rPr>
        <w:t>具体研发时采用AB角色，代码互为审查，</w:t>
      </w:r>
      <w:r>
        <w:rPr>
          <w:rFonts w:ascii="宋体" w:hAnsi="宋体" w:eastAsia="宋体"/>
        </w:rPr>
        <w:t>发现潜在的问题和缺陷</w:t>
      </w:r>
      <w:r>
        <w:rPr>
          <w:rFonts w:hint="eastAsia" w:ascii="宋体" w:hAnsi="宋体" w:eastAsia="宋体"/>
        </w:rPr>
        <w:t>，并组内共享</w:t>
      </w:r>
      <w:r>
        <w:rPr>
          <w:rFonts w:ascii="宋体" w:hAnsi="宋体" w:eastAsia="宋体"/>
        </w:rPr>
        <w:t>。</w:t>
      </w:r>
    </w:p>
    <w:p w14:paraId="47D690D3">
      <w:pPr>
        <w:numPr>
          <w:ilvl w:val="1"/>
          <w:numId w:val="72"/>
        </w:numPr>
        <w:spacing w:line="360" w:lineRule="auto"/>
        <w:rPr>
          <w:rFonts w:hint="eastAsia" w:ascii="宋体" w:hAnsi="宋体" w:eastAsia="宋体"/>
        </w:rPr>
      </w:pPr>
      <w:r>
        <w:rPr>
          <w:rFonts w:ascii="宋体" w:hAnsi="宋体" w:eastAsia="宋体"/>
        </w:rPr>
        <w:t>通过代码审查提高代码的质量，促进团队成员之间的学习和交流。</w:t>
      </w:r>
    </w:p>
    <w:p w14:paraId="0D7EC01A">
      <w:pPr>
        <w:numPr>
          <w:ilvl w:val="0"/>
          <w:numId w:val="72"/>
        </w:numPr>
        <w:spacing w:line="360" w:lineRule="auto"/>
        <w:rPr>
          <w:rFonts w:hint="eastAsia" w:ascii="宋体" w:hAnsi="宋体" w:eastAsia="宋体"/>
        </w:rPr>
      </w:pPr>
      <w:r>
        <w:rPr>
          <w:rFonts w:ascii="宋体" w:hAnsi="宋体" w:eastAsia="宋体"/>
          <w:b/>
          <w:bCs/>
        </w:rPr>
        <w:t>版本控制</w:t>
      </w:r>
      <w:r>
        <w:rPr>
          <w:rFonts w:ascii="宋体" w:hAnsi="宋体" w:eastAsia="宋体"/>
        </w:rPr>
        <w:t>：</w:t>
      </w:r>
    </w:p>
    <w:p w14:paraId="529C69EE">
      <w:pPr>
        <w:numPr>
          <w:ilvl w:val="1"/>
          <w:numId w:val="72"/>
        </w:numPr>
        <w:spacing w:line="360" w:lineRule="auto"/>
        <w:rPr>
          <w:rFonts w:hint="eastAsia" w:ascii="宋体" w:hAnsi="宋体" w:eastAsia="宋体"/>
        </w:rPr>
      </w:pPr>
      <w:r>
        <w:rPr>
          <w:rFonts w:hint="eastAsia" w:ascii="宋体" w:hAnsi="宋体" w:eastAsia="宋体"/>
          <w:szCs w:val="21"/>
        </w:rPr>
        <w:t>本次项目研发管理采用烟草总公司</w:t>
      </w:r>
      <w:r>
        <w:rPr>
          <w:rFonts w:hint="eastAsia" w:ascii="宋体" w:hAnsi="宋体" w:eastAsia="宋体" w:cs="宋体"/>
          <w:szCs w:val="21"/>
        </w:rPr>
        <w:t>数字中台研发管控平台进行</w:t>
      </w:r>
      <w:r>
        <w:rPr>
          <w:rFonts w:ascii="宋体" w:hAnsi="宋体" w:eastAsia="宋体"/>
          <w:szCs w:val="21"/>
        </w:rPr>
        <w:t>代码管理</w:t>
      </w:r>
      <w:r>
        <w:rPr>
          <w:rFonts w:hint="eastAsia" w:ascii="宋体" w:hAnsi="宋体" w:eastAsia="宋体"/>
          <w:szCs w:val="21"/>
        </w:rPr>
        <w:t>和</w:t>
      </w:r>
      <w:r>
        <w:rPr>
          <w:rFonts w:ascii="宋体" w:hAnsi="宋体" w:eastAsia="宋体"/>
          <w:szCs w:val="21"/>
        </w:rPr>
        <w:t>版本控制，</w:t>
      </w:r>
      <w:r>
        <w:rPr>
          <w:rFonts w:hint="eastAsia" w:ascii="宋体" w:hAnsi="宋体" w:eastAsia="宋体"/>
          <w:szCs w:val="21"/>
        </w:rPr>
        <w:t>所有代码提交到</w:t>
      </w:r>
      <w:r>
        <w:rPr>
          <w:rFonts w:hint="eastAsia" w:ascii="宋体" w:hAnsi="宋体" w:eastAsia="宋体" w:cs="宋体"/>
          <w:szCs w:val="21"/>
        </w:rPr>
        <w:t>行业云平台节点代码仓</w:t>
      </w:r>
      <w:r>
        <w:rPr>
          <w:rFonts w:ascii="宋体" w:hAnsi="宋体" w:eastAsia="宋体"/>
        </w:rPr>
        <w:t>。</w:t>
      </w:r>
    </w:p>
    <w:p w14:paraId="5598AA0C">
      <w:pPr>
        <w:numPr>
          <w:ilvl w:val="1"/>
          <w:numId w:val="72"/>
        </w:numPr>
        <w:spacing w:line="360" w:lineRule="auto"/>
        <w:rPr>
          <w:rFonts w:hint="eastAsia" w:ascii="宋体" w:hAnsi="宋体" w:eastAsia="宋体"/>
        </w:rPr>
      </w:pPr>
      <w:r>
        <w:rPr>
          <w:rFonts w:ascii="宋体" w:hAnsi="宋体" w:eastAsia="宋体"/>
        </w:rPr>
        <w:t>确保每次修改都有记录，方便追踪和回溯。</w:t>
      </w:r>
    </w:p>
    <w:p w14:paraId="5CC07F5A">
      <w:pPr>
        <w:numPr>
          <w:ilvl w:val="1"/>
          <w:numId w:val="72"/>
        </w:numPr>
        <w:spacing w:line="360" w:lineRule="auto"/>
        <w:rPr>
          <w:rFonts w:hint="eastAsia" w:ascii="宋体" w:hAnsi="宋体" w:eastAsia="宋体"/>
        </w:rPr>
      </w:pPr>
      <w:r>
        <w:rPr>
          <w:rFonts w:ascii="宋体" w:hAnsi="宋体" w:eastAsia="宋体"/>
        </w:rPr>
        <w:t>定期进行代码合并和发布，确保团队成员之间的代码同步。</w:t>
      </w:r>
    </w:p>
    <w:p w14:paraId="5FE2763C">
      <w:pPr>
        <w:spacing w:line="360" w:lineRule="auto"/>
        <w:rPr>
          <w:rFonts w:hint="eastAsia" w:ascii="宋体" w:hAnsi="宋体" w:eastAsia="宋体"/>
          <w:b/>
          <w:bCs/>
        </w:rPr>
      </w:pPr>
      <w:r>
        <w:rPr>
          <w:rFonts w:hint="eastAsia" w:ascii="宋体" w:hAnsi="宋体" w:eastAsia="宋体"/>
          <w:b/>
          <w:bCs/>
        </w:rPr>
        <w:t>四</w:t>
      </w:r>
      <w:r>
        <w:rPr>
          <w:rFonts w:ascii="宋体" w:hAnsi="宋体" w:eastAsia="宋体"/>
          <w:b/>
          <w:bCs/>
        </w:rPr>
        <w:t>、文档与记录</w:t>
      </w:r>
    </w:p>
    <w:p w14:paraId="0DDED423">
      <w:pPr>
        <w:numPr>
          <w:ilvl w:val="0"/>
          <w:numId w:val="73"/>
        </w:numPr>
        <w:spacing w:line="360" w:lineRule="auto"/>
        <w:rPr>
          <w:rFonts w:hint="eastAsia" w:ascii="宋体" w:hAnsi="宋体" w:eastAsia="宋体"/>
        </w:rPr>
      </w:pPr>
      <w:r>
        <w:rPr>
          <w:rFonts w:ascii="宋体" w:hAnsi="宋体" w:eastAsia="宋体"/>
          <w:b/>
          <w:bCs/>
        </w:rPr>
        <w:t>开发文档</w:t>
      </w:r>
      <w:r>
        <w:rPr>
          <w:rFonts w:ascii="宋体" w:hAnsi="宋体" w:eastAsia="宋体"/>
        </w:rPr>
        <w:t>：</w:t>
      </w:r>
    </w:p>
    <w:p w14:paraId="387CEB40">
      <w:pPr>
        <w:numPr>
          <w:ilvl w:val="1"/>
          <w:numId w:val="73"/>
        </w:numPr>
        <w:spacing w:line="360" w:lineRule="auto"/>
        <w:rPr>
          <w:rFonts w:hint="eastAsia" w:ascii="宋体" w:hAnsi="宋体" w:eastAsia="宋体"/>
        </w:rPr>
      </w:pPr>
      <w:r>
        <w:rPr>
          <w:rFonts w:hint="eastAsia" w:ascii="宋体" w:hAnsi="宋体" w:eastAsia="宋体"/>
        </w:rPr>
        <w:t>完善</w:t>
      </w:r>
      <w:r>
        <w:rPr>
          <w:rFonts w:ascii="宋体" w:hAnsi="宋体" w:eastAsia="宋体"/>
        </w:rPr>
        <w:t>详细的开发文档，包括设计文档、</w:t>
      </w:r>
      <w:r>
        <w:rPr>
          <w:rFonts w:hint="eastAsia" w:ascii="宋体" w:hAnsi="宋体" w:eastAsia="宋体"/>
        </w:rPr>
        <w:t>二次开发</w:t>
      </w:r>
      <w:r>
        <w:rPr>
          <w:rFonts w:ascii="宋体" w:hAnsi="宋体" w:eastAsia="宋体"/>
        </w:rPr>
        <w:t>需求规格说明书等</w:t>
      </w:r>
      <w:r>
        <w:rPr>
          <w:rFonts w:hint="eastAsia" w:ascii="宋体" w:hAnsi="宋体" w:eastAsia="宋体"/>
        </w:rPr>
        <w:t>，确保需求和设计文档实时可对照，引起重大需求变更的，要走项目变更审批流程</w:t>
      </w:r>
      <w:r>
        <w:rPr>
          <w:rFonts w:ascii="宋体" w:hAnsi="宋体" w:eastAsia="宋体"/>
        </w:rPr>
        <w:t>。</w:t>
      </w:r>
    </w:p>
    <w:p w14:paraId="2B59DA5B">
      <w:pPr>
        <w:numPr>
          <w:ilvl w:val="1"/>
          <w:numId w:val="73"/>
        </w:numPr>
        <w:spacing w:line="360" w:lineRule="auto"/>
        <w:rPr>
          <w:rFonts w:hint="eastAsia" w:ascii="宋体" w:hAnsi="宋体" w:eastAsia="宋体"/>
        </w:rPr>
      </w:pPr>
      <w:r>
        <w:rPr>
          <w:rFonts w:ascii="宋体" w:hAnsi="宋体" w:eastAsia="宋体"/>
        </w:rPr>
        <w:t>确保开发文档清晰、准确、完整，方便后续的</w:t>
      </w:r>
      <w:r>
        <w:rPr>
          <w:rFonts w:hint="eastAsia" w:ascii="宋体" w:hAnsi="宋体" w:eastAsia="宋体"/>
        </w:rPr>
        <w:t>二次</w:t>
      </w:r>
      <w:r>
        <w:rPr>
          <w:rFonts w:ascii="宋体" w:hAnsi="宋体" w:eastAsia="宋体"/>
        </w:rPr>
        <w:t>开发和维护工作。</w:t>
      </w:r>
    </w:p>
    <w:p w14:paraId="311AA250">
      <w:pPr>
        <w:numPr>
          <w:ilvl w:val="0"/>
          <w:numId w:val="73"/>
        </w:numPr>
        <w:spacing w:line="360" w:lineRule="auto"/>
        <w:rPr>
          <w:rFonts w:hint="eastAsia" w:ascii="宋体" w:hAnsi="宋体" w:eastAsia="宋体"/>
        </w:rPr>
      </w:pPr>
      <w:r>
        <w:rPr>
          <w:rFonts w:ascii="宋体" w:hAnsi="宋体" w:eastAsia="宋体"/>
          <w:b/>
          <w:bCs/>
        </w:rPr>
        <w:t>代码注释与文档</w:t>
      </w:r>
      <w:r>
        <w:rPr>
          <w:rFonts w:ascii="宋体" w:hAnsi="宋体" w:eastAsia="宋体"/>
        </w:rPr>
        <w:t>：</w:t>
      </w:r>
    </w:p>
    <w:p w14:paraId="65D194F4">
      <w:pPr>
        <w:numPr>
          <w:ilvl w:val="1"/>
          <w:numId w:val="73"/>
        </w:numPr>
        <w:spacing w:line="360" w:lineRule="auto"/>
        <w:rPr>
          <w:rFonts w:hint="eastAsia" w:ascii="宋体" w:hAnsi="宋体" w:eastAsia="宋体"/>
        </w:rPr>
      </w:pPr>
      <w:r>
        <w:rPr>
          <w:rFonts w:hint="eastAsia" w:ascii="宋体" w:hAnsi="宋体" w:eastAsia="宋体"/>
        </w:rPr>
        <w:t>根据本次项目建设要求和规范，</w:t>
      </w:r>
      <w:r>
        <w:rPr>
          <w:rFonts w:ascii="宋体" w:hAnsi="宋体" w:eastAsia="宋体"/>
        </w:rPr>
        <w:t>在代码中添加必要的注释和文档，解释代码的功能、逻辑和算法。</w:t>
      </w:r>
    </w:p>
    <w:p w14:paraId="344C2FD4">
      <w:pPr>
        <w:numPr>
          <w:ilvl w:val="1"/>
          <w:numId w:val="73"/>
        </w:numPr>
        <w:spacing w:line="360" w:lineRule="auto"/>
        <w:rPr>
          <w:rFonts w:hint="eastAsia" w:ascii="宋体" w:hAnsi="宋体" w:eastAsia="宋体"/>
        </w:rPr>
      </w:pPr>
      <w:r>
        <w:rPr>
          <w:rFonts w:ascii="宋体" w:hAnsi="宋体" w:eastAsia="宋体"/>
        </w:rPr>
        <w:t>提高代码的可读性和可维护性，方便团队成员之间的理解和交流。</w:t>
      </w:r>
    </w:p>
    <w:p w14:paraId="69D3B406">
      <w:pPr>
        <w:pStyle w:val="7"/>
        <w:numPr>
          <w:ilvl w:val="3"/>
          <w:numId w:val="39"/>
        </w:numPr>
        <w:spacing w:before="280" w:after="290" w:line="376" w:lineRule="auto"/>
        <w:jc w:val="both"/>
        <w:rPr>
          <w:rFonts w:hint="eastAsia" w:ascii="宋体" w:hAnsi="宋体"/>
          <w:sz w:val="21"/>
          <w:szCs w:val="21"/>
        </w:rPr>
      </w:pPr>
      <w:r>
        <w:rPr>
          <w:rFonts w:hint="eastAsia" w:ascii="宋体" w:hAnsi="宋体"/>
          <w:sz w:val="21"/>
          <w:szCs w:val="21"/>
        </w:rPr>
        <w:t>测试环节流程</w:t>
      </w:r>
    </w:p>
    <w:p w14:paraId="79AE4C7A">
      <w:pPr>
        <w:snapToGrid w:val="0"/>
        <w:spacing w:line="360" w:lineRule="auto"/>
        <w:ind w:firstLine="360"/>
        <w:contextualSpacing/>
        <w:rPr>
          <w:rFonts w:hint="eastAsia" w:ascii="宋体" w:hAnsi="宋体" w:eastAsia="宋体" w:cs="宋体"/>
          <w:szCs w:val="21"/>
        </w:rPr>
      </w:pPr>
      <w:r>
        <w:rPr>
          <w:rFonts w:ascii="宋体" w:hAnsi="宋体" w:eastAsia="宋体" w:cs="宋体"/>
          <w:szCs w:val="21"/>
        </w:rPr>
        <w:t>在</w:t>
      </w:r>
      <w:r>
        <w:rPr>
          <w:rFonts w:hint="eastAsia" w:ascii="宋体" w:hAnsi="宋体" w:eastAsia="宋体" w:cs="宋体"/>
          <w:szCs w:val="21"/>
        </w:rPr>
        <w:t>本次</w:t>
      </w:r>
      <w:r>
        <w:rPr>
          <w:rFonts w:ascii="宋体" w:hAnsi="宋体" w:eastAsia="宋体" w:cs="宋体"/>
          <w:szCs w:val="21"/>
        </w:rPr>
        <w:t>项目的测试环节，</w:t>
      </w:r>
      <w:r>
        <w:rPr>
          <w:rFonts w:hint="eastAsia" w:ascii="宋体" w:hAnsi="宋体" w:eastAsia="宋体" w:cs="宋体"/>
          <w:szCs w:val="21"/>
        </w:rPr>
        <w:t>需要</w:t>
      </w:r>
      <w:r>
        <w:rPr>
          <w:rFonts w:ascii="宋体" w:hAnsi="宋体" w:eastAsia="宋体" w:cs="宋体"/>
          <w:szCs w:val="21"/>
        </w:rPr>
        <w:t>进行多种类型的测试以确保系统的质量、性能和安全性。以下是</w:t>
      </w:r>
      <w:r>
        <w:rPr>
          <w:rFonts w:hint="eastAsia" w:ascii="宋体" w:hAnsi="宋体" w:eastAsia="宋体" w:cs="宋体"/>
          <w:szCs w:val="21"/>
        </w:rPr>
        <w:t>关键的</w:t>
      </w:r>
      <w:r>
        <w:rPr>
          <w:rFonts w:ascii="宋体" w:hAnsi="宋体" w:eastAsia="宋体" w:cs="宋体"/>
          <w:szCs w:val="21"/>
        </w:rPr>
        <w:t>测试</w:t>
      </w:r>
      <w:r>
        <w:rPr>
          <w:rFonts w:hint="eastAsia" w:ascii="宋体" w:hAnsi="宋体" w:eastAsia="宋体" w:cs="宋体"/>
          <w:szCs w:val="21"/>
        </w:rPr>
        <w:t>类型</w:t>
      </w:r>
      <w:r>
        <w:rPr>
          <w:rFonts w:ascii="宋体" w:hAnsi="宋体" w:eastAsia="宋体" w:cs="宋体"/>
          <w:szCs w:val="21"/>
        </w:rPr>
        <w:t>：</w:t>
      </w:r>
    </w:p>
    <w:p w14:paraId="2EB8DFA7">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一、功能测试</w:t>
      </w:r>
    </w:p>
    <w:p w14:paraId="0568E2E9">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：功能测试是验证软件是否按照需求规格说明书的规定正常运行的测试活动。</w:t>
      </w:r>
    </w:p>
    <w:p w14:paraId="23D5C4EF">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：确保</w:t>
      </w:r>
      <w:r>
        <w:rPr>
          <w:rFonts w:hint="eastAsia" w:ascii="宋体" w:hAnsi="宋体" w:eastAsia="宋体" w:cs="宋体"/>
          <w:szCs w:val="21"/>
        </w:rPr>
        <w:t>本次项目开发建设的</w:t>
      </w:r>
      <w:r>
        <w:rPr>
          <w:rFonts w:ascii="宋体" w:hAnsi="宋体" w:eastAsia="宋体" w:cs="宋体"/>
          <w:szCs w:val="21"/>
        </w:rPr>
        <w:t>系统的所有功能都按照预期工作，</w:t>
      </w:r>
      <w:r>
        <w:rPr>
          <w:rFonts w:hint="eastAsia" w:ascii="宋体" w:hAnsi="宋体" w:eastAsia="宋体" w:cs="宋体"/>
          <w:szCs w:val="21"/>
        </w:rPr>
        <w:t>符合烟草总公司建设需求，</w:t>
      </w:r>
      <w:r>
        <w:rPr>
          <w:rFonts w:ascii="宋体" w:hAnsi="宋体" w:eastAsia="宋体" w:cs="宋体"/>
          <w:szCs w:val="21"/>
        </w:rPr>
        <w:t>没有遗漏</w:t>
      </w:r>
      <w:r>
        <w:rPr>
          <w:rFonts w:hint="eastAsia" w:ascii="宋体" w:hAnsi="宋体" w:eastAsia="宋体" w:cs="宋体"/>
          <w:szCs w:val="21"/>
        </w:rPr>
        <w:t>功能</w:t>
      </w:r>
      <w:r>
        <w:rPr>
          <w:rFonts w:ascii="宋体" w:hAnsi="宋体" w:eastAsia="宋体" w:cs="宋体"/>
          <w:szCs w:val="21"/>
        </w:rPr>
        <w:t>或错误。</w:t>
      </w:r>
    </w:p>
    <w:p w14:paraId="5AF0D8D1">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64BABB84">
      <w:pPr>
        <w:numPr>
          <w:ilvl w:val="1"/>
          <w:numId w:val="74"/>
        </w:numPr>
        <w:snapToGrid w:val="0"/>
        <w:spacing w:line="360" w:lineRule="auto"/>
        <w:contextualSpacing/>
        <w:rPr>
          <w:rFonts w:hint="eastAsia" w:ascii="宋体" w:hAnsi="宋体" w:eastAsia="宋体" w:cs="宋体"/>
          <w:szCs w:val="21"/>
        </w:rPr>
      </w:pPr>
      <w:r>
        <w:rPr>
          <w:rFonts w:ascii="宋体" w:hAnsi="宋体" w:eastAsia="宋体" w:cs="宋体"/>
          <w:szCs w:val="21"/>
        </w:rPr>
        <w:t>登录</w:t>
      </w:r>
      <w:r>
        <w:rPr>
          <w:rFonts w:hint="eastAsia" w:ascii="宋体" w:hAnsi="宋体" w:eastAsia="宋体" w:cs="宋体"/>
          <w:szCs w:val="21"/>
        </w:rPr>
        <w:t>、注册</w:t>
      </w:r>
      <w:r>
        <w:rPr>
          <w:rFonts w:ascii="宋体" w:hAnsi="宋体" w:eastAsia="宋体" w:cs="宋体"/>
          <w:szCs w:val="21"/>
        </w:rPr>
        <w:t>功能：验证</w:t>
      </w:r>
      <w:r>
        <w:rPr>
          <w:rFonts w:hint="eastAsia" w:ascii="宋体" w:hAnsi="宋体" w:eastAsia="宋体" w:cs="宋体"/>
          <w:szCs w:val="21"/>
        </w:rPr>
        <w:t>电子采购各交易主体能否</w:t>
      </w:r>
      <w:r>
        <w:rPr>
          <w:rFonts w:ascii="宋体" w:hAnsi="宋体" w:eastAsia="宋体" w:cs="宋体"/>
          <w:szCs w:val="21"/>
        </w:rPr>
        <w:t>正常</w:t>
      </w:r>
      <w:r>
        <w:rPr>
          <w:rFonts w:hint="eastAsia" w:ascii="宋体" w:hAnsi="宋体" w:eastAsia="宋体" w:cs="宋体"/>
          <w:szCs w:val="21"/>
        </w:rPr>
        <w:t>注册、</w:t>
      </w:r>
      <w:r>
        <w:rPr>
          <w:rFonts w:ascii="宋体" w:hAnsi="宋体" w:eastAsia="宋体" w:cs="宋体"/>
          <w:szCs w:val="21"/>
        </w:rPr>
        <w:t>登录系统，包括用户名、密码的验证等。</w:t>
      </w:r>
    </w:p>
    <w:p w14:paraId="6AB89EE0">
      <w:pPr>
        <w:numPr>
          <w:ilvl w:val="1"/>
          <w:numId w:val="74"/>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全流程</w:t>
      </w:r>
      <w:r>
        <w:rPr>
          <w:rFonts w:ascii="宋体" w:hAnsi="宋体" w:eastAsia="宋体" w:cs="宋体"/>
          <w:szCs w:val="21"/>
        </w:rPr>
        <w:t>交易处理功能：测试系统中的</w:t>
      </w:r>
      <w:r>
        <w:rPr>
          <w:rFonts w:hint="eastAsia" w:ascii="宋体" w:hAnsi="宋体" w:eastAsia="宋体" w:cs="宋体"/>
          <w:szCs w:val="21"/>
        </w:rPr>
        <w:t>完整的全流程采购电子化</w:t>
      </w:r>
      <w:r>
        <w:rPr>
          <w:rFonts w:ascii="宋体" w:hAnsi="宋体" w:eastAsia="宋体" w:cs="宋体"/>
          <w:szCs w:val="21"/>
        </w:rPr>
        <w:t>是否顺畅，包括</w:t>
      </w:r>
      <w:r>
        <w:rPr>
          <w:rFonts w:hint="eastAsia" w:ascii="宋体" w:hAnsi="宋体" w:eastAsia="宋体" w:cs="宋体"/>
          <w:szCs w:val="21"/>
        </w:rPr>
        <w:t>但不限于采购计划管理、招标方案、投标邀请、资格预审、发标、投标、开标、评标、定标、费用管理、异议、监督、招标异常、归档（存档）等功能；电子非招投标功能涵盖竞争谈判、询比、询价、单一来源、直接采购等几种非公开招标采购方式</w:t>
      </w:r>
      <w:r>
        <w:rPr>
          <w:rFonts w:ascii="宋体" w:hAnsi="宋体" w:eastAsia="宋体" w:cs="宋体"/>
          <w:szCs w:val="21"/>
        </w:rPr>
        <w:t>。</w:t>
      </w:r>
    </w:p>
    <w:p w14:paraId="47B3F51B">
      <w:pPr>
        <w:numPr>
          <w:ilvl w:val="1"/>
          <w:numId w:val="74"/>
        </w:numPr>
        <w:snapToGrid w:val="0"/>
        <w:spacing w:line="360" w:lineRule="auto"/>
        <w:contextualSpacing/>
        <w:rPr>
          <w:rFonts w:hint="eastAsia" w:ascii="宋体" w:hAnsi="宋体" w:eastAsia="宋体" w:cs="宋体"/>
          <w:szCs w:val="21"/>
        </w:rPr>
      </w:pPr>
      <w:r>
        <w:rPr>
          <w:rFonts w:ascii="宋体" w:hAnsi="宋体" w:eastAsia="宋体" w:cs="宋体"/>
          <w:szCs w:val="21"/>
        </w:rPr>
        <w:t>数据</w:t>
      </w:r>
      <w:r>
        <w:rPr>
          <w:rFonts w:hint="eastAsia" w:ascii="宋体" w:hAnsi="宋体" w:eastAsia="宋体" w:cs="宋体"/>
          <w:szCs w:val="21"/>
        </w:rPr>
        <w:t>交换</w:t>
      </w:r>
      <w:r>
        <w:rPr>
          <w:rFonts w:ascii="宋体" w:hAnsi="宋体" w:eastAsia="宋体" w:cs="宋体"/>
          <w:szCs w:val="21"/>
        </w:rPr>
        <w:t>功能：检查系统能否正确</w:t>
      </w:r>
      <w:r>
        <w:rPr>
          <w:rFonts w:hint="eastAsia" w:ascii="宋体" w:hAnsi="宋体" w:eastAsia="宋体" w:cs="宋体"/>
          <w:szCs w:val="21"/>
        </w:rPr>
        <w:t>的向烟草总公司数据中台交换数据、业务中台交互采购流程等，包括数据入湖是否正确顺畅</w:t>
      </w:r>
      <w:r>
        <w:rPr>
          <w:rFonts w:ascii="宋体" w:hAnsi="宋体" w:eastAsia="宋体" w:cs="宋体"/>
          <w:szCs w:val="21"/>
        </w:rPr>
        <w:t>。</w:t>
      </w:r>
    </w:p>
    <w:p w14:paraId="5DCEDEB4">
      <w:pPr>
        <w:numPr>
          <w:ilvl w:val="1"/>
          <w:numId w:val="74"/>
        </w:numPr>
        <w:snapToGrid w:val="0"/>
        <w:spacing w:line="360" w:lineRule="auto"/>
        <w:contextualSpacing/>
        <w:rPr>
          <w:rFonts w:hint="eastAsia" w:ascii="宋体" w:hAnsi="宋体" w:eastAsia="宋体" w:cs="宋体"/>
          <w:szCs w:val="21"/>
        </w:rPr>
      </w:pPr>
      <w:r>
        <w:rPr>
          <w:rFonts w:ascii="宋体" w:hAnsi="宋体" w:eastAsia="宋体" w:cs="宋体"/>
          <w:szCs w:val="21"/>
        </w:rPr>
        <w:t>其他核心功能点和业务流程的抽测，如</w:t>
      </w:r>
      <w:r>
        <w:rPr>
          <w:rFonts w:hint="eastAsia" w:ascii="宋体" w:hAnsi="宋体" w:eastAsia="宋体" w:cs="宋体"/>
          <w:szCs w:val="21"/>
        </w:rPr>
        <w:t>采购计划</w:t>
      </w:r>
      <w:r>
        <w:rPr>
          <w:rFonts w:ascii="宋体" w:hAnsi="宋体" w:eastAsia="宋体" w:cs="宋体"/>
          <w:szCs w:val="21"/>
        </w:rPr>
        <w:t>、</w:t>
      </w:r>
      <w:r>
        <w:rPr>
          <w:rFonts w:hint="eastAsia" w:ascii="宋体" w:hAnsi="宋体" w:eastAsia="宋体" w:cs="宋体"/>
          <w:szCs w:val="21"/>
        </w:rPr>
        <w:t>采购监管</w:t>
      </w:r>
      <w:r>
        <w:rPr>
          <w:rFonts w:ascii="宋体" w:hAnsi="宋体" w:eastAsia="宋体" w:cs="宋体"/>
          <w:szCs w:val="21"/>
        </w:rPr>
        <w:t>功能等。</w:t>
      </w:r>
    </w:p>
    <w:p w14:paraId="64428DAF">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二、性能测试</w:t>
      </w:r>
    </w:p>
    <w:p w14:paraId="68425ACC">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：性能测试是评估系统在特定负载条件下的表现，如响应时间、吞吐量、资源利用率等。</w:t>
      </w:r>
    </w:p>
    <w:p w14:paraId="54A23759">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w:t>
      </w:r>
      <w:r>
        <w:rPr>
          <w:rFonts w:hint="eastAsia" w:ascii="宋体" w:hAnsi="宋体" w:eastAsia="宋体" w:cs="宋体"/>
          <w:szCs w:val="21"/>
        </w:rPr>
        <w:t>针对本项目而言，能否</w:t>
      </w:r>
      <w:r>
        <w:rPr>
          <w:rFonts w:ascii="宋体" w:hAnsi="宋体" w:eastAsia="宋体" w:cs="宋体"/>
          <w:szCs w:val="21"/>
        </w:rPr>
        <w:t>确保系统在高负载</w:t>
      </w:r>
      <w:r>
        <w:rPr>
          <w:rFonts w:hint="eastAsia" w:ascii="宋体" w:hAnsi="宋体" w:eastAsia="宋体" w:cs="宋体"/>
          <w:szCs w:val="21"/>
        </w:rPr>
        <w:t>高并发（如开标集中时间点）</w:t>
      </w:r>
      <w:r>
        <w:rPr>
          <w:rFonts w:ascii="宋体" w:hAnsi="宋体" w:eastAsia="宋体" w:cs="宋体"/>
          <w:szCs w:val="21"/>
        </w:rPr>
        <w:t>情况下能够稳定运行，</w:t>
      </w:r>
      <w:r>
        <w:rPr>
          <w:rFonts w:hint="eastAsia" w:ascii="宋体" w:hAnsi="宋体" w:eastAsia="宋体" w:cs="宋体"/>
          <w:szCs w:val="21"/>
        </w:rPr>
        <w:t>是重中之重</w:t>
      </w:r>
      <w:r>
        <w:rPr>
          <w:rFonts w:ascii="宋体" w:hAnsi="宋体" w:eastAsia="宋体" w:cs="宋体"/>
          <w:szCs w:val="21"/>
        </w:rPr>
        <w:t>。</w:t>
      </w:r>
    </w:p>
    <w:p w14:paraId="6E32391B">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17C5B09B">
      <w:pPr>
        <w:numPr>
          <w:ilvl w:val="1"/>
          <w:numId w:val="75"/>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系统操作流畅性测试，在性能上满足全国19家工业公司、33个省级商业公司等内部用户以及外部代理机构、中标人（供应商）、评审专家等外部用户在线开展采购交易监管业务等要求，操作流畅无卡顿。</w:t>
      </w:r>
    </w:p>
    <w:p w14:paraId="1614DE16">
      <w:pPr>
        <w:numPr>
          <w:ilvl w:val="1"/>
          <w:numId w:val="75"/>
        </w:numPr>
        <w:snapToGrid w:val="0"/>
        <w:spacing w:line="360" w:lineRule="auto"/>
        <w:contextualSpacing/>
        <w:rPr>
          <w:rFonts w:hint="eastAsia" w:ascii="宋体" w:hAnsi="宋体" w:eastAsia="宋体" w:cs="宋体"/>
          <w:szCs w:val="21"/>
        </w:rPr>
      </w:pPr>
      <w:r>
        <w:rPr>
          <w:rFonts w:ascii="宋体" w:hAnsi="宋体" w:eastAsia="宋体" w:cs="宋体"/>
          <w:szCs w:val="21"/>
        </w:rPr>
        <w:t>响应时间测试：测量系统在</w:t>
      </w:r>
      <w:r>
        <w:rPr>
          <w:rFonts w:hint="eastAsia" w:ascii="宋体" w:hAnsi="宋体" w:eastAsia="宋体" w:cs="宋体"/>
          <w:szCs w:val="21"/>
        </w:rPr>
        <w:t>高并发</w:t>
      </w:r>
      <w:r>
        <w:rPr>
          <w:rFonts w:ascii="宋体" w:hAnsi="宋体" w:eastAsia="宋体" w:cs="宋体"/>
          <w:szCs w:val="21"/>
        </w:rPr>
        <w:t>处理请求时的响应时间</w:t>
      </w:r>
      <w:r>
        <w:rPr>
          <w:rFonts w:hint="eastAsia" w:ascii="宋体" w:hAnsi="宋体" w:eastAsia="宋体" w:cs="宋体"/>
          <w:szCs w:val="21"/>
        </w:rPr>
        <w:t>，页面打开响应时间不大于3秒</w:t>
      </w:r>
      <w:r>
        <w:rPr>
          <w:rFonts w:ascii="宋体" w:hAnsi="宋体" w:eastAsia="宋体" w:cs="宋体"/>
          <w:szCs w:val="21"/>
        </w:rPr>
        <w:t>。</w:t>
      </w:r>
    </w:p>
    <w:p w14:paraId="3998B92D">
      <w:pPr>
        <w:numPr>
          <w:ilvl w:val="1"/>
          <w:numId w:val="75"/>
        </w:numPr>
        <w:snapToGrid w:val="0"/>
        <w:spacing w:line="360" w:lineRule="auto"/>
        <w:contextualSpacing/>
        <w:rPr>
          <w:rFonts w:hint="eastAsia" w:ascii="宋体" w:hAnsi="宋体" w:eastAsia="宋体" w:cs="宋体"/>
          <w:szCs w:val="21"/>
        </w:rPr>
      </w:pPr>
      <w:r>
        <w:rPr>
          <w:rFonts w:ascii="宋体" w:hAnsi="宋体" w:eastAsia="宋体" w:cs="宋体"/>
          <w:szCs w:val="21"/>
        </w:rPr>
        <w:t>吞吐量测试：评估系统在单位时间内处理请求的数量。</w:t>
      </w:r>
    </w:p>
    <w:p w14:paraId="3304BC41">
      <w:pPr>
        <w:numPr>
          <w:ilvl w:val="1"/>
          <w:numId w:val="75"/>
        </w:numPr>
        <w:snapToGrid w:val="0"/>
        <w:spacing w:line="360" w:lineRule="auto"/>
        <w:contextualSpacing/>
        <w:rPr>
          <w:rFonts w:hint="eastAsia" w:ascii="宋体" w:hAnsi="宋体" w:eastAsia="宋体" w:cs="宋体"/>
          <w:szCs w:val="21"/>
        </w:rPr>
      </w:pPr>
      <w:r>
        <w:rPr>
          <w:rFonts w:ascii="宋体" w:hAnsi="宋体" w:eastAsia="宋体" w:cs="宋体"/>
          <w:szCs w:val="21"/>
        </w:rPr>
        <w:t>并发用户数测试：验证系统在多个用户同时访问时的表现。</w:t>
      </w:r>
    </w:p>
    <w:p w14:paraId="57B6D956">
      <w:pPr>
        <w:numPr>
          <w:ilvl w:val="1"/>
          <w:numId w:val="75"/>
        </w:numPr>
        <w:snapToGrid w:val="0"/>
        <w:spacing w:line="360" w:lineRule="auto"/>
        <w:contextualSpacing/>
        <w:rPr>
          <w:rFonts w:hint="eastAsia" w:ascii="宋体" w:hAnsi="宋体" w:eastAsia="宋体" w:cs="宋体"/>
          <w:szCs w:val="21"/>
        </w:rPr>
      </w:pPr>
      <w:r>
        <w:rPr>
          <w:rFonts w:ascii="宋体" w:hAnsi="宋体" w:eastAsia="宋体" w:cs="宋体"/>
          <w:szCs w:val="21"/>
        </w:rPr>
        <w:t>压力测试：模拟极端负载条件，</w:t>
      </w:r>
      <w:r>
        <w:rPr>
          <w:rFonts w:hint="eastAsia" w:ascii="宋体" w:hAnsi="宋体" w:eastAsia="宋体" w:cs="宋体"/>
          <w:szCs w:val="21"/>
        </w:rPr>
        <w:t>比如模拟多项目同时开标解密，</w:t>
      </w:r>
      <w:r>
        <w:rPr>
          <w:rFonts w:ascii="宋体" w:hAnsi="宋体" w:eastAsia="宋体" w:cs="宋体"/>
          <w:szCs w:val="21"/>
        </w:rPr>
        <w:t>评估系统的稳定性和可靠性。</w:t>
      </w:r>
    </w:p>
    <w:p w14:paraId="1CBC9C46">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三、安全测试</w:t>
      </w:r>
    </w:p>
    <w:p w14:paraId="0AC3EFB7">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：安全测试是评估系统对潜在安全威胁的抵抗能力。</w:t>
      </w:r>
    </w:p>
    <w:p w14:paraId="19D0017F">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：确保</w:t>
      </w:r>
      <w:r>
        <w:rPr>
          <w:rFonts w:hint="eastAsia" w:ascii="宋体" w:hAnsi="宋体" w:eastAsia="宋体" w:cs="宋体"/>
          <w:szCs w:val="21"/>
        </w:rPr>
        <w:t>本</w:t>
      </w:r>
      <w:r>
        <w:rPr>
          <w:rFonts w:ascii="宋体" w:hAnsi="宋体" w:eastAsia="宋体" w:cs="宋体"/>
          <w:szCs w:val="21"/>
        </w:rPr>
        <w:t>系统的安全性，防止数据泄露、非法访问等安全问题。</w:t>
      </w:r>
    </w:p>
    <w:p w14:paraId="5BD61996">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3FA06F07">
      <w:pPr>
        <w:numPr>
          <w:ilvl w:val="1"/>
          <w:numId w:val="76"/>
        </w:numPr>
        <w:snapToGrid w:val="0"/>
        <w:spacing w:line="360" w:lineRule="auto"/>
        <w:contextualSpacing/>
        <w:rPr>
          <w:rFonts w:hint="eastAsia" w:ascii="宋体" w:hAnsi="宋体" w:eastAsia="宋体" w:cs="宋体"/>
          <w:szCs w:val="21"/>
        </w:rPr>
      </w:pPr>
      <w:r>
        <w:rPr>
          <w:rFonts w:ascii="宋体" w:hAnsi="宋体" w:eastAsia="宋体" w:cs="宋体"/>
          <w:szCs w:val="21"/>
        </w:rPr>
        <w:t>数据加密测试：验证系统在数据传输过程中是否进行了加密处理。</w:t>
      </w:r>
    </w:p>
    <w:p w14:paraId="08D029BA">
      <w:pPr>
        <w:numPr>
          <w:ilvl w:val="1"/>
          <w:numId w:val="76"/>
        </w:numPr>
        <w:snapToGrid w:val="0"/>
        <w:spacing w:line="360" w:lineRule="auto"/>
        <w:contextualSpacing/>
        <w:rPr>
          <w:rFonts w:hint="eastAsia" w:ascii="宋体" w:hAnsi="宋体" w:eastAsia="宋体" w:cs="宋体"/>
          <w:szCs w:val="21"/>
        </w:rPr>
      </w:pPr>
      <w:r>
        <w:rPr>
          <w:rFonts w:ascii="宋体" w:hAnsi="宋体" w:eastAsia="宋体" w:cs="宋体"/>
          <w:szCs w:val="21"/>
        </w:rPr>
        <w:t>访问控制测试：检查系统的权限管理功能，确保只有授权用户才能访问特定资源。</w:t>
      </w:r>
    </w:p>
    <w:p w14:paraId="34DD714E">
      <w:pPr>
        <w:numPr>
          <w:ilvl w:val="1"/>
          <w:numId w:val="76"/>
        </w:numPr>
        <w:snapToGrid w:val="0"/>
        <w:spacing w:line="360" w:lineRule="auto"/>
        <w:contextualSpacing/>
        <w:rPr>
          <w:rFonts w:hint="eastAsia" w:ascii="宋体" w:hAnsi="宋体" w:eastAsia="宋体" w:cs="宋体"/>
          <w:szCs w:val="21"/>
        </w:rPr>
      </w:pPr>
      <w:r>
        <w:rPr>
          <w:rFonts w:ascii="宋体" w:hAnsi="宋体" w:eastAsia="宋体" w:cs="宋体"/>
          <w:szCs w:val="21"/>
        </w:rPr>
        <w:t>漏洞扫描：使用工具扫描系统，发现潜在的漏洞和弱点。</w:t>
      </w:r>
    </w:p>
    <w:p w14:paraId="2E5081AC">
      <w:pPr>
        <w:numPr>
          <w:ilvl w:val="1"/>
          <w:numId w:val="76"/>
        </w:numPr>
        <w:snapToGrid w:val="0"/>
        <w:spacing w:line="360" w:lineRule="auto"/>
        <w:contextualSpacing/>
        <w:rPr>
          <w:rFonts w:hint="eastAsia" w:ascii="宋体" w:hAnsi="宋体" w:eastAsia="宋体" w:cs="宋体"/>
          <w:szCs w:val="21"/>
        </w:rPr>
      </w:pPr>
      <w:r>
        <w:rPr>
          <w:rFonts w:ascii="宋体" w:hAnsi="宋体" w:eastAsia="宋体" w:cs="宋体"/>
          <w:szCs w:val="21"/>
        </w:rPr>
        <w:t>渗透测试：模拟黑客攻击，验证系统的安全防护能力。</w:t>
      </w:r>
    </w:p>
    <w:p w14:paraId="618B7022">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四、兼容性测试</w:t>
      </w:r>
    </w:p>
    <w:p w14:paraId="3D59C196">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：兼容性测试是评估系统在不同环境、不同设备上的表现。</w:t>
      </w:r>
    </w:p>
    <w:p w14:paraId="37646D49">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：确保</w:t>
      </w:r>
      <w:r>
        <w:rPr>
          <w:rFonts w:hint="eastAsia" w:ascii="宋体" w:hAnsi="宋体" w:eastAsia="宋体" w:cs="宋体"/>
          <w:szCs w:val="21"/>
        </w:rPr>
        <w:t>本</w:t>
      </w:r>
      <w:r>
        <w:rPr>
          <w:rFonts w:ascii="宋体" w:hAnsi="宋体" w:eastAsia="宋体" w:cs="宋体"/>
          <w:szCs w:val="21"/>
        </w:rPr>
        <w:t>系统能够在各种条件下正常运行，</w:t>
      </w:r>
      <w:r>
        <w:rPr>
          <w:rFonts w:hint="eastAsia" w:ascii="宋体" w:hAnsi="宋体" w:eastAsia="宋体" w:cs="宋体"/>
          <w:szCs w:val="21"/>
        </w:rPr>
        <w:t>尤其适配信创环境和移动端环境，</w:t>
      </w:r>
      <w:r>
        <w:rPr>
          <w:rFonts w:ascii="宋体" w:hAnsi="宋体" w:eastAsia="宋体" w:cs="宋体"/>
          <w:szCs w:val="21"/>
        </w:rPr>
        <w:t>提高用户体验。</w:t>
      </w:r>
    </w:p>
    <w:p w14:paraId="22C16289">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6FEDF384">
      <w:pPr>
        <w:numPr>
          <w:ilvl w:val="1"/>
          <w:numId w:val="77"/>
        </w:numPr>
        <w:snapToGrid w:val="0"/>
        <w:spacing w:line="360" w:lineRule="auto"/>
        <w:contextualSpacing/>
        <w:rPr>
          <w:rFonts w:hint="eastAsia" w:ascii="宋体" w:hAnsi="宋体" w:eastAsia="宋体" w:cs="宋体"/>
          <w:szCs w:val="21"/>
        </w:rPr>
      </w:pPr>
      <w:r>
        <w:rPr>
          <w:rFonts w:ascii="宋体" w:hAnsi="宋体" w:eastAsia="宋体" w:cs="宋体"/>
          <w:szCs w:val="21"/>
        </w:rPr>
        <w:t>不同操作系统的测试：如Windows、</w:t>
      </w:r>
      <w:r>
        <w:rPr>
          <w:rFonts w:hint="eastAsia" w:ascii="宋体" w:hAnsi="宋体" w:eastAsia="宋体" w:cs="宋体"/>
          <w:szCs w:val="21"/>
        </w:rPr>
        <w:t>统信UOS、银河麒麟</w:t>
      </w:r>
      <w:r>
        <w:rPr>
          <w:rFonts w:ascii="宋体" w:hAnsi="宋体" w:eastAsia="宋体" w:cs="宋体"/>
          <w:szCs w:val="21"/>
        </w:rPr>
        <w:t>等。</w:t>
      </w:r>
    </w:p>
    <w:p w14:paraId="16A3EF50">
      <w:pPr>
        <w:numPr>
          <w:ilvl w:val="1"/>
          <w:numId w:val="77"/>
        </w:numPr>
        <w:snapToGrid w:val="0"/>
        <w:spacing w:line="360" w:lineRule="auto"/>
        <w:contextualSpacing/>
        <w:rPr>
          <w:rFonts w:hint="eastAsia" w:ascii="宋体" w:hAnsi="宋体" w:eastAsia="宋体" w:cs="宋体"/>
          <w:szCs w:val="21"/>
        </w:rPr>
      </w:pPr>
      <w:r>
        <w:rPr>
          <w:rFonts w:ascii="宋体" w:hAnsi="宋体" w:eastAsia="宋体" w:cs="宋体"/>
          <w:szCs w:val="21"/>
        </w:rPr>
        <w:t>不同浏览器的测试：如Chrome</w:t>
      </w:r>
      <w:r>
        <w:rPr>
          <w:rFonts w:hint="eastAsia" w:ascii="宋体" w:hAnsi="宋体" w:eastAsia="宋体" w:cs="宋体"/>
          <w:szCs w:val="21"/>
        </w:rPr>
        <w:t>、360安全浏览器信创版</w:t>
      </w:r>
      <w:r>
        <w:rPr>
          <w:rFonts w:ascii="宋体" w:hAnsi="宋体" w:eastAsia="宋体" w:cs="宋体"/>
          <w:szCs w:val="21"/>
        </w:rPr>
        <w:t>等。</w:t>
      </w:r>
    </w:p>
    <w:p w14:paraId="2A209A51">
      <w:pPr>
        <w:numPr>
          <w:ilvl w:val="1"/>
          <w:numId w:val="77"/>
        </w:numPr>
        <w:snapToGrid w:val="0"/>
        <w:spacing w:line="360" w:lineRule="auto"/>
        <w:contextualSpacing/>
        <w:rPr>
          <w:rFonts w:hint="eastAsia" w:ascii="宋体" w:hAnsi="宋体" w:eastAsia="宋体" w:cs="宋体"/>
          <w:szCs w:val="21"/>
        </w:rPr>
      </w:pPr>
      <w:r>
        <w:rPr>
          <w:rFonts w:ascii="宋体" w:hAnsi="宋体" w:eastAsia="宋体" w:cs="宋体"/>
          <w:szCs w:val="21"/>
        </w:rPr>
        <w:t>不同设备的测试：如手机、平板、电脑等。</w:t>
      </w:r>
    </w:p>
    <w:p w14:paraId="3FCCEF7D">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五、易用性测试</w:t>
      </w:r>
    </w:p>
    <w:p w14:paraId="340C74FD">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：易用性测试是评估系统的用户界面是否友好、易用。</w:t>
      </w:r>
    </w:p>
    <w:p w14:paraId="5CF0DAEF">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：提高</w:t>
      </w:r>
      <w:r>
        <w:rPr>
          <w:rFonts w:hint="eastAsia" w:ascii="宋体" w:hAnsi="宋体" w:eastAsia="宋体" w:cs="宋体"/>
          <w:szCs w:val="21"/>
        </w:rPr>
        <w:t>本</w:t>
      </w:r>
      <w:r>
        <w:rPr>
          <w:rFonts w:ascii="宋体" w:hAnsi="宋体" w:eastAsia="宋体" w:cs="宋体"/>
          <w:szCs w:val="21"/>
        </w:rPr>
        <w:t>系统的</w:t>
      </w:r>
      <w:r>
        <w:rPr>
          <w:rFonts w:hint="eastAsia" w:ascii="宋体" w:hAnsi="宋体" w:eastAsia="宋体" w:cs="宋体"/>
          <w:szCs w:val="21"/>
        </w:rPr>
        <w:t>各类</w:t>
      </w:r>
      <w:r>
        <w:rPr>
          <w:rFonts w:ascii="宋体" w:hAnsi="宋体" w:eastAsia="宋体" w:cs="宋体"/>
          <w:szCs w:val="21"/>
        </w:rPr>
        <w:t>用户</w:t>
      </w:r>
      <w:r>
        <w:rPr>
          <w:rFonts w:hint="eastAsia" w:ascii="宋体" w:hAnsi="宋体" w:eastAsia="宋体" w:cs="宋体"/>
          <w:szCs w:val="21"/>
        </w:rPr>
        <w:t>（烟草总公司及下属单位采购监管领导、代理机构项目经理、投标人、专家等）</w:t>
      </w:r>
      <w:r>
        <w:rPr>
          <w:rFonts w:ascii="宋体" w:hAnsi="宋体" w:eastAsia="宋体" w:cs="宋体"/>
          <w:szCs w:val="21"/>
        </w:rPr>
        <w:t>体验，使用户能够更方便地使用系统。</w:t>
      </w:r>
    </w:p>
    <w:p w14:paraId="1F0BF88A">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294A8752">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界面布局测试：检查系统的界面布局是否合理，</w:t>
      </w:r>
      <w:r>
        <w:rPr>
          <w:rFonts w:hint="eastAsia" w:ascii="宋体" w:hAnsi="宋体" w:eastAsia="宋体" w:cs="宋体"/>
          <w:szCs w:val="21"/>
        </w:rPr>
        <w:t>尤其新开发功能，</w:t>
      </w:r>
      <w:r>
        <w:rPr>
          <w:rFonts w:ascii="宋体" w:hAnsi="宋体" w:eastAsia="宋体" w:cs="宋体"/>
          <w:szCs w:val="21"/>
        </w:rPr>
        <w:t>是否符合用户习惯。</w:t>
      </w:r>
    </w:p>
    <w:p w14:paraId="2B362FAE">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导航测试：验证系统的导航功能是否清晰、易用</w:t>
      </w:r>
      <w:r>
        <w:rPr>
          <w:rFonts w:hint="eastAsia" w:ascii="宋体" w:hAnsi="宋体" w:eastAsia="宋体" w:cs="宋体"/>
          <w:szCs w:val="21"/>
        </w:rPr>
        <w:t>，是否由清晰的操作引导，尤其对投标人/供应商（基本事先无法组织统一培训）的操作要由明确的导引帮助</w:t>
      </w:r>
      <w:r>
        <w:rPr>
          <w:rFonts w:ascii="宋体" w:hAnsi="宋体" w:eastAsia="宋体" w:cs="宋体"/>
          <w:szCs w:val="21"/>
        </w:rPr>
        <w:t>。</w:t>
      </w:r>
    </w:p>
    <w:p w14:paraId="58CFE659">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错误提示测试：检查系统在用户操作错误时是否给出了明确的</w:t>
      </w:r>
      <w:r>
        <w:rPr>
          <w:rFonts w:hint="eastAsia" w:ascii="宋体" w:hAnsi="宋体" w:eastAsia="宋体" w:cs="宋体"/>
          <w:szCs w:val="21"/>
        </w:rPr>
        <w:t>、友好的</w:t>
      </w:r>
      <w:r>
        <w:rPr>
          <w:rFonts w:ascii="宋体" w:hAnsi="宋体" w:eastAsia="宋体" w:cs="宋体"/>
          <w:szCs w:val="21"/>
        </w:rPr>
        <w:t>提示信息。</w:t>
      </w:r>
    </w:p>
    <w:p w14:paraId="3AC4D0C1">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六、回归测试</w:t>
      </w:r>
    </w:p>
    <w:p w14:paraId="2B894F96">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定义</w:t>
      </w:r>
      <w:r>
        <w:rPr>
          <w:rFonts w:ascii="宋体" w:hAnsi="宋体" w:eastAsia="宋体" w:cs="宋体"/>
          <w:szCs w:val="21"/>
        </w:rPr>
        <w:t>：回归测试是在系统发生变更后，重新测试之前已经测试过的部分，以确保变更没有引入新的问题。</w:t>
      </w:r>
    </w:p>
    <w:p w14:paraId="4DBEEE4E">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目的</w:t>
      </w:r>
      <w:r>
        <w:rPr>
          <w:rFonts w:ascii="宋体" w:hAnsi="宋体" w:eastAsia="宋体" w:cs="宋体"/>
          <w:szCs w:val="21"/>
        </w:rPr>
        <w:t>：确保</w:t>
      </w:r>
      <w:r>
        <w:rPr>
          <w:rFonts w:hint="eastAsia" w:ascii="宋体" w:hAnsi="宋体" w:eastAsia="宋体" w:cs="宋体"/>
          <w:szCs w:val="21"/>
        </w:rPr>
        <w:t>本</w:t>
      </w:r>
      <w:r>
        <w:rPr>
          <w:rFonts w:ascii="宋体" w:hAnsi="宋体" w:eastAsia="宋体" w:cs="宋体"/>
          <w:szCs w:val="21"/>
        </w:rPr>
        <w:t>系统的稳定性，防止因变更</w:t>
      </w:r>
      <w:r>
        <w:rPr>
          <w:rFonts w:hint="eastAsia" w:ascii="宋体" w:hAnsi="宋体" w:eastAsia="宋体" w:cs="宋体"/>
          <w:szCs w:val="21"/>
        </w:rPr>
        <w:t>和迭代部署后</w:t>
      </w:r>
      <w:r>
        <w:rPr>
          <w:rFonts w:ascii="宋体" w:hAnsi="宋体" w:eastAsia="宋体" w:cs="宋体"/>
          <w:szCs w:val="21"/>
        </w:rPr>
        <w:t>导致新的问题出现。</w:t>
      </w:r>
    </w:p>
    <w:p w14:paraId="30C904BF">
      <w:pPr>
        <w:snapToGrid w:val="0"/>
        <w:spacing w:line="360" w:lineRule="auto"/>
        <w:ind w:left="720"/>
        <w:contextualSpacing/>
        <w:rPr>
          <w:rFonts w:hint="eastAsia" w:ascii="宋体" w:hAnsi="宋体" w:eastAsia="宋体" w:cs="宋体"/>
          <w:szCs w:val="21"/>
        </w:rPr>
      </w:pPr>
      <w:r>
        <w:rPr>
          <w:rFonts w:ascii="宋体" w:hAnsi="宋体" w:eastAsia="宋体" w:cs="宋体"/>
          <w:b/>
          <w:bCs/>
          <w:szCs w:val="21"/>
        </w:rPr>
        <w:t>内容</w:t>
      </w:r>
      <w:r>
        <w:rPr>
          <w:rFonts w:ascii="宋体" w:hAnsi="宋体" w:eastAsia="宋体" w:cs="宋体"/>
          <w:szCs w:val="21"/>
        </w:rPr>
        <w:t>：</w:t>
      </w:r>
    </w:p>
    <w:p w14:paraId="2AC7E822">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对被修改或修复的功能进行详细的测试，确保修改后的功能按照预期工作。</w:t>
      </w:r>
    </w:p>
    <w:p w14:paraId="52212489">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重新执行那些之前失败的测试用例，确保问题已被解决且功能稳定。</w:t>
      </w:r>
    </w:p>
    <w:p w14:paraId="5C8380D9">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由于修改可能影响到相关或依赖的功能，因此需要重新测试这些功能以确保没有产生新的缺陷。</w:t>
      </w:r>
    </w:p>
    <w:p w14:paraId="3BF2DFF2">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评估修改对系统整体性能的影响，包括响应时间、吞吐量、资源利用率等。</w:t>
      </w:r>
    </w:p>
    <w:p w14:paraId="6F861BF5">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验证修改是否对用户界面产生了影响，确保用户体验保持一致和友好。</w:t>
      </w:r>
    </w:p>
    <w:p w14:paraId="06EB6611">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执行预先定义好的回归测试套件，这些套件通常包含了之前测试过程中发现的关键和重要的测试用例。</w:t>
      </w:r>
    </w:p>
    <w:p w14:paraId="0FB7488F">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利用自动化测试工具，确保回归测试能够高效、快速地进行，减少手动测试的工作量。</w:t>
      </w:r>
    </w:p>
    <w:p w14:paraId="05675A23">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尽可能确保回归测试覆盖了所有关键路径和重要的功能场景，以减少遗漏缺陷的风险。</w:t>
      </w:r>
    </w:p>
    <w:p w14:paraId="68F9AF6D">
      <w:pPr>
        <w:numPr>
          <w:ilvl w:val="1"/>
          <w:numId w:val="78"/>
        </w:numPr>
        <w:snapToGrid w:val="0"/>
        <w:spacing w:line="360" w:lineRule="auto"/>
        <w:contextualSpacing/>
        <w:rPr>
          <w:rFonts w:hint="eastAsia" w:ascii="宋体" w:hAnsi="宋体" w:eastAsia="宋体" w:cs="宋体"/>
          <w:szCs w:val="21"/>
        </w:rPr>
      </w:pPr>
      <w:r>
        <w:rPr>
          <w:rFonts w:ascii="宋体" w:hAnsi="宋体" w:eastAsia="宋体" w:cs="宋体"/>
          <w:szCs w:val="21"/>
        </w:rPr>
        <w:t>更新测试文档，记录回归测试的结果和任何相关的变更，以便未来的参考和审计。</w:t>
      </w:r>
    </w:p>
    <w:p w14:paraId="4DCBEA13">
      <w:pPr>
        <w:pStyle w:val="6"/>
        <w:numPr>
          <w:ilvl w:val="2"/>
          <w:numId w:val="39"/>
        </w:numPr>
        <w:spacing w:before="260" w:after="260" w:line="416" w:lineRule="auto"/>
        <w:jc w:val="both"/>
        <w:rPr>
          <w:rFonts w:hint="eastAsia" w:ascii="宋体" w:hAnsi="宋体" w:cstheme="majorBidi"/>
          <w:szCs w:val="24"/>
        </w:rPr>
      </w:pPr>
      <w:bookmarkStart w:id="251" w:name="_Toc180265664"/>
      <w:r>
        <w:rPr>
          <w:rFonts w:hint="eastAsia" w:ascii="宋体" w:hAnsi="宋体" w:cstheme="majorBidi"/>
          <w:szCs w:val="24"/>
        </w:rPr>
        <w:t>项目日报周报模板</w:t>
      </w:r>
      <w:bookmarkEnd w:id="251"/>
    </w:p>
    <w:p w14:paraId="22DFAFF3">
      <w:pPr>
        <w:pStyle w:val="73"/>
        <w:numPr>
          <w:ilvl w:val="0"/>
          <w:numId w:val="79"/>
        </w:numPr>
        <w:ind w:firstLineChars="0"/>
        <w:rPr>
          <w:rFonts w:hint="eastAsia" w:ascii="宋体" w:hAnsi="宋体" w:eastAsia="宋体"/>
          <w:b/>
          <w:bCs/>
        </w:rPr>
      </w:pPr>
      <w:r>
        <w:rPr>
          <w:rFonts w:hint="eastAsia" w:ascii="宋体" w:hAnsi="宋体" w:eastAsia="宋体"/>
          <w:b/>
          <w:bCs/>
        </w:rPr>
        <w:t>项目日报模板</w:t>
      </w:r>
    </w:p>
    <w:p w14:paraId="7A6DB6F8">
      <w:pPr>
        <w:pStyle w:val="73"/>
        <w:ind w:left="720" w:firstLine="0" w:firstLineChars="0"/>
        <w:rPr>
          <w:rFonts w:hint="eastAsia" w:ascii="宋体" w:hAnsi="宋体" w:eastAsia="宋体"/>
        </w:rPr>
      </w:pPr>
    </w:p>
    <w:p w14:paraId="5E11430D">
      <w:pPr>
        <w:pStyle w:val="73"/>
        <w:spacing w:line="360" w:lineRule="auto"/>
        <w:ind w:left="720" w:firstLine="0" w:firstLineChars="0"/>
        <w:rPr>
          <w:rFonts w:hint="eastAsia" w:ascii="宋体" w:hAnsi="宋体" w:eastAsia="宋体"/>
          <w:b/>
          <w:bCs/>
        </w:rPr>
      </w:pPr>
      <w:r>
        <w:rPr>
          <w:rFonts w:hint="eastAsia" w:ascii="宋体" w:hAnsi="宋体" w:eastAsia="宋体"/>
          <w:b/>
          <w:bCs/>
        </w:rPr>
        <w:t>项目名称：烟草总公司电子采购系统建设</w:t>
      </w:r>
    </w:p>
    <w:p w14:paraId="57462668">
      <w:pPr>
        <w:pStyle w:val="73"/>
        <w:spacing w:line="360" w:lineRule="auto"/>
        <w:ind w:left="720" w:firstLine="0" w:firstLineChars="0"/>
        <w:rPr>
          <w:rFonts w:hint="eastAsia" w:ascii="宋体" w:hAnsi="宋体" w:eastAsia="宋体"/>
          <w:b/>
          <w:bCs/>
        </w:rPr>
      </w:pPr>
      <w:r>
        <w:rPr>
          <w:rFonts w:hint="eastAsia" w:ascii="宋体" w:hAnsi="宋体" w:eastAsia="宋体"/>
          <w:b/>
          <w:bCs/>
        </w:rPr>
        <w:t>日期：YYYY-MM-DD</w:t>
      </w:r>
    </w:p>
    <w:p w14:paraId="393C5812">
      <w:pPr>
        <w:pStyle w:val="73"/>
        <w:spacing w:line="360" w:lineRule="auto"/>
        <w:ind w:left="720" w:firstLine="0" w:firstLineChars="0"/>
        <w:rPr>
          <w:rFonts w:hint="eastAsia" w:ascii="宋体" w:hAnsi="宋体" w:eastAsia="宋体"/>
          <w:b/>
          <w:bCs/>
        </w:rPr>
      </w:pPr>
      <w:r>
        <w:rPr>
          <w:rFonts w:hint="eastAsia" w:ascii="宋体" w:hAnsi="宋体" w:eastAsia="宋体"/>
          <w:b/>
          <w:bCs/>
        </w:rPr>
        <w:t>编写人：[姓名]</w:t>
      </w:r>
    </w:p>
    <w:p w14:paraId="5B0B80C8">
      <w:pPr>
        <w:pStyle w:val="73"/>
        <w:spacing w:line="360" w:lineRule="auto"/>
        <w:ind w:left="720" w:firstLine="0" w:firstLineChars="0"/>
        <w:rPr>
          <w:rFonts w:hint="eastAsia" w:ascii="宋体" w:hAnsi="宋体" w:eastAsia="宋体"/>
          <w:b/>
          <w:bCs/>
        </w:rPr>
      </w:pPr>
      <w:r>
        <w:rPr>
          <w:rFonts w:hint="eastAsia" w:ascii="宋体" w:hAnsi="宋体" w:eastAsia="宋体"/>
          <w:b/>
          <w:bCs/>
        </w:rPr>
        <w:t>审核人：[姓名/职位]</w:t>
      </w:r>
    </w:p>
    <w:p w14:paraId="6358551E">
      <w:pPr>
        <w:pStyle w:val="73"/>
        <w:spacing w:line="360" w:lineRule="auto"/>
        <w:ind w:left="720" w:firstLine="0" w:firstLineChars="0"/>
        <w:rPr>
          <w:rFonts w:hint="eastAsia" w:ascii="宋体" w:hAnsi="宋体" w:eastAsia="宋体"/>
        </w:rPr>
      </w:pPr>
    </w:p>
    <w:p w14:paraId="4EC63F48">
      <w:pPr>
        <w:pStyle w:val="73"/>
        <w:spacing w:line="360" w:lineRule="auto"/>
        <w:ind w:left="720" w:firstLine="0" w:firstLineChars="0"/>
        <w:rPr>
          <w:rFonts w:hint="eastAsia" w:ascii="宋体" w:hAnsi="宋体" w:eastAsia="宋体"/>
          <w:b/>
          <w:bCs/>
        </w:rPr>
      </w:pPr>
      <w:r>
        <w:rPr>
          <w:rFonts w:hint="eastAsia" w:ascii="宋体" w:hAnsi="宋体" w:eastAsia="宋体"/>
          <w:b/>
          <w:bCs/>
        </w:rPr>
        <w:t>一、今日工作进展</w:t>
      </w:r>
    </w:p>
    <w:p w14:paraId="26768FC4">
      <w:pPr>
        <w:numPr>
          <w:ilvl w:val="0"/>
          <w:numId w:val="8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系统设计与开发</w:t>
      </w:r>
    </w:p>
    <w:p w14:paraId="2D76072E">
      <w:pPr>
        <w:numPr>
          <w:ilvl w:val="1"/>
          <w:numId w:val="80"/>
        </w:numPr>
        <w:snapToGrid w:val="0"/>
        <w:spacing w:line="360" w:lineRule="auto"/>
        <w:contextualSpacing/>
        <w:rPr>
          <w:rFonts w:hint="eastAsia" w:ascii="宋体" w:hAnsi="宋体" w:eastAsia="宋体"/>
        </w:rPr>
      </w:pPr>
      <w:r>
        <w:rPr>
          <w:rFonts w:hint="eastAsia" w:ascii="宋体" w:hAnsi="宋体" w:eastAsia="宋体"/>
        </w:rPr>
        <w:t>完成了[具体模块/功能]的设计，并提交了设计文档。</w:t>
      </w:r>
    </w:p>
    <w:p w14:paraId="23FE334C">
      <w:pPr>
        <w:numPr>
          <w:ilvl w:val="1"/>
          <w:numId w:val="80"/>
        </w:numPr>
        <w:snapToGrid w:val="0"/>
        <w:spacing w:line="360" w:lineRule="auto"/>
        <w:contextualSpacing/>
        <w:rPr>
          <w:rFonts w:hint="eastAsia" w:ascii="宋体" w:hAnsi="宋体" w:eastAsia="宋体"/>
        </w:rPr>
      </w:pPr>
      <w:r>
        <w:rPr>
          <w:rFonts w:hint="eastAsia" w:ascii="宋体" w:hAnsi="宋体" w:eastAsia="宋体"/>
        </w:rPr>
        <w:t>开发了[具体功能/页面]，实现了[具体功能描述]。</w:t>
      </w:r>
    </w:p>
    <w:p w14:paraId="6A02BE4D">
      <w:pPr>
        <w:numPr>
          <w:ilvl w:val="1"/>
          <w:numId w:val="80"/>
        </w:numPr>
        <w:snapToGrid w:val="0"/>
        <w:spacing w:line="360" w:lineRule="auto"/>
        <w:contextualSpacing/>
        <w:rPr>
          <w:rFonts w:hint="eastAsia" w:ascii="宋体" w:hAnsi="宋体" w:eastAsia="宋体"/>
        </w:rPr>
      </w:pPr>
      <w:r>
        <w:rPr>
          <w:rFonts w:hint="eastAsia" w:ascii="宋体" w:hAnsi="宋体" w:eastAsia="宋体"/>
        </w:rPr>
        <w:t>修复了[具体bug编号]的bug，进行了相关的测试验证。</w:t>
      </w:r>
    </w:p>
    <w:p w14:paraId="064B8C0F">
      <w:pPr>
        <w:numPr>
          <w:ilvl w:val="0"/>
          <w:numId w:val="8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测试工作</w:t>
      </w:r>
    </w:p>
    <w:p w14:paraId="1B48C723">
      <w:pPr>
        <w:numPr>
          <w:ilvl w:val="1"/>
          <w:numId w:val="80"/>
        </w:numPr>
        <w:snapToGrid w:val="0"/>
        <w:spacing w:line="360" w:lineRule="auto"/>
        <w:contextualSpacing/>
        <w:rPr>
          <w:rFonts w:hint="eastAsia" w:ascii="宋体" w:hAnsi="宋体" w:eastAsia="宋体"/>
        </w:rPr>
      </w:pPr>
      <w:r>
        <w:rPr>
          <w:rFonts w:hint="eastAsia" w:ascii="宋体" w:hAnsi="宋体" w:eastAsia="宋体"/>
        </w:rPr>
        <w:t>编写了[具体测试用例]的测试用例，并进行了初步测试。</w:t>
      </w:r>
    </w:p>
    <w:p w14:paraId="520C3938">
      <w:pPr>
        <w:numPr>
          <w:ilvl w:val="1"/>
          <w:numId w:val="80"/>
        </w:numPr>
        <w:snapToGrid w:val="0"/>
        <w:spacing w:line="360" w:lineRule="auto"/>
        <w:contextualSpacing/>
        <w:rPr>
          <w:rFonts w:hint="eastAsia" w:ascii="宋体" w:hAnsi="宋体" w:eastAsia="宋体"/>
        </w:rPr>
      </w:pPr>
      <w:r>
        <w:rPr>
          <w:rFonts w:hint="eastAsia" w:ascii="宋体" w:hAnsi="宋体" w:eastAsia="宋体"/>
        </w:rPr>
        <w:t>记录了[具体测试轮次]的测试结果，发现[具体数量]个问题，已反馈给开发团队。</w:t>
      </w:r>
    </w:p>
    <w:p w14:paraId="39FBF954">
      <w:pPr>
        <w:numPr>
          <w:ilvl w:val="1"/>
          <w:numId w:val="80"/>
        </w:numPr>
        <w:snapToGrid w:val="0"/>
        <w:spacing w:line="360" w:lineRule="auto"/>
        <w:contextualSpacing/>
        <w:rPr>
          <w:rFonts w:hint="eastAsia" w:ascii="宋体" w:hAnsi="宋体" w:eastAsia="宋体"/>
        </w:rPr>
      </w:pPr>
      <w:r>
        <w:rPr>
          <w:rFonts w:hint="eastAsia" w:ascii="宋体" w:hAnsi="宋体" w:eastAsia="宋体"/>
        </w:rPr>
        <w:t>对[具体bug编号]的修复进行了回归测试，确认问题已解决。</w:t>
      </w:r>
    </w:p>
    <w:p w14:paraId="1298D925">
      <w:pPr>
        <w:numPr>
          <w:ilvl w:val="0"/>
          <w:numId w:val="8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运维与部署</w:t>
      </w:r>
    </w:p>
    <w:p w14:paraId="0CCF1AD0">
      <w:pPr>
        <w:numPr>
          <w:ilvl w:val="1"/>
          <w:numId w:val="80"/>
        </w:numPr>
        <w:snapToGrid w:val="0"/>
        <w:spacing w:line="360" w:lineRule="auto"/>
        <w:contextualSpacing/>
        <w:rPr>
          <w:rFonts w:hint="eastAsia" w:ascii="宋体" w:hAnsi="宋体" w:eastAsia="宋体"/>
        </w:rPr>
      </w:pPr>
      <w:r>
        <w:rPr>
          <w:rFonts w:hint="eastAsia" w:ascii="宋体" w:hAnsi="宋体" w:eastAsia="宋体"/>
        </w:rPr>
        <w:t>进行了[具体服务器/数据库]的维护，确保了系统的稳定运行。</w:t>
      </w:r>
    </w:p>
    <w:p w14:paraId="00446426">
      <w:pPr>
        <w:numPr>
          <w:ilvl w:val="1"/>
          <w:numId w:val="80"/>
        </w:numPr>
        <w:snapToGrid w:val="0"/>
        <w:spacing w:line="360" w:lineRule="auto"/>
        <w:contextualSpacing/>
        <w:rPr>
          <w:rFonts w:hint="eastAsia" w:ascii="宋体" w:hAnsi="宋体" w:eastAsia="宋体"/>
        </w:rPr>
      </w:pPr>
      <w:r>
        <w:rPr>
          <w:rFonts w:hint="eastAsia" w:ascii="宋体" w:hAnsi="宋体" w:eastAsia="宋体"/>
        </w:rPr>
        <w:t>部署了[具体版本/更新]的系统，并进行了相关的测试验证。</w:t>
      </w:r>
    </w:p>
    <w:p w14:paraId="5AC2BD53">
      <w:pPr>
        <w:numPr>
          <w:ilvl w:val="1"/>
          <w:numId w:val="80"/>
        </w:numPr>
        <w:snapToGrid w:val="0"/>
        <w:spacing w:line="360" w:lineRule="auto"/>
        <w:contextualSpacing/>
        <w:rPr>
          <w:rFonts w:hint="eastAsia" w:ascii="宋体" w:hAnsi="宋体" w:eastAsia="宋体"/>
        </w:rPr>
      </w:pPr>
      <w:r>
        <w:rPr>
          <w:rFonts w:hint="eastAsia" w:ascii="宋体" w:hAnsi="宋体" w:eastAsia="宋体"/>
        </w:rPr>
        <w:t>监控了系统的运行情况，记录了[具体指标/数据]的变化。</w:t>
      </w:r>
    </w:p>
    <w:p w14:paraId="7BE609D8">
      <w:pPr>
        <w:numPr>
          <w:ilvl w:val="0"/>
          <w:numId w:val="8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沟通与协调</w:t>
      </w:r>
    </w:p>
    <w:p w14:paraId="431492E3">
      <w:pPr>
        <w:numPr>
          <w:ilvl w:val="1"/>
          <w:numId w:val="80"/>
        </w:numPr>
        <w:snapToGrid w:val="0"/>
        <w:spacing w:line="360" w:lineRule="auto"/>
        <w:contextualSpacing/>
        <w:rPr>
          <w:rFonts w:hint="eastAsia" w:ascii="宋体" w:hAnsi="宋体" w:eastAsia="宋体"/>
        </w:rPr>
      </w:pPr>
      <w:r>
        <w:rPr>
          <w:rFonts w:hint="eastAsia" w:ascii="宋体" w:hAnsi="宋体" w:eastAsia="宋体"/>
        </w:rPr>
        <w:t>与[具体部门/人员]进行了沟通，解决了[具体问题]。</w:t>
      </w:r>
    </w:p>
    <w:p w14:paraId="0753EC34">
      <w:pPr>
        <w:numPr>
          <w:ilvl w:val="1"/>
          <w:numId w:val="80"/>
        </w:numPr>
        <w:snapToGrid w:val="0"/>
        <w:spacing w:line="360" w:lineRule="auto"/>
        <w:contextualSpacing/>
        <w:rPr>
          <w:rFonts w:hint="eastAsia" w:ascii="宋体" w:hAnsi="宋体" w:eastAsia="宋体"/>
        </w:rPr>
      </w:pPr>
      <w:r>
        <w:rPr>
          <w:rFonts w:hint="eastAsia" w:ascii="宋体" w:hAnsi="宋体" w:eastAsia="宋体"/>
        </w:rPr>
        <w:t>参加了[具体会议/讨论]，讨论了[具体议题]，并形成了相关决议。</w:t>
      </w:r>
    </w:p>
    <w:p w14:paraId="39994349">
      <w:pPr>
        <w:pStyle w:val="73"/>
        <w:spacing w:line="360" w:lineRule="auto"/>
        <w:ind w:left="720" w:firstLine="0" w:firstLineChars="0"/>
        <w:rPr>
          <w:rFonts w:hint="eastAsia" w:ascii="宋体" w:hAnsi="宋体" w:eastAsia="宋体"/>
          <w:b/>
          <w:bCs/>
        </w:rPr>
      </w:pPr>
      <w:r>
        <w:rPr>
          <w:rFonts w:hint="eastAsia" w:ascii="宋体" w:hAnsi="宋体" w:eastAsia="宋体"/>
          <w:b/>
          <w:bCs/>
        </w:rPr>
        <w:t>二、明日工作计划</w:t>
      </w:r>
    </w:p>
    <w:p w14:paraId="47B70A6E">
      <w:pPr>
        <w:numPr>
          <w:ilvl w:val="1"/>
          <w:numId w:val="80"/>
        </w:numPr>
        <w:snapToGrid w:val="0"/>
        <w:spacing w:line="360" w:lineRule="auto"/>
        <w:contextualSpacing/>
        <w:rPr>
          <w:rFonts w:hint="eastAsia" w:ascii="宋体" w:hAnsi="宋体" w:eastAsia="宋体"/>
        </w:rPr>
      </w:pPr>
      <w:r>
        <w:rPr>
          <w:rFonts w:hint="eastAsia" w:ascii="宋体" w:hAnsi="宋体" w:eastAsia="宋体"/>
        </w:rPr>
        <w:t>计划完成[具体模块/功能]的开发，并提交给测试团队进行测试。</w:t>
      </w:r>
    </w:p>
    <w:p w14:paraId="5417FFAB">
      <w:pPr>
        <w:numPr>
          <w:ilvl w:val="1"/>
          <w:numId w:val="80"/>
        </w:numPr>
        <w:snapToGrid w:val="0"/>
        <w:spacing w:line="360" w:lineRule="auto"/>
        <w:contextualSpacing/>
        <w:rPr>
          <w:rFonts w:hint="eastAsia" w:ascii="宋体" w:hAnsi="宋体" w:eastAsia="宋体"/>
        </w:rPr>
      </w:pPr>
      <w:r>
        <w:rPr>
          <w:rFonts w:hint="eastAsia" w:ascii="宋体" w:hAnsi="宋体" w:eastAsia="宋体"/>
        </w:rPr>
        <w:t>计划编写[具体测试用例]的测试用例，并进行初步测试。</w:t>
      </w:r>
    </w:p>
    <w:p w14:paraId="37B81791">
      <w:pPr>
        <w:numPr>
          <w:ilvl w:val="1"/>
          <w:numId w:val="80"/>
        </w:numPr>
        <w:snapToGrid w:val="0"/>
        <w:spacing w:line="360" w:lineRule="auto"/>
        <w:contextualSpacing/>
        <w:rPr>
          <w:rFonts w:hint="eastAsia" w:ascii="宋体" w:hAnsi="宋体" w:eastAsia="宋体"/>
        </w:rPr>
      </w:pPr>
      <w:r>
        <w:rPr>
          <w:rFonts w:hint="eastAsia" w:ascii="宋体" w:hAnsi="宋体" w:eastAsia="宋体"/>
        </w:rPr>
        <w:t>计划对[具体服务器/数据库]进行维护，确保系统的稳定运行。</w:t>
      </w:r>
    </w:p>
    <w:p w14:paraId="2C6CE45A">
      <w:pPr>
        <w:numPr>
          <w:ilvl w:val="1"/>
          <w:numId w:val="80"/>
        </w:numPr>
        <w:snapToGrid w:val="0"/>
        <w:spacing w:line="360" w:lineRule="auto"/>
        <w:contextualSpacing/>
        <w:rPr>
          <w:rFonts w:hint="eastAsia" w:ascii="宋体" w:hAnsi="宋体" w:eastAsia="宋体"/>
        </w:rPr>
      </w:pPr>
      <w:r>
        <w:rPr>
          <w:rFonts w:hint="eastAsia" w:ascii="宋体" w:hAnsi="宋体" w:eastAsia="宋体"/>
        </w:rPr>
        <w:t>计划与[具体部门/人员]进行沟通，解决[具体问题]。</w:t>
      </w:r>
    </w:p>
    <w:p w14:paraId="68811FE4">
      <w:pPr>
        <w:pStyle w:val="73"/>
        <w:spacing w:line="360" w:lineRule="auto"/>
        <w:ind w:left="720" w:firstLine="0" w:firstLineChars="0"/>
        <w:rPr>
          <w:rFonts w:hint="eastAsia" w:ascii="宋体" w:hAnsi="宋体" w:eastAsia="宋体"/>
          <w:b/>
          <w:bCs/>
        </w:rPr>
      </w:pPr>
      <w:r>
        <w:rPr>
          <w:rFonts w:hint="eastAsia" w:ascii="宋体" w:hAnsi="宋体" w:eastAsia="宋体"/>
          <w:b/>
          <w:bCs/>
        </w:rPr>
        <w:t>三、问题与风险</w:t>
      </w:r>
    </w:p>
    <w:p w14:paraId="3CB16DCE">
      <w:pPr>
        <w:numPr>
          <w:ilvl w:val="1"/>
          <w:numId w:val="80"/>
        </w:numPr>
        <w:snapToGrid w:val="0"/>
        <w:spacing w:line="360" w:lineRule="auto"/>
        <w:contextualSpacing/>
        <w:rPr>
          <w:rFonts w:hint="eastAsia" w:ascii="宋体" w:hAnsi="宋体" w:eastAsia="宋体"/>
        </w:rPr>
      </w:pPr>
      <w:r>
        <w:rPr>
          <w:rFonts w:hint="eastAsia" w:ascii="宋体" w:hAnsi="宋体" w:eastAsia="宋体"/>
        </w:rPr>
        <w:t>[具体问题描述]，可能对项目进度造成[具体影响]。</w:t>
      </w:r>
    </w:p>
    <w:p w14:paraId="7DCE5AF6">
      <w:pPr>
        <w:numPr>
          <w:ilvl w:val="1"/>
          <w:numId w:val="80"/>
        </w:numPr>
        <w:snapToGrid w:val="0"/>
        <w:spacing w:line="360" w:lineRule="auto"/>
        <w:contextualSpacing/>
        <w:rPr>
          <w:rFonts w:hint="eastAsia" w:ascii="宋体" w:hAnsi="宋体" w:eastAsia="宋体"/>
        </w:rPr>
      </w:pPr>
      <w:r>
        <w:rPr>
          <w:rFonts w:hint="eastAsia" w:ascii="宋体" w:hAnsi="宋体" w:eastAsia="宋体"/>
        </w:rPr>
        <w:t>[具体风险描述]，需要采取[具体措施]进行预防和控制。</w:t>
      </w:r>
    </w:p>
    <w:p w14:paraId="70849B7B">
      <w:pPr>
        <w:pStyle w:val="73"/>
        <w:ind w:left="720" w:firstLine="0" w:firstLineChars="0"/>
        <w:rPr>
          <w:rFonts w:hint="eastAsia" w:ascii="宋体" w:hAnsi="宋体" w:eastAsia="宋体"/>
        </w:rPr>
      </w:pPr>
    </w:p>
    <w:p w14:paraId="2A4DB14D">
      <w:pPr>
        <w:pStyle w:val="73"/>
        <w:numPr>
          <w:ilvl w:val="0"/>
          <w:numId w:val="79"/>
        </w:numPr>
        <w:ind w:firstLineChars="0"/>
        <w:rPr>
          <w:rFonts w:hint="eastAsia" w:ascii="宋体" w:hAnsi="宋体" w:eastAsia="宋体"/>
          <w:b/>
          <w:bCs/>
        </w:rPr>
      </w:pPr>
      <w:r>
        <w:rPr>
          <w:rFonts w:hint="eastAsia" w:ascii="宋体" w:hAnsi="宋体" w:eastAsia="宋体"/>
          <w:b/>
          <w:bCs/>
        </w:rPr>
        <w:t>项目周报模板</w:t>
      </w:r>
    </w:p>
    <w:p w14:paraId="019794F1">
      <w:pPr>
        <w:spacing w:line="360" w:lineRule="auto"/>
        <w:ind w:left="420" w:leftChars="200"/>
        <w:rPr>
          <w:rFonts w:hint="eastAsia" w:ascii="宋体" w:hAnsi="宋体" w:eastAsia="宋体"/>
          <w:b/>
          <w:bCs/>
        </w:rPr>
      </w:pPr>
      <w:r>
        <w:rPr>
          <w:rFonts w:hint="eastAsia" w:ascii="宋体" w:hAnsi="宋体" w:eastAsia="宋体"/>
          <w:b/>
          <w:bCs/>
        </w:rPr>
        <w:t>项目名称：烟草总公司电子采购系统建设</w:t>
      </w:r>
    </w:p>
    <w:p w14:paraId="2F399D58">
      <w:pPr>
        <w:spacing w:line="360" w:lineRule="auto"/>
        <w:ind w:left="420" w:leftChars="200"/>
        <w:rPr>
          <w:rFonts w:hint="eastAsia" w:ascii="宋体" w:hAnsi="宋体" w:eastAsia="宋体"/>
          <w:b/>
          <w:bCs/>
        </w:rPr>
      </w:pPr>
      <w:r>
        <w:rPr>
          <w:rFonts w:hint="eastAsia" w:ascii="宋体" w:hAnsi="宋体" w:eastAsia="宋体"/>
          <w:b/>
          <w:bCs/>
        </w:rPr>
        <w:t>周次：第X周</w:t>
      </w:r>
    </w:p>
    <w:p w14:paraId="505610DC">
      <w:pPr>
        <w:spacing w:line="360" w:lineRule="auto"/>
        <w:ind w:left="420" w:leftChars="200"/>
        <w:rPr>
          <w:rFonts w:hint="eastAsia" w:ascii="宋体" w:hAnsi="宋体" w:eastAsia="宋体"/>
          <w:b/>
          <w:bCs/>
        </w:rPr>
      </w:pPr>
      <w:r>
        <w:rPr>
          <w:rFonts w:hint="eastAsia" w:ascii="宋体" w:hAnsi="宋体" w:eastAsia="宋体"/>
          <w:b/>
          <w:bCs/>
        </w:rPr>
        <w:t>日期范围：YYYY-MM-DD 至 YYYY-MM-DD</w:t>
      </w:r>
    </w:p>
    <w:p w14:paraId="10D1AFBD">
      <w:pPr>
        <w:spacing w:line="360" w:lineRule="auto"/>
        <w:ind w:left="420" w:leftChars="200"/>
        <w:rPr>
          <w:rFonts w:hint="eastAsia" w:ascii="宋体" w:hAnsi="宋体" w:eastAsia="宋体"/>
          <w:b/>
          <w:bCs/>
        </w:rPr>
      </w:pPr>
      <w:r>
        <w:rPr>
          <w:rFonts w:hint="eastAsia" w:ascii="宋体" w:hAnsi="宋体" w:eastAsia="宋体"/>
          <w:b/>
          <w:bCs/>
        </w:rPr>
        <w:t>编写人：[姓名]</w:t>
      </w:r>
    </w:p>
    <w:p w14:paraId="574F9F5B">
      <w:pPr>
        <w:spacing w:line="360" w:lineRule="auto"/>
        <w:ind w:left="420" w:leftChars="200"/>
        <w:rPr>
          <w:rFonts w:hint="eastAsia" w:ascii="宋体" w:hAnsi="宋体" w:eastAsia="宋体"/>
        </w:rPr>
      </w:pPr>
      <w:r>
        <w:rPr>
          <w:rFonts w:hint="eastAsia" w:ascii="宋体" w:hAnsi="宋体" w:eastAsia="宋体"/>
          <w:b/>
          <w:bCs/>
        </w:rPr>
        <w:t>审核人：[姓名/职位]</w:t>
      </w:r>
    </w:p>
    <w:p w14:paraId="24A13AA8">
      <w:pPr>
        <w:spacing w:line="360" w:lineRule="auto"/>
        <w:rPr>
          <w:rFonts w:hint="eastAsia" w:ascii="宋体" w:hAnsi="宋体" w:eastAsia="宋体"/>
        </w:rPr>
      </w:pPr>
    </w:p>
    <w:p w14:paraId="5853F547">
      <w:pPr>
        <w:spacing w:line="360" w:lineRule="auto"/>
        <w:rPr>
          <w:rFonts w:hint="eastAsia" w:ascii="宋体" w:hAnsi="宋体" w:eastAsia="宋体"/>
          <w:b/>
          <w:bCs/>
        </w:rPr>
      </w:pPr>
      <w:r>
        <w:rPr>
          <w:rFonts w:hint="eastAsia" w:ascii="宋体" w:hAnsi="宋体" w:eastAsia="宋体"/>
          <w:b/>
          <w:bCs/>
        </w:rPr>
        <w:t>一、本周工作回顾</w:t>
      </w:r>
    </w:p>
    <w:p w14:paraId="27F5921D">
      <w:pPr>
        <w:numPr>
          <w:ilvl w:val="0"/>
          <w:numId w:val="81"/>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系统设计与开发</w:t>
      </w:r>
    </w:p>
    <w:p w14:paraId="12F33CE7">
      <w:pPr>
        <w:numPr>
          <w:ilvl w:val="1"/>
          <w:numId w:val="80"/>
        </w:numPr>
        <w:snapToGrid w:val="0"/>
        <w:spacing w:line="360" w:lineRule="auto"/>
        <w:contextualSpacing/>
        <w:rPr>
          <w:rFonts w:hint="eastAsia" w:ascii="宋体" w:hAnsi="宋体" w:eastAsia="宋体"/>
        </w:rPr>
      </w:pPr>
      <w:r>
        <w:rPr>
          <w:rFonts w:hint="eastAsia" w:ascii="宋体" w:hAnsi="宋体" w:eastAsia="宋体"/>
        </w:rPr>
        <w:t>完成了[具体模块/功能]的设计和开发工作，并提交了相关的设计文档和代码。</w:t>
      </w:r>
    </w:p>
    <w:p w14:paraId="18741FA5">
      <w:pPr>
        <w:numPr>
          <w:ilvl w:val="1"/>
          <w:numId w:val="80"/>
        </w:numPr>
        <w:snapToGrid w:val="0"/>
        <w:spacing w:line="360" w:lineRule="auto"/>
        <w:contextualSpacing/>
        <w:rPr>
          <w:rFonts w:hint="eastAsia" w:ascii="宋体" w:hAnsi="宋体" w:eastAsia="宋体"/>
        </w:rPr>
      </w:pPr>
      <w:r>
        <w:rPr>
          <w:rFonts w:hint="eastAsia" w:ascii="宋体" w:hAnsi="宋体" w:eastAsia="宋体"/>
        </w:rPr>
        <w:t>修复了[具体数量]个bug，进行了相关的测试验证，确保了系统的稳定性和可靠性。</w:t>
      </w:r>
    </w:p>
    <w:p w14:paraId="39EEB97C">
      <w:pPr>
        <w:numPr>
          <w:ilvl w:val="1"/>
          <w:numId w:val="80"/>
        </w:numPr>
        <w:snapToGrid w:val="0"/>
        <w:spacing w:line="360" w:lineRule="auto"/>
        <w:contextualSpacing/>
        <w:rPr>
          <w:rFonts w:hint="eastAsia" w:ascii="宋体" w:hAnsi="宋体" w:eastAsia="宋体"/>
        </w:rPr>
      </w:pPr>
      <w:r>
        <w:rPr>
          <w:rFonts w:hint="eastAsia" w:ascii="宋体" w:hAnsi="宋体" w:eastAsia="宋体"/>
        </w:rPr>
        <w:t>对[具体模块/功能]进行了优化，提高了系统的性能和用户体验。</w:t>
      </w:r>
    </w:p>
    <w:p w14:paraId="164E9AE6">
      <w:pPr>
        <w:numPr>
          <w:ilvl w:val="0"/>
          <w:numId w:val="81"/>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测试工作</w:t>
      </w:r>
    </w:p>
    <w:p w14:paraId="60991CA7">
      <w:pPr>
        <w:numPr>
          <w:ilvl w:val="1"/>
          <w:numId w:val="80"/>
        </w:numPr>
        <w:snapToGrid w:val="0"/>
        <w:spacing w:line="360" w:lineRule="auto"/>
        <w:contextualSpacing/>
        <w:rPr>
          <w:rFonts w:hint="eastAsia" w:ascii="宋体" w:hAnsi="宋体" w:eastAsia="宋体"/>
        </w:rPr>
      </w:pPr>
      <w:r>
        <w:rPr>
          <w:rFonts w:hint="eastAsia" w:ascii="宋体" w:hAnsi="宋体" w:eastAsia="宋体"/>
        </w:rPr>
        <w:t>编写了[具体数量]个测试用例，对系统进行了全面的测试，记录了[具体数量]个问题。</w:t>
      </w:r>
    </w:p>
    <w:p w14:paraId="6CED2E39">
      <w:pPr>
        <w:numPr>
          <w:ilvl w:val="1"/>
          <w:numId w:val="80"/>
        </w:numPr>
        <w:snapToGrid w:val="0"/>
        <w:spacing w:line="360" w:lineRule="auto"/>
        <w:contextualSpacing/>
        <w:rPr>
          <w:rFonts w:hint="eastAsia" w:ascii="宋体" w:hAnsi="宋体" w:eastAsia="宋体"/>
        </w:rPr>
      </w:pPr>
      <w:r>
        <w:rPr>
          <w:rFonts w:hint="eastAsia" w:ascii="宋体" w:hAnsi="宋体" w:eastAsia="宋体"/>
        </w:rPr>
        <w:t>对[具体bug编号]的修复进行了回归测试，确认问题已解决，并记录了测试结果。</w:t>
      </w:r>
    </w:p>
    <w:p w14:paraId="62132EB3">
      <w:pPr>
        <w:numPr>
          <w:ilvl w:val="1"/>
          <w:numId w:val="80"/>
        </w:numPr>
        <w:snapToGrid w:val="0"/>
        <w:spacing w:line="360" w:lineRule="auto"/>
        <w:contextualSpacing/>
        <w:rPr>
          <w:rFonts w:hint="eastAsia" w:ascii="宋体" w:hAnsi="宋体" w:eastAsia="宋体"/>
        </w:rPr>
      </w:pPr>
      <w:r>
        <w:rPr>
          <w:rFonts w:hint="eastAsia" w:ascii="宋体" w:hAnsi="宋体" w:eastAsia="宋体"/>
        </w:rPr>
        <w:t>编写了本周的测试报告，总结了测试工作的进展和发现的问题。</w:t>
      </w:r>
    </w:p>
    <w:p w14:paraId="14F37BBF">
      <w:pPr>
        <w:numPr>
          <w:ilvl w:val="0"/>
          <w:numId w:val="81"/>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运维与部署</w:t>
      </w:r>
    </w:p>
    <w:p w14:paraId="5BDF0562">
      <w:pPr>
        <w:numPr>
          <w:ilvl w:val="1"/>
          <w:numId w:val="80"/>
        </w:numPr>
        <w:snapToGrid w:val="0"/>
        <w:spacing w:line="360" w:lineRule="auto"/>
        <w:contextualSpacing/>
        <w:rPr>
          <w:rFonts w:hint="eastAsia" w:ascii="宋体" w:hAnsi="宋体" w:eastAsia="宋体"/>
        </w:rPr>
      </w:pPr>
      <w:r>
        <w:rPr>
          <w:rFonts w:hint="eastAsia" w:ascii="宋体" w:hAnsi="宋体" w:eastAsia="宋体"/>
        </w:rPr>
        <w:t>进行了[具体次数]次系统维护和部署工作，确保了系统的稳定运行和数据的安全性。</w:t>
      </w:r>
    </w:p>
    <w:p w14:paraId="15DE66E2">
      <w:pPr>
        <w:numPr>
          <w:ilvl w:val="1"/>
          <w:numId w:val="80"/>
        </w:numPr>
        <w:snapToGrid w:val="0"/>
        <w:spacing w:line="360" w:lineRule="auto"/>
        <w:contextualSpacing/>
        <w:rPr>
          <w:rFonts w:hint="eastAsia" w:ascii="宋体" w:hAnsi="宋体" w:eastAsia="宋体"/>
        </w:rPr>
      </w:pPr>
      <w:r>
        <w:rPr>
          <w:rFonts w:hint="eastAsia" w:ascii="宋体" w:hAnsi="宋体" w:eastAsia="宋体"/>
        </w:rPr>
        <w:t>监控了系统的运行情况，记录了[具体指标/数据]的变化，并进行了相关的分析和处理。</w:t>
      </w:r>
    </w:p>
    <w:p w14:paraId="101D9D42">
      <w:pPr>
        <w:numPr>
          <w:ilvl w:val="1"/>
          <w:numId w:val="80"/>
        </w:numPr>
        <w:snapToGrid w:val="0"/>
        <w:spacing w:line="360" w:lineRule="auto"/>
        <w:contextualSpacing/>
        <w:rPr>
          <w:rFonts w:hint="eastAsia" w:ascii="宋体" w:hAnsi="宋体" w:eastAsia="宋体"/>
        </w:rPr>
      </w:pPr>
      <w:r>
        <w:rPr>
          <w:rFonts w:hint="eastAsia" w:ascii="宋体" w:hAnsi="宋体" w:eastAsia="宋体"/>
        </w:rPr>
        <w:t>编写了本周的运维报告，总结了运维工作的进展和发现的问题。</w:t>
      </w:r>
    </w:p>
    <w:p w14:paraId="5B26A672">
      <w:pPr>
        <w:numPr>
          <w:ilvl w:val="0"/>
          <w:numId w:val="81"/>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沟通与协调</w:t>
      </w:r>
    </w:p>
    <w:p w14:paraId="74CC4977">
      <w:pPr>
        <w:numPr>
          <w:ilvl w:val="1"/>
          <w:numId w:val="80"/>
        </w:numPr>
        <w:snapToGrid w:val="0"/>
        <w:spacing w:line="360" w:lineRule="auto"/>
        <w:contextualSpacing/>
        <w:rPr>
          <w:rFonts w:hint="eastAsia" w:ascii="宋体" w:hAnsi="宋体" w:eastAsia="宋体"/>
        </w:rPr>
      </w:pPr>
      <w:r>
        <w:rPr>
          <w:rFonts w:hint="eastAsia" w:ascii="宋体" w:hAnsi="宋体" w:eastAsia="宋体"/>
        </w:rPr>
        <w:t>与[具体部门/人员]进行了[具体次数]次沟通和协调，解决了[具体问题]。</w:t>
      </w:r>
    </w:p>
    <w:p w14:paraId="5C2B4334">
      <w:pPr>
        <w:numPr>
          <w:ilvl w:val="1"/>
          <w:numId w:val="80"/>
        </w:numPr>
        <w:snapToGrid w:val="0"/>
        <w:spacing w:line="360" w:lineRule="auto"/>
        <w:contextualSpacing/>
        <w:rPr>
          <w:rFonts w:hint="eastAsia" w:ascii="宋体" w:hAnsi="宋体" w:eastAsia="宋体"/>
        </w:rPr>
      </w:pPr>
      <w:r>
        <w:rPr>
          <w:rFonts w:hint="eastAsia" w:ascii="宋体" w:hAnsi="宋体" w:eastAsia="宋体"/>
        </w:rPr>
        <w:t>参加了[具体会议/讨论]，讨论了[具体议题]，并形成了相关决议和行动计划。</w:t>
      </w:r>
    </w:p>
    <w:p w14:paraId="02BE0E2B">
      <w:pPr>
        <w:spacing w:line="360" w:lineRule="auto"/>
        <w:rPr>
          <w:rFonts w:hint="eastAsia" w:ascii="宋体" w:hAnsi="宋体" w:eastAsia="宋体"/>
          <w:b/>
          <w:bCs/>
        </w:rPr>
      </w:pPr>
      <w:r>
        <w:rPr>
          <w:rFonts w:hint="eastAsia" w:ascii="宋体" w:hAnsi="宋体" w:eastAsia="宋体"/>
          <w:b/>
          <w:bCs/>
        </w:rPr>
        <w:t>二、下周工作计划</w:t>
      </w:r>
    </w:p>
    <w:p w14:paraId="503226CA">
      <w:pPr>
        <w:numPr>
          <w:ilvl w:val="1"/>
          <w:numId w:val="80"/>
        </w:numPr>
        <w:snapToGrid w:val="0"/>
        <w:spacing w:line="360" w:lineRule="auto"/>
        <w:contextualSpacing/>
        <w:rPr>
          <w:rFonts w:hint="eastAsia" w:ascii="宋体" w:hAnsi="宋体" w:eastAsia="宋体"/>
        </w:rPr>
      </w:pPr>
      <w:r>
        <w:rPr>
          <w:rFonts w:hint="eastAsia" w:ascii="宋体" w:hAnsi="宋体" w:eastAsia="宋体"/>
        </w:rPr>
        <w:t>计划完成[具体模块/功能]的开发和测试工作，并提交给客户进行验收。</w:t>
      </w:r>
    </w:p>
    <w:p w14:paraId="2F0702CE">
      <w:pPr>
        <w:numPr>
          <w:ilvl w:val="1"/>
          <w:numId w:val="80"/>
        </w:numPr>
        <w:snapToGrid w:val="0"/>
        <w:spacing w:line="360" w:lineRule="auto"/>
        <w:contextualSpacing/>
        <w:rPr>
          <w:rFonts w:hint="eastAsia" w:ascii="宋体" w:hAnsi="宋体" w:eastAsia="宋体"/>
        </w:rPr>
      </w:pPr>
      <w:r>
        <w:rPr>
          <w:rFonts w:hint="eastAsia" w:ascii="宋体" w:hAnsi="宋体" w:eastAsia="宋体"/>
        </w:rPr>
        <w:t>计划编写[具体数量]个测试用例，对系统进行进一步的测试，确保系统的稳定性和可靠性。</w:t>
      </w:r>
    </w:p>
    <w:p w14:paraId="3B036723">
      <w:pPr>
        <w:numPr>
          <w:ilvl w:val="1"/>
          <w:numId w:val="80"/>
        </w:numPr>
        <w:snapToGrid w:val="0"/>
        <w:spacing w:line="360" w:lineRule="auto"/>
        <w:contextualSpacing/>
        <w:rPr>
          <w:rFonts w:hint="eastAsia" w:ascii="宋体" w:hAnsi="宋体" w:eastAsia="宋体"/>
        </w:rPr>
      </w:pPr>
      <w:r>
        <w:rPr>
          <w:rFonts w:hint="eastAsia" w:ascii="宋体" w:hAnsi="宋体" w:eastAsia="宋体"/>
        </w:rPr>
        <w:t>计划对[具体服务器/数据库]进行维护和优化，提高系统的性能和安全性。</w:t>
      </w:r>
    </w:p>
    <w:p w14:paraId="0C987C70">
      <w:pPr>
        <w:numPr>
          <w:ilvl w:val="1"/>
          <w:numId w:val="80"/>
        </w:numPr>
        <w:snapToGrid w:val="0"/>
        <w:spacing w:line="360" w:lineRule="auto"/>
        <w:contextualSpacing/>
        <w:rPr>
          <w:rFonts w:hint="eastAsia" w:ascii="宋体" w:hAnsi="宋体" w:eastAsia="宋体"/>
        </w:rPr>
      </w:pPr>
      <w:r>
        <w:rPr>
          <w:rFonts w:hint="eastAsia" w:ascii="宋体" w:hAnsi="宋体" w:eastAsia="宋体"/>
        </w:rPr>
        <w:t>计划与[具体部门/人员]进行沟通和协调，解决[具体问题]，并推进项目的进展。</w:t>
      </w:r>
    </w:p>
    <w:p w14:paraId="50EA9C8B">
      <w:pPr>
        <w:spacing w:line="360" w:lineRule="auto"/>
        <w:rPr>
          <w:rFonts w:hint="eastAsia" w:ascii="宋体" w:hAnsi="宋体" w:eastAsia="宋体"/>
          <w:b/>
          <w:bCs/>
        </w:rPr>
      </w:pPr>
      <w:r>
        <w:rPr>
          <w:rFonts w:hint="eastAsia" w:ascii="宋体" w:hAnsi="宋体" w:eastAsia="宋体"/>
          <w:b/>
          <w:bCs/>
        </w:rPr>
        <w:t>三、问题与风险</w:t>
      </w:r>
    </w:p>
    <w:p w14:paraId="538461C1">
      <w:pPr>
        <w:numPr>
          <w:ilvl w:val="1"/>
          <w:numId w:val="80"/>
        </w:numPr>
        <w:snapToGrid w:val="0"/>
        <w:spacing w:line="360" w:lineRule="auto"/>
        <w:contextualSpacing/>
        <w:rPr>
          <w:rFonts w:hint="eastAsia" w:ascii="宋体" w:hAnsi="宋体" w:eastAsia="宋体"/>
        </w:rPr>
      </w:pPr>
      <w:r>
        <w:rPr>
          <w:rFonts w:hint="eastAsia" w:ascii="宋体" w:hAnsi="宋体" w:eastAsia="宋体"/>
        </w:rPr>
        <w:t>[具体问题描述]，可能对项目进度造成[具体影响]。已采取[具体措施]进行解决和应对。</w:t>
      </w:r>
    </w:p>
    <w:p w14:paraId="18A6FA1D">
      <w:pPr>
        <w:numPr>
          <w:ilvl w:val="1"/>
          <w:numId w:val="80"/>
        </w:numPr>
        <w:snapToGrid w:val="0"/>
        <w:spacing w:line="360" w:lineRule="auto"/>
        <w:contextualSpacing/>
        <w:rPr>
          <w:rFonts w:hint="eastAsia" w:ascii="宋体" w:hAnsi="宋体" w:eastAsia="宋体"/>
        </w:rPr>
      </w:pPr>
      <w:r>
        <w:rPr>
          <w:rFonts w:hint="eastAsia" w:ascii="宋体" w:hAnsi="宋体" w:eastAsia="宋体"/>
        </w:rPr>
        <w:t>[具体风险描述]，需要采取[具体措施]进行预防和控制。已与相关人员进行沟通和协调，制定了相应的风险应对策略。</w:t>
      </w:r>
    </w:p>
    <w:p w14:paraId="58D5EB92">
      <w:pPr>
        <w:spacing w:line="360" w:lineRule="auto"/>
        <w:rPr>
          <w:rFonts w:hint="eastAsia" w:ascii="宋体" w:hAnsi="宋体" w:eastAsia="宋体"/>
          <w:b/>
          <w:bCs/>
        </w:rPr>
      </w:pPr>
      <w:r>
        <w:rPr>
          <w:rFonts w:hint="eastAsia" w:ascii="宋体" w:hAnsi="宋体" w:eastAsia="宋体"/>
          <w:b/>
          <w:bCs/>
        </w:rPr>
        <w:t>四、本周总结与反思</w:t>
      </w:r>
    </w:p>
    <w:p w14:paraId="21BB335B">
      <w:pPr>
        <w:spacing w:line="360" w:lineRule="auto"/>
        <w:ind w:left="420" w:firstLine="420"/>
        <w:rPr>
          <w:rFonts w:hint="eastAsia" w:ascii="宋体" w:hAnsi="宋体" w:eastAsia="宋体"/>
        </w:rPr>
      </w:pPr>
      <w:r>
        <w:rPr>
          <w:rFonts w:hint="eastAsia" w:ascii="宋体" w:hAnsi="宋体" w:eastAsia="宋体"/>
        </w:rPr>
        <w:t>本周项目进展顺利，但在[具体方面]还存在一些问题和不足，需要在下周进行改进和优化。通过本周的工作，我们积累了更多的经验和教训，为项目的后续工作提供了有益的参考。下周我们将继续努力，确保项目的顺利推进和按时完成。</w:t>
      </w:r>
    </w:p>
    <w:p w14:paraId="25ADF271">
      <w:pPr>
        <w:pStyle w:val="5"/>
        <w:numPr>
          <w:ilvl w:val="1"/>
          <w:numId w:val="39"/>
        </w:numPr>
        <w:spacing w:before="260" w:after="260"/>
        <w:jc w:val="both"/>
        <w:rPr>
          <w:rFonts w:hint="eastAsia" w:ascii="宋体" w:hAnsi="宋体"/>
          <w:szCs w:val="28"/>
        </w:rPr>
      </w:pPr>
      <w:bookmarkStart w:id="252" w:name="_Toc179751545"/>
      <w:r>
        <w:rPr>
          <w:rFonts w:hint="eastAsia" w:ascii="宋体" w:hAnsi="宋体"/>
          <w:szCs w:val="28"/>
        </w:rPr>
        <w:t xml:space="preserve"> </w:t>
      </w:r>
      <w:bookmarkStart w:id="253" w:name="_Toc180265665"/>
      <w:r>
        <w:rPr>
          <w:rFonts w:hint="eastAsia" w:ascii="宋体" w:hAnsi="宋体"/>
          <w:szCs w:val="28"/>
        </w:rPr>
        <w:t>进度安排方案</w:t>
      </w:r>
      <w:bookmarkEnd w:id="252"/>
      <w:bookmarkEnd w:id="253"/>
    </w:p>
    <w:p w14:paraId="1D3A9E5D">
      <w:pPr>
        <w:pStyle w:val="6"/>
        <w:numPr>
          <w:ilvl w:val="2"/>
          <w:numId w:val="39"/>
        </w:numPr>
        <w:spacing w:before="260" w:after="260" w:line="416" w:lineRule="auto"/>
        <w:jc w:val="both"/>
        <w:rPr>
          <w:rFonts w:hint="eastAsia" w:ascii="宋体" w:hAnsi="宋体" w:cstheme="majorBidi"/>
          <w:szCs w:val="24"/>
        </w:rPr>
      </w:pPr>
      <w:bookmarkStart w:id="254" w:name="_Toc179751546"/>
      <w:bookmarkStart w:id="255" w:name="_Toc180265666"/>
      <w:r>
        <w:rPr>
          <w:rFonts w:hint="eastAsia" w:ascii="宋体" w:hAnsi="宋体" w:cstheme="majorBidi"/>
          <w:szCs w:val="24"/>
        </w:rPr>
        <w:t>项目里程碑</w:t>
      </w:r>
      <w:bookmarkEnd w:id="254"/>
      <w:bookmarkEnd w:id="255"/>
    </w:p>
    <w:p w14:paraId="6CDA09EF">
      <w:pPr>
        <w:snapToGrid w:val="0"/>
        <w:spacing w:line="360" w:lineRule="auto"/>
        <w:ind w:firstLine="420"/>
        <w:contextualSpacing/>
        <w:rPr>
          <w:rFonts w:hint="eastAsia" w:ascii="宋体" w:hAnsi="宋体" w:eastAsia="宋体" w:cs="宋体"/>
          <w:szCs w:val="21"/>
        </w:rPr>
      </w:pPr>
      <w:r>
        <w:rPr>
          <w:rFonts w:ascii="宋体" w:hAnsi="宋体" w:eastAsia="宋体" w:cs="宋体"/>
          <w:szCs w:val="21"/>
        </w:rPr>
        <w:t>项目启动日期</w:t>
      </w:r>
      <w:r>
        <w:rPr>
          <w:rFonts w:hint="eastAsia" w:ascii="宋体" w:hAnsi="宋体" w:eastAsia="宋体" w:cs="宋体"/>
          <w:szCs w:val="21"/>
        </w:rPr>
        <w:t>以</w:t>
      </w:r>
      <w:r>
        <w:rPr>
          <w:rFonts w:ascii="宋体" w:hAnsi="宋体" w:eastAsia="宋体" w:cs="宋体"/>
          <w:szCs w:val="21"/>
        </w:rPr>
        <w:t>2024年11月1日</w:t>
      </w:r>
      <w:r>
        <w:rPr>
          <w:rFonts w:hint="eastAsia" w:ascii="宋体" w:hAnsi="宋体" w:eastAsia="宋体" w:cs="宋体"/>
          <w:szCs w:val="21"/>
        </w:rPr>
        <w:t>为例，</w:t>
      </w:r>
      <w:r>
        <w:rPr>
          <w:rFonts w:ascii="宋体" w:hAnsi="宋体" w:eastAsia="宋体" w:cs="宋体"/>
          <w:szCs w:val="21"/>
        </w:rPr>
        <w:t>项目分为两个阶段：第一阶段至2025年1月1日；第二阶段从签署初验报告之日起，为期12个月。</w:t>
      </w:r>
    </w:p>
    <w:p w14:paraId="03BBFFDA">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（1）</w:t>
      </w:r>
      <w:r>
        <w:rPr>
          <w:rFonts w:ascii="宋体" w:hAnsi="宋体" w:eastAsia="宋体" w:cs="宋体"/>
          <w:b/>
          <w:bCs/>
          <w:szCs w:val="21"/>
        </w:rPr>
        <w:t>第一阶段：系统本地化部署和联调测试（2024年11月1日 - 2025年1月1日）</w:t>
      </w:r>
    </w:p>
    <w:p w14:paraId="5E530292">
      <w:pPr>
        <w:numPr>
          <w:ilvl w:val="0"/>
          <w:numId w:val="82"/>
        </w:numPr>
        <w:snapToGrid w:val="0"/>
        <w:spacing w:line="360" w:lineRule="auto"/>
        <w:contextualSpacing/>
        <w:rPr>
          <w:rFonts w:hint="eastAsia" w:ascii="宋体" w:hAnsi="宋体" w:eastAsia="宋体" w:cs="宋体"/>
          <w:szCs w:val="21"/>
        </w:rPr>
      </w:pPr>
      <w:r>
        <w:rPr>
          <w:rFonts w:ascii="宋体" w:hAnsi="宋体" w:eastAsia="宋体" w:cs="宋体"/>
          <w:b/>
          <w:bCs/>
          <w:szCs w:val="21"/>
        </w:rPr>
        <w:t>项目启动与需求分析</w:t>
      </w:r>
      <w:r>
        <w:rPr>
          <w:rFonts w:ascii="宋体" w:hAnsi="宋体" w:eastAsia="宋体" w:cs="宋体"/>
          <w:szCs w:val="21"/>
        </w:rPr>
        <w:t>（2024年11月1日 - 2024年11月10日）</w:t>
      </w:r>
    </w:p>
    <w:p w14:paraId="3196739B">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里程碑：项目启动会议</w:t>
      </w:r>
    </w:p>
    <w:p w14:paraId="73DDCF9B">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任务分配：项目经理负责会议组织</w:t>
      </w:r>
      <w:r>
        <w:rPr>
          <w:rFonts w:hint="eastAsia" w:ascii="宋体" w:hAnsi="宋体" w:eastAsia="宋体" w:cs="宋体"/>
          <w:szCs w:val="21"/>
        </w:rPr>
        <w:t>,产品团队</w:t>
      </w:r>
      <w:r>
        <w:rPr>
          <w:rFonts w:ascii="宋体" w:hAnsi="宋体" w:eastAsia="宋体" w:cs="宋体"/>
          <w:szCs w:val="21"/>
        </w:rPr>
        <w:t>业务</w:t>
      </w:r>
      <w:r>
        <w:rPr>
          <w:rFonts w:hint="eastAsia" w:ascii="宋体" w:hAnsi="宋体" w:eastAsia="宋体" w:cs="宋体"/>
          <w:szCs w:val="21"/>
        </w:rPr>
        <w:t>需求</w:t>
      </w:r>
      <w:r>
        <w:rPr>
          <w:rFonts w:ascii="宋体" w:hAnsi="宋体" w:eastAsia="宋体" w:cs="宋体"/>
          <w:szCs w:val="21"/>
        </w:rPr>
        <w:t>分析师与烟草总公司</w:t>
      </w:r>
      <w:r>
        <w:rPr>
          <w:rFonts w:hint="eastAsia" w:ascii="宋体" w:hAnsi="宋体" w:eastAsia="宋体" w:cs="宋体"/>
          <w:szCs w:val="21"/>
        </w:rPr>
        <w:t>需求团队及相关部门进行业务需求</w:t>
      </w:r>
      <w:r>
        <w:rPr>
          <w:rFonts w:ascii="宋体" w:hAnsi="宋体" w:eastAsia="宋体" w:cs="宋体"/>
          <w:szCs w:val="21"/>
        </w:rPr>
        <w:t>沟通，明确</w:t>
      </w:r>
      <w:r>
        <w:rPr>
          <w:rFonts w:hint="eastAsia" w:ascii="宋体" w:hAnsi="宋体" w:eastAsia="宋体" w:cs="宋体"/>
          <w:szCs w:val="21"/>
        </w:rPr>
        <w:t>整体项目</w:t>
      </w:r>
      <w:r>
        <w:rPr>
          <w:rFonts w:ascii="宋体" w:hAnsi="宋体" w:eastAsia="宋体" w:cs="宋体"/>
          <w:szCs w:val="21"/>
        </w:rPr>
        <w:t>需求</w:t>
      </w:r>
      <w:r>
        <w:rPr>
          <w:rFonts w:hint="eastAsia" w:ascii="宋体" w:hAnsi="宋体" w:eastAsia="宋体" w:cs="宋体"/>
          <w:szCs w:val="21"/>
        </w:rPr>
        <w:t>和二次开发的需求</w:t>
      </w:r>
      <w:r>
        <w:rPr>
          <w:rFonts w:ascii="宋体" w:hAnsi="宋体" w:eastAsia="宋体" w:cs="宋体"/>
          <w:szCs w:val="21"/>
        </w:rPr>
        <w:t>。</w:t>
      </w:r>
    </w:p>
    <w:p w14:paraId="1F726665">
      <w:pPr>
        <w:numPr>
          <w:ilvl w:val="0"/>
          <w:numId w:val="82"/>
        </w:numPr>
        <w:snapToGrid w:val="0"/>
        <w:spacing w:line="360" w:lineRule="auto"/>
        <w:contextualSpacing/>
        <w:rPr>
          <w:rFonts w:hint="eastAsia" w:ascii="宋体" w:hAnsi="宋体" w:eastAsia="宋体" w:cs="宋体"/>
          <w:szCs w:val="21"/>
        </w:rPr>
      </w:pPr>
      <w:r>
        <w:rPr>
          <w:rFonts w:ascii="宋体" w:hAnsi="宋体" w:eastAsia="宋体" w:cs="宋体"/>
          <w:b/>
          <w:bCs/>
          <w:szCs w:val="21"/>
        </w:rPr>
        <w:t>系统设计与开发</w:t>
      </w:r>
      <w:r>
        <w:rPr>
          <w:rFonts w:ascii="宋体" w:hAnsi="宋体" w:eastAsia="宋体" w:cs="宋体"/>
          <w:szCs w:val="21"/>
        </w:rPr>
        <w:t>（2024年11月11日 - 2024年12月</w:t>
      </w:r>
      <w:r>
        <w:rPr>
          <w:rFonts w:hint="eastAsia" w:ascii="宋体" w:hAnsi="宋体" w:eastAsia="宋体" w:cs="宋体"/>
          <w:szCs w:val="21"/>
        </w:rPr>
        <w:t>25</w:t>
      </w:r>
      <w:r>
        <w:rPr>
          <w:rFonts w:ascii="宋体" w:hAnsi="宋体" w:eastAsia="宋体" w:cs="宋体"/>
          <w:szCs w:val="21"/>
        </w:rPr>
        <w:t>日）</w:t>
      </w:r>
    </w:p>
    <w:p w14:paraId="02CEF88D">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里程碑：</w:t>
      </w:r>
      <w:bookmarkStart w:id="256" w:name="OLE_LINK14"/>
      <w:r>
        <w:rPr>
          <w:rFonts w:ascii="宋体" w:hAnsi="宋体" w:eastAsia="宋体" w:cs="宋体"/>
          <w:szCs w:val="21"/>
        </w:rPr>
        <w:t>系统设计完成</w:t>
      </w:r>
      <w:bookmarkEnd w:id="256"/>
    </w:p>
    <w:p w14:paraId="5921F41D">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任务分配：系统架构师负责</w:t>
      </w:r>
      <w:r>
        <w:rPr>
          <w:rFonts w:hint="eastAsia" w:ascii="宋体" w:hAnsi="宋体" w:eastAsia="宋体" w:cs="宋体"/>
          <w:bCs/>
        </w:rPr>
        <w:t>技术架构设计，包括并不限于</w:t>
      </w:r>
      <w:r>
        <w:rPr>
          <w:rFonts w:hint="eastAsia" w:ascii="宋体" w:hAnsi="宋体" w:eastAsia="宋体"/>
        </w:rPr>
        <w:t>总体架构、集成架构、技术架构、功能架构、部署架构、数据架构等设计</w:t>
      </w:r>
      <w:r>
        <w:rPr>
          <w:rFonts w:ascii="宋体" w:hAnsi="宋体" w:eastAsia="宋体" w:cs="宋体"/>
          <w:szCs w:val="21"/>
        </w:rPr>
        <w:t>，</w:t>
      </w:r>
      <w:bookmarkStart w:id="257" w:name="OLE_LINK13"/>
      <w:r>
        <w:rPr>
          <w:rFonts w:hint="eastAsia" w:ascii="宋体" w:hAnsi="宋体" w:eastAsia="宋体" w:cs="宋体"/>
          <w:szCs w:val="21"/>
        </w:rPr>
        <w:t>产品团队负责优化功能和新增功能的原型设计等详细设计</w:t>
      </w:r>
      <w:bookmarkEnd w:id="257"/>
      <w:r>
        <w:rPr>
          <w:rFonts w:hint="eastAsia" w:ascii="宋体" w:hAnsi="宋体" w:eastAsia="宋体" w:cs="宋体"/>
          <w:szCs w:val="21"/>
        </w:rPr>
        <w:t>，</w:t>
      </w:r>
      <w:r>
        <w:rPr>
          <w:rFonts w:ascii="宋体" w:hAnsi="宋体" w:eastAsia="宋体" w:cs="宋体"/>
          <w:szCs w:val="21"/>
        </w:rPr>
        <w:t>开发团队</w:t>
      </w:r>
      <w:r>
        <w:rPr>
          <w:rFonts w:hint="eastAsia" w:ascii="宋体" w:hAnsi="宋体" w:eastAsia="宋体" w:cs="宋体"/>
          <w:szCs w:val="21"/>
        </w:rPr>
        <w:t>负责</w:t>
      </w:r>
      <w:r>
        <w:rPr>
          <w:rFonts w:ascii="宋体" w:hAnsi="宋体" w:eastAsia="宋体" w:cs="宋体"/>
          <w:szCs w:val="21"/>
        </w:rPr>
        <w:t>进行系统开发</w:t>
      </w:r>
      <w:r>
        <w:rPr>
          <w:rFonts w:hint="eastAsia" w:ascii="宋体" w:hAnsi="宋体" w:eastAsia="宋体" w:cs="宋体"/>
          <w:szCs w:val="21"/>
        </w:rPr>
        <w:t>和内部测试</w:t>
      </w:r>
      <w:r>
        <w:rPr>
          <w:rFonts w:ascii="宋体" w:hAnsi="宋体" w:eastAsia="宋体" w:cs="宋体"/>
          <w:szCs w:val="21"/>
        </w:rPr>
        <w:t>。</w:t>
      </w:r>
    </w:p>
    <w:p w14:paraId="069EF3E7">
      <w:pPr>
        <w:numPr>
          <w:ilvl w:val="0"/>
          <w:numId w:val="82"/>
        </w:numPr>
        <w:snapToGrid w:val="0"/>
        <w:spacing w:line="360" w:lineRule="auto"/>
        <w:contextualSpacing/>
        <w:rPr>
          <w:rFonts w:hint="eastAsia" w:ascii="宋体" w:hAnsi="宋体" w:eastAsia="宋体" w:cs="宋体"/>
          <w:szCs w:val="21"/>
        </w:rPr>
      </w:pPr>
      <w:r>
        <w:rPr>
          <w:rFonts w:ascii="宋体" w:hAnsi="宋体" w:eastAsia="宋体" w:cs="宋体"/>
          <w:b/>
          <w:bCs/>
          <w:szCs w:val="21"/>
        </w:rPr>
        <w:t>本地化部署与初步测试</w:t>
      </w:r>
      <w:r>
        <w:rPr>
          <w:rFonts w:ascii="宋体" w:hAnsi="宋体" w:eastAsia="宋体" w:cs="宋体"/>
          <w:szCs w:val="21"/>
        </w:rPr>
        <w:t>（2024年1</w:t>
      </w:r>
      <w:r>
        <w:rPr>
          <w:rFonts w:hint="eastAsia" w:ascii="宋体" w:hAnsi="宋体" w:eastAsia="宋体" w:cs="宋体"/>
          <w:szCs w:val="21"/>
        </w:rPr>
        <w:t>1</w:t>
      </w:r>
      <w:r>
        <w:rPr>
          <w:rFonts w:ascii="宋体" w:hAnsi="宋体" w:eastAsia="宋体" w:cs="宋体"/>
          <w:szCs w:val="21"/>
        </w:rPr>
        <w:t>月</w:t>
      </w:r>
      <w:r>
        <w:rPr>
          <w:rFonts w:hint="eastAsia" w:ascii="宋体" w:hAnsi="宋体" w:eastAsia="宋体" w:cs="宋体"/>
          <w:szCs w:val="21"/>
        </w:rPr>
        <w:t>11</w:t>
      </w:r>
      <w:r>
        <w:rPr>
          <w:rFonts w:ascii="宋体" w:hAnsi="宋体" w:eastAsia="宋体" w:cs="宋体"/>
          <w:szCs w:val="21"/>
        </w:rPr>
        <w:t>日 - 2024年12月25日）</w:t>
      </w:r>
    </w:p>
    <w:p w14:paraId="1AFF9699">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里程碑：本地化部署完成</w:t>
      </w:r>
    </w:p>
    <w:p w14:paraId="5A412F77">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任务分配：运维团队负责</w:t>
      </w:r>
      <w:r>
        <w:rPr>
          <w:rFonts w:hint="eastAsia" w:ascii="宋体" w:hAnsi="宋体" w:eastAsia="宋体" w:cs="宋体"/>
          <w:szCs w:val="21"/>
        </w:rPr>
        <w:t>深入理解烟草总公司目前信息化部署环境，在指定的云平台上</w:t>
      </w:r>
      <w:bookmarkStart w:id="258" w:name="OLE_LINK15"/>
      <w:r>
        <w:rPr>
          <w:rFonts w:hint="eastAsia" w:ascii="宋体" w:hAnsi="宋体" w:eastAsia="宋体" w:cs="宋体"/>
          <w:szCs w:val="21"/>
        </w:rPr>
        <w:t>搭建起生产和开发/测试两套环境</w:t>
      </w:r>
      <w:bookmarkEnd w:id="258"/>
      <w:r>
        <w:rPr>
          <w:rFonts w:hint="eastAsia" w:ascii="宋体" w:hAnsi="宋体" w:eastAsia="宋体" w:cs="宋体"/>
          <w:szCs w:val="21"/>
        </w:rPr>
        <w:t>，产品和研发团队进行</w:t>
      </w:r>
      <w:bookmarkStart w:id="259" w:name="OLE_LINK16"/>
      <w:r>
        <w:rPr>
          <w:rFonts w:hint="eastAsia" w:ascii="宋体" w:hAnsi="宋体" w:eastAsia="宋体" w:cs="宋体"/>
          <w:szCs w:val="21"/>
        </w:rPr>
        <w:t>系统环境适配性改造</w:t>
      </w:r>
      <w:bookmarkEnd w:id="259"/>
      <w:r>
        <w:rPr>
          <w:rFonts w:hint="eastAsia" w:ascii="宋体" w:hAnsi="宋体" w:eastAsia="宋体" w:cs="宋体"/>
          <w:szCs w:val="21"/>
        </w:rPr>
        <w:t>，并进行</w:t>
      </w:r>
      <w:r>
        <w:rPr>
          <w:rFonts w:ascii="宋体" w:hAnsi="宋体" w:eastAsia="宋体" w:cs="宋体"/>
          <w:szCs w:val="21"/>
        </w:rPr>
        <w:t>系统</w:t>
      </w:r>
      <w:r>
        <w:rPr>
          <w:rFonts w:hint="eastAsia" w:ascii="宋体" w:hAnsi="宋体" w:eastAsia="宋体" w:cs="宋体"/>
          <w:szCs w:val="21"/>
        </w:rPr>
        <w:t>在开发/测试环境上的试</w:t>
      </w:r>
      <w:r>
        <w:rPr>
          <w:rFonts w:ascii="宋体" w:hAnsi="宋体" w:eastAsia="宋体" w:cs="宋体"/>
          <w:szCs w:val="21"/>
        </w:rPr>
        <w:t>部署，测试团队进行初步测试</w:t>
      </w:r>
      <w:r>
        <w:rPr>
          <w:rFonts w:hint="eastAsia" w:ascii="宋体" w:hAnsi="宋体" w:eastAsia="宋体" w:cs="宋体"/>
          <w:szCs w:val="21"/>
        </w:rPr>
        <w:t>、系统测试，根据迭代周期重复2、3项工作，直至本次项目本阶段所有需求实现</w:t>
      </w:r>
      <w:r>
        <w:rPr>
          <w:rFonts w:ascii="宋体" w:hAnsi="宋体" w:eastAsia="宋体" w:cs="宋体"/>
          <w:szCs w:val="21"/>
        </w:rPr>
        <w:t>。</w:t>
      </w:r>
    </w:p>
    <w:p w14:paraId="11C6D7CD">
      <w:pPr>
        <w:numPr>
          <w:ilvl w:val="0"/>
          <w:numId w:val="82"/>
        </w:num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生产环境</w:t>
      </w:r>
      <w:r>
        <w:rPr>
          <w:rFonts w:ascii="宋体" w:hAnsi="宋体" w:eastAsia="宋体" w:cs="宋体"/>
          <w:b/>
          <w:bCs/>
          <w:szCs w:val="21"/>
        </w:rPr>
        <w:t>联调测试与优化</w:t>
      </w:r>
      <w:r>
        <w:rPr>
          <w:rFonts w:ascii="宋体" w:hAnsi="宋体" w:eastAsia="宋体" w:cs="宋体"/>
          <w:szCs w:val="21"/>
        </w:rPr>
        <w:t>（2024年12月</w:t>
      </w:r>
      <w:r>
        <w:rPr>
          <w:rFonts w:hint="eastAsia" w:ascii="宋体" w:hAnsi="宋体" w:eastAsia="宋体" w:cs="宋体"/>
          <w:szCs w:val="21"/>
        </w:rPr>
        <w:t>26</w:t>
      </w:r>
      <w:r>
        <w:rPr>
          <w:rFonts w:ascii="宋体" w:hAnsi="宋体" w:eastAsia="宋体" w:cs="宋体"/>
          <w:szCs w:val="21"/>
        </w:rPr>
        <w:t>日 - 2024年12月31日）</w:t>
      </w:r>
    </w:p>
    <w:p w14:paraId="145198B6">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里程碑：</w:t>
      </w:r>
      <w:r>
        <w:rPr>
          <w:rFonts w:hint="eastAsia" w:ascii="宋体" w:hAnsi="宋体" w:eastAsia="宋体" w:cs="宋体"/>
          <w:szCs w:val="21"/>
        </w:rPr>
        <w:t>生产环境</w:t>
      </w:r>
      <w:r>
        <w:rPr>
          <w:rFonts w:ascii="宋体" w:hAnsi="宋体" w:eastAsia="宋体" w:cs="宋体"/>
          <w:szCs w:val="21"/>
        </w:rPr>
        <w:t>联调测试通过</w:t>
      </w:r>
    </w:p>
    <w:p w14:paraId="195C2B4D">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任务分配：开发团队与测试团队</w:t>
      </w:r>
      <w:r>
        <w:rPr>
          <w:rFonts w:hint="eastAsia" w:ascii="宋体" w:hAnsi="宋体" w:eastAsia="宋体" w:cs="宋体"/>
          <w:szCs w:val="21"/>
        </w:rPr>
        <w:t>、运维团队</w:t>
      </w:r>
      <w:r>
        <w:rPr>
          <w:rFonts w:ascii="宋体" w:hAnsi="宋体" w:eastAsia="宋体" w:cs="宋体"/>
          <w:szCs w:val="21"/>
        </w:rPr>
        <w:t>共同进行</w:t>
      </w:r>
      <w:r>
        <w:rPr>
          <w:rFonts w:hint="eastAsia" w:ascii="宋体" w:hAnsi="宋体" w:eastAsia="宋体" w:cs="宋体"/>
          <w:szCs w:val="21"/>
        </w:rPr>
        <w:t>生产环境</w:t>
      </w:r>
      <w:r>
        <w:rPr>
          <w:rFonts w:ascii="宋体" w:hAnsi="宋体" w:eastAsia="宋体" w:cs="宋体"/>
          <w:szCs w:val="21"/>
        </w:rPr>
        <w:t>联调测试，优化系统性能。</w:t>
      </w:r>
    </w:p>
    <w:p w14:paraId="7FF5F0C0">
      <w:pPr>
        <w:numPr>
          <w:ilvl w:val="0"/>
          <w:numId w:val="82"/>
        </w:numPr>
        <w:snapToGrid w:val="0"/>
        <w:spacing w:line="360" w:lineRule="auto"/>
        <w:contextualSpacing/>
        <w:rPr>
          <w:rFonts w:hint="eastAsia" w:ascii="宋体" w:hAnsi="宋体" w:eastAsia="宋体" w:cs="宋体"/>
          <w:szCs w:val="21"/>
        </w:rPr>
      </w:pPr>
      <w:r>
        <w:rPr>
          <w:rFonts w:ascii="宋体" w:hAnsi="宋体" w:eastAsia="宋体" w:cs="宋体"/>
          <w:b/>
          <w:bCs/>
          <w:szCs w:val="21"/>
        </w:rPr>
        <w:t>初验准备与签署初验报告</w:t>
      </w:r>
      <w:r>
        <w:rPr>
          <w:rFonts w:ascii="宋体" w:hAnsi="宋体" w:eastAsia="宋体" w:cs="宋体"/>
          <w:szCs w:val="21"/>
        </w:rPr>
        <w:t>（2025年1月1日）</w:t>
      </w:r>
    </w:p>
    <w:p w14:paraId="1921F668">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里程碑：初验报告签署</w:t>
      </w:r>
    </w:p>
    <w:p w14:paraId="46F6A29D">
      <w:pPr>
        <w:numPr>
          <w:ilvl w:val="1"/>
          <w:numId w:val="82"/>
        </w:numPr>
        <w:snapToGrid w:val="0"/>
        <w:spacing w:line="360" w:lineRule="auto"/>
        <w:contextualSpacing/>
        <w:rPr>
          <w:rFonts w:hint="eastAsia" w:ascii="宋体" w:hAnsi="宋体" w:eastAsia="宋体" w:cs="宋体"/>
          <w:szCs w:val="21"/>
        </w:rPr>
      </w:pPr>
      <w:r>
        <w:rPr>
          <w:rFonts w:ascii="宋体" w:hAnsi="宋体" w:eastAsia="宋体" w:cs="宋体"/>
          <w:szCs w:val="21"/>
        </w:rPr>
        <w:t>任务分配：项目经理负责整理初验材料，与烟草总公司沟通，签署初验报告。</w:t>
      </w:r>
    </w:p>
    <w:p w14:paraId="7EC928AA">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（2）</w:t>
      </w:r>
      <w:r>
        <w:rPr>
          <w:rFonts w:ascii="宋体" w:hAnsi="宋体" w:eastAsia="宋体" w:cs="宋体"/>
          <w:b/>
          <w:bCs/>
          <w:szCs w:val="21"/>
        </w:rPr>
        <w:t>第二阶段：上线运行与运营运维服务（自签署初验报告之日起，为期12个月）</w:t>
      </w:r>
    </w:p>
    <w:p w14:paraId="0629F47A">
      <w:pPr>
        <w:numPr>
          <w:ilvl w:val="0"/>
          <w:numId w:val="83"/>
        </w:numPr>
        <w:snapToGrid w:val="0"/>
        <w:spacing w:line="360" w:lineRule="auto"/>
        <w:contextualSpacing/>
        <w:rPr>
          <w:rFonts w:hint="eastAsia" w:ascii="宋体" w:hAnsi="宋体" w:eastAsia="宋体" w:cs="宋体"/>
          <w:szCs w:val="21"/>
        </w:rPr>
      </w:pPr>
      <w:r>
        <w:rPr>
          <w:rFonts w:ascii="宋体" w:hAnsi="宋体" w:eastAsia="宋体" w:cs="宋体"/>
          <w:b/>
          <w:bCs/>
          <w:szCs w:val="21"/>
        </w:rPr>
        <w:t>系统上线与培训</w:t>
      </w:r>
      <w:r>
        <w:rPr>
          <w:rFonts w:ascii="宋体" w:hAnsi="宋体" w:eastAsia="宋体" w:cs="宋体"/>
          <w:szCs w:val="21"/>
        </w:rPr>
        <w:t>（签署初验报告后1周内）</w:t>
      </w:r>
    </w:p>
    <w:p w14:paraId="1294A365">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里程碑：系统正式上线</w:t>
      </w:r>
    </w:p>
    <w:p w14:paraId="6B4D2092">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任务分配：运维团队负责系统上线，培训团队对烟草总公司员工进行系统操作培训。</w:t>
      </w:r>
    </w:p>
    <w:p w14:paraId="08E77ACD">
      <w:pPr>
        <w:numPr>
          <w:ilvl w:val="0"/>
          <w:numId w:val="83"/>
        </w:num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三星检测认证、</w:t>
      </w:r>
      <w:r>
        <w:rPr>
          <w:rFonts w:ascii="宋体" w:hAnsi="宋体" w:eastAsia="宋体" w:cs="宋体"/>
          <w:b/>
          <w:bCs/>
          <w:szCs w:val="21"/>
        </w:rPr>
        <w:t>系统运营与监控</w:t>
      </w:r>
      <w:r>
        <w:rPr>
          <w:rFonts w:ascii="宋体" w:hAnsi="宋体" w:eastAsia="宋体" w:cs="宋体"/>
          <w:szCs w:val="21"/>
        </w:rPr>
        <w:t>（签署初验报告后1个月 - 11个月）</w:t>
      </w:r>
    </w:p>
    <w:p w14:paraId="335EC465">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里程碑：系统稳定运行</w:t>
      </w:r>
      <w:r>
        <w:rPr>
          <w:rFonts w:hint="eastAsia" w:ascii="宋体" w:hAnsi="宋体" w:eastAsia="宋体" w:cs="宋体"/>
          <w:szCs w:val="21"/>
        </w:rPr>
        <w:t>且获得三星检测认证</w:t>
      </w:r>
    </w:p>
    <w:p w14:paraId="55A119D3">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任务分配：</w:t>
      </w:r>
      <w:r>
        <w:rPr>
          <w:rFonts w:hint="eastAsia" w:ascii="宋体" w:hAnsi="宋体" w:eastAsia="宋体" w:cs="宋体"/>
          <w:szCs w:val="21"/>
        </w:rPr>
        <w:t>产品和测试团队配合电子招标投标系统三星认证的所有检测和认证配合工作</w:t>
      </w:r>
      <w:r>
        <w:rPr>
          <w:rFonts w:hint="eastAsia" w:ascii="宋体" w:hAnsi="宋体" w:eastAsia="宋体"/>
          <w:szCs w:val="21"/>
        </w:rPr>
        <w:t>。</w:t>
      </w:r>
      <w:r>
        <w:rPr>
          <w:rFonts w:ascii="宋体" w:hAnsi="宋体" w:eastAsia="宋体" w:cs="宋体"/>
          <w:szCs w:val="21"/>
        </w:rPr>
        <w:t>运维团队负责系统日常运营，监控系统性能，及时响应并处理故障</w:t>
      </w:r>
      <w:r>
        <w:rPr>
          <w:rFonts w:hint="eastAsia" w:ascii="宋体" w:hAnsi="宋体" w:eastAsia="宋体" w:cs="宋体"/>
          <w:szCs w:val="21"/>
        </w:rPr>
        <w:t>，配合完成系统安全等保三级认证工作，运营团队进行培训、项目技术支持工作，做好试点省份及试点项目的保障工作，具体方案详见【18运营服务方案】</w:t>
      </w:r>
      <w:r>
        <w:rPr>
          <w:rFonts w:ascii="宋体" w:hAnsi="宋体" w:eastAsia="宋体" w:cs="宋体"/>
          <w:szCs w:val="21"/>
        </w:rPr>
        <w:t>。</w:t>
      </w:r>
    </w:p>
    <w:p w14:paraId="2068AA44">
      <w:pPr>
        <w:numPr>
          <w:ilvl w:val="0"/>
          <w:numId w:val="83"/>
        </w:num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系统迭代与优化</w:t>
      </w:r>
      <w:r>
        <w:rPr>
          <w:rFonts w:ascii="宋体" w:hAnsi="宋体" w:eastAsia="宋体" w:cs="宋体"/>
          <w:szCs w:val="21"/>
        </w:rPr>
        <w:t>（签署初验报告后2个月、6个月、10个月）</w:t>
      </w:r>
    </w:p>
    <w:p w14:paraId="6A58BAC8">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里程碑：</w:t>
      </w:r>
      <w:r>
        <w:rPr>
          <w:rFonts w:hint="eastAsia" w:ascii="宋体" w:hAnsi="宋体" w:eastAsia="宋体" w:cs="宋体"/>
          <w:szCs w:val="21"/>
        </w:rPr>
        <w:t>试点单位试点项目顺利完成</w:t>
      </w:r>
    </w:p>
    <w:p w14:paraId="690280D1">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任务分配：开发团队根据运维团队</w:t>
      </w:r>
      <w:r>
        <w:rPr>
          <w:rFonts w:hint="eastAsia" w:ascii="宋体" w:hAnsi="宋体" w:eastAsia="宋体" w:cs="宋体"/>
          <w:szCs w:val="21"/>
        </w:rPr>
        <w:t>、最终使用客户、测试团队的</w:t>
      </w:r>
      <w:r>
        <w:rPr>
          <w:rFonts w:ascii="宋体" w:hAnsi="宋体" w:eastAsia="宋体" w:cs="宋体"/>
          <w:szCs w:val="21"/>
        </w:rPr>
        <w:t>反馈，进行系统维护与升级</w:t>
      </w:r>
      <w:r>
        <w:rPr>
          <w:rFonts w:hint="eastAsia" w:ascii="宋体" w:hAnsi="宋体" w:eastAsia="宋体" w:cs="宋体"/>
          <w:szCs w:val="21"/>
        </w:rPr>
        <w:t>，并遵照招标人在运营过程中提出的要求进行适配改造、部署、调试、优化、运行，最终完成系统交付，</w:t>
      </w:r>
      <w:bookmarkStart w:id="260" w:name="OLE_LINK23"/>
      <w:r>
        <w:rPr>
          <w:rFonts w:hint="eastAsia" w:ascii="宋体" w:hAnsi="宋体" w:eastAsia="宋体" w:cs="宋体"/>
          <w:szCs w:val="21"/>
        </w:rPr>
        <w:t>并完成与其他集成商、开发商之间的技术协调和集成实现</w:t>
      </w:r>
      <w:r>
        <w:rPr>
          <w:rFonts w:ascii="宋体" w:hAnsi="宋体" w:eastAsia="宋体" w:cs="宋体"/>
          <w:szCs w:val="21"/>
        </w:rPr>
        <w:t>。</w:t>
      </w:r>
      <w:bookmarkEnd w:id="260"/>
    </w:p>
    <w:p w14:paraId="2014BCED">
      <w:pPr>
        <w:numPr>
          <w:ilvl w:val="0"/>
          <w:numId w:val="83"/>
        </w:numPr>
        <w:snapToGrid w:val="0"/>
        <w:spacing w:line="360" w:lineRule="auto"/>
        <w:contextualSpacing/>
        <w:rPr>
          <w:rFonts w:hint="eastAsia" w:ascii="宋体" w:hAnsi="宋体" w:eastAsia="宋体" w:cs="宋体"/>
          <w:szCs w:val="21"/>
        </w:rPr>
      </w:pPr>
      <w:r>
        <w:rPr>
          <w:rFonts w:ascii="宋体" w:hAnsi="宋体" w:eastAsia="宋体" w:cs="宋体"/>
          <w:b/>
          <w:bCs/>
          <w:szCs w:val="21"/>
        </w:rPr>
        <w:t>项目总结与终验准备</w:t>
      </w:r>
      <w:r>
        <w:rPr>
          <w:rFonts w:ascii="宋体" w:hAnsi="宋体" w:eastAsia="宋体" w:cs="宋体"/>
          <w:szCs w:val="21"/>
        </w:rPr>
        <w:t>（签署初验报告后11个月 - 12个月）</w:t>
      </w:r>
    </w:p>
    <w:p w14:paraId="56A09242">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里程碑：终验材料准备完成</w:t>
      </w:r>
    </w:p>
    <w:p w14:paraId="6917D6B9">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任务分配：项目经理负责整理终验材料，包括实施报告、技术报告、系统运行报告、操作手册、源代码等。</w:t>
      </w:r>
    </w:p>
    <w:p w14:paraId="529574DC">
      <w:pPr>
        <w:numPr>
          <w:ilvl w:val="0"/>
          <w:numId w:val="83"/>
        </w:numPr>
        <w:snapToGrid w:val="0"/>
        <w:spacing w:line="360" w:lineRule="auto"/>
        <w:contextualSpacing/>
        <w:rPr>
          <w:rFonts w:hint="eastAsia" w:ascii="宋体" w:hAnsi="宋体" w:eastAsia="宋体" w:cs="宋体"/>
          <w:szCs w:val="21"/>
        </w:rPr>
      </w:pPr>
      <w:r>
        <w:rPr>
          <w:rFonts w:ascii="宋体" w:hAnsi="宋体" w:eastAsia="宋体" w:cs="宋体"/>
          <w:b/>
          <w:bCs/>
          <w:szCs w:val="21"/>
        </w:rPr>
        <w:t>终验报告签署</w:t>
      </w:r>
      <w:r>
        <w:rPr>
          <w:rFonts w:ascii="宋体" w:hAnsi="宋体" w:eastAsia="宋体" w:cs="宋体"/>
          <w:szCs w:val="21"/>
        </w:rPr>
        <w:t>（签署初验报告后12个月）</w:t>
      </w:r>
    </w:p>
    <w:p w14:paraId="4AB10D37">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里程碑：终验报告签署</w:t>
      </w:r>
    </w:p>
    <w:p w14:paraId="0554C309">
      <w:pPr>
        <w:numPr>
          <w:ilvl w:val="1"/>
          <w:numId w:val="83"/>
        </w:numPr>
        <w:snapToGrid w:val="0"/>
        <w:spacing w:line="360" w:lineRule="auto"/>
        <w:contextualSpacing/>
        <w:rPr>
          <w:rFonts w:hint="eastAsia" w:ascii="宋体" w:hAnsi="宋体" w:eastAsia="宋体" w:cs="宋体"/>
          <w:szCs w:val="21"/>
        </w:rPr>
      </w:pPr>
      <w:r>
        <w:rPr>
          <w:rFonts w:ascii="宋体" w:hAnsi="宋体" w:eastAsia="宋体" w:cs="宋体"/>
          <w:szCs w:val="21"/>
        </w:rPr>
        <w:t>任务分配：项目经理与烟草总公司沟通，签署终验报告，正式结束项目。</w:t>
      </w:r>
    </w:p>
    <w:p w14:paraId="1FCAF1C2">
      <w:pPr>
        <w:snapToGrid w:val="0"/>
        <w:spacing w:line="360" w:lineRule="auto"/>
        <w:contextualSpacing/>
        <w:rPr>
          <w:rFonts w:hint="eastAsia" w:ascii="宋体" w:hAnsi="宋体" w:eastAsia="宋体" w:cs="宋体"/>
          <w:b/>
          <w:bCs/>
          <w:szCs w:val="21"/>
        </w:rPr>
      </w:pPr>
      <w:r>
        <w:rPr>
          <w:rFonts w:ascii="宋体" w:hAnsi="宋体" w:eastAsia="宋体" w:cs="宋体"/>
          <w:b/>
          <w:bCs/>
          <w:szCs w:val="21"/>
        </w:rPr>
        <w:t>注意事项</w:t>
      </w:r>
    </w:p>
    <w:p w14:paraId="47A96FE0">
      <w:pPr>
        <w:numPr>
          <w:ilvl w:val="0"/>
          <w:numId w:val="84"/>
        </w:numPr>
        <w:snapToGrid w:val="0"/>
        <w:spacing w:line="360" w:lineRule="auto"/>
        <w:contextualSpacing/>
        <w:rPr>
          <w:rFonts w:hint="eastAsia" w:ascii="宋体" w:hAnsi="宋体" w:eastAsia="宋体" w:cs="宋体"/>
          <w:szCs w:val="21"/>
        </w:rPr>
      </w:pPr>
      <w:r>
        <w:rPr>
          <w:rFonts w:ascii="宋体" w:hAnsi="宋体" w:eastAsia="宋体" w:cs="宋体"/>
          <w:szCs w:val="21"/>
        </w:rPr>
        <w:t>每个里程碑的完成时间应作为关键绩效指标（KPI），由项目经理负责跟踪和评估。</w:t>
      </w:r>
    </w:p>
    <w:p w14:paraId="4A35BA64">
      <w:pPr>
        <w:numPr>
          <w:ilvl w:val="0"/>
          <w:numId w:val="84"/>
        </w:numPr>
        <w:snapToGrid w:val="0"/>
        <w:spacing w:line="360" w:lineRule="auto"/>
        <w:contextualSpacing/>
        <w:rPr>
          <w:rFonts w:hint="eastAsia" w:ascii="宋体" w:hAnsi="宋体" w:eastAsia="宋体" w:cs="宋体"/>
          <w:szCs w:val="21"/>
        </w:rPr>
      </w:pPr>
      <w:r>
        <w:rPr>
          <w:rFonts w:ascii="宋体" w:hAnsi="宋体" w:eastAsia="宋体" w:cs="宋体"/>
          <w:szCs w:val="21"/>
        </w:rPr>
        <w:t>在项目执行过程中，</w:t>
      </w:r>
      <w:r>
        <w:rPr>
          <w:rFonts w:hint="eastAsia" w:ascii="宋体" w:hAnsi="宋体" w:eastAsia="宋体" w:cs="宋体"/>
          <w:szCs w:val="21"/>
        </w:rPr>
        <w:t>会</w:t>
      </w:r>
      <w:r>
        <w:rPr>
          <w:rFonts w:ascii="宋体" w:hAnsi="宋体" w:eastAsia="宋体" w:cs="宋体"/>
          <w:szCs w:val="21"/>
        </w:rPr>
        <w:t>定期</w:t>
      </w:r>
      <w:r>
        <w:rPr>
          <w:rFonts w:hint="eastAsia" w:ascii="宋体" w:hAnsi="宋体" w:eastAsia="宋体" w:cs="宋体"/>
          <w:szCs w:val="21"/>
        </w:rPr>
        <w:t>（周例会和临时项目会）</w:t>
      </w:r>
      <w:r>
        <w:rPr>
          <w:rFonts w:ascii="宋体" w:hAnsi="宋体" w:eastAsia="宋体" w:cs="宋体"/>
          <w:szCs w:val="21"/>
        </w:rPr>
        <w:t>召开项目会议，及时解决项目推进过程中的问题和困难。</w:t>
      </w:r>
    </w:p>
    <w:p w14:paraId="0A3C7C40">
      <w:pPr>
        <w:numPr>
          <w:ilvl w:val="0"/>
          <w:numId w:val="84"/>
        </w:numPr>
        <w:snapToGrid w:val="0"/>
        <w:spacing w:line="360" w:lineRule="auto"/>
        <w:contextualSpacing/>
        <w:rPr>
          <w:rFonts w:hint="eastAsia" w:ascii="宋体" w:hAnsi="宋体" w:eastAsia="宋体" w:cs="宋体"/>
          <w:szCs w:val="21"/>
        </w:rPr>
      </w:pPr>
      <w:r>
        <w:rPr>
          <w:rFonts w:ascii="宋体" w:hAnsi="宋体" w:eastAsia="宋体" w:cs="宋体"/>
          <w:szCs w:val="21"/>
        </w:rPr>
        <w:t>如有需求变更或突发情况，及时调整项目计划，并通知所有项目组成员。</w:t>
      </w:r>
    </w:p>
    <w:p w14:paraId="4D7768A2">
      <w:pPr>
        <w:pStyle w:val="6"/>
        <w:numPr>
          <w:ilvl w:val="2"/>
          <w:numId w:val="39"/>
        </w:numPr>
        <w:spacing w:before="260" w:after="260" w:line="416" w:lineRule="auto"/>
        <w:jc w:val="both"/>
        <w:rPr>
          <w:rFonts w:hint="eastAsia" w:ascii="宋体" w:hAnsi="宋体" w:cstheme="majorBidi"/>
          <w:szCs w:val="24"/>
        </w:rPr>
      </w:pPr>
      <w:bookmarkStart w:id="261" w:name="_Toc180265667"/>
      <w:bookmarkStart w:id="262" w:name="_Toc179751547"/>
      <w:r>
        <w:rPr>
          <w:rFonts w:hint="eastAsia" w:ascii="宋体" w:hAnsi="宋体" w:cstheme="majorBidi"/>
          <w:szCs w:val="24"/>
        </w:rPr>
        <w:t>项目详细时间进度</w:t>
      </w:r>
      <w:bookmarkEnd w:id="261"/>
      <w:bookmarkEnd w:id="262"/>
    </w:p>
    <w:p w14:paraId="78F5F055">
      <w:pPr>
        <w:spacing w:line="360" w:lineRule="auto"/>
        <w:ind w:firstLine="420"/>
        <w:rPr>
          <w:rFonts w:hint="eastAsia" w:ascii="宋体" w:hAnsi="宋体" w:eastAsia="宋体"/>
        </w:rPr>
      </w:pPr>
      <w:r>
        <w:rPr>
          <w:rFonts w:hint="eastAsia" w:ascii="宋体" w:hAnsi="宋体" w:eastAsia="宋体"/>
        </w:rPr>
        <w:t>项目启动日期同样以2024年11月1日为例，项目分为两个阶段：第一阶段至2025年1月1日；第二阶段从签署初验报告之日起，为期12个月，项目详细时间进度计划如下</w:t>
      </w:r>
    </w:p>
    <w:p w14:paraId="0E11D2C9">
      <w:pPr>
        <w:spacing w:line="360" w:lineRule="auto"/>
        <w:rPr>
          <w:rFonts w:hint="eastAsia" w:ascii="宋体" w:hAnsi="宋体" w:eastAsia="宋体"/>
        </w:rPr>
      </w:pPr>
    </w:p>
    <w:p w14:paraId="5CD01DB1">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（一）第一阶段：系统本地化部署和联调测试（2024年11月1日 - 2025年1月1日）</w:t>
      </w:r>
    </w:p>
    <w:p w14:paraId="371003BD">
      <w:pPr>
        <w:numPr>
          <w:ilvl w:val="0"/>
          <w:numId w:val="85"/>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项目启动与需求分析（2024年11月1日 - 2024年11月10日）</w:t>
      </w:r>
    </w:p>
    <w:p w14:paraId="7C6C4DD6">
      <w:pPr>
        <w:numPr>
          <w:ilvl w:val="1"/>
          <w:numId w:val="85"/>
        </w:numPr>
        <w:snapToGrid w:val="0"/>
        <w:spacing w:line="360" w:lineRule="auto"/>
        <w:contextualSpacing/>
        <w:rPr>
          <w:rFonts w:hint="eastAsia" w:ascii="宋体" w:hAnsi="宋体" w:eastAsia="宋体"/>
        </w:rPr>
      </w:pPr>
      <w:r>
        <w:rPr>
          <w:rFonts w:hint="eastAsia" w:ascii="宋体" w:hAnsi="宋体" w:eastAsia="宋体"/>
        </w:rPr>
        <w:t>11月1日：召开项目启动会议，明确项目目标、范围、时间表、团队角色与职责，分配初步任务。</w:t>
      </w:r>
    </w:p>
    <w:p w14:paraId="61F30553">
      <w:pPr>
        <w:numPr>
          <w:ilvl w:val="1"/>
          <w:numId w:val="85"/>
        </w:numPr>
        <w:snapToGrid w:val="0"/>
        <w:spacing w:line="360" w:lineRule="auto"/>
        <w:contextualSpacing/>
        <w:rPr>
          <w:rFonts w:hint="eastAsia" w:ascii="宋体" w:hAnsi="宋体" w:eastAsia="宋体"/>
        </w:rPr>
      </w:pPr>
      <w:r>
        <w:rPr>
          <w:rFonts w:hint="eastAsia" w:ascii="宋体" w:hAnsi="宋体" w:eastAsia="宋体"/>
        </w:rPr>
        <w:t>11月2日-11月3日：业务分析师与烟草总公司业务代表进行面对面沟通，深入了解业务需求。</w:t>
      </w:r>
    </w:p>
    <w:p w14:paraId="43202149">
      <w:pPr>
        <w:numPr>
          <w:ilvl w:val="1"/>
          <w:numId w:val="85"/>
        </w:numPr>
        <w:snapToGrid w:val="0"/>
        <w:spacing w:line="360" w:lineRule="auto"/>
        <w:contextualSpacing/>
        <w:rPr>
          <w:rFonts w:hint="eastAsia" w:ascii="宋体" w:hAnsi="宋体" w:eastAsia="宋体"/>
        </w:rPr>
      </w:pPr>
      <w:r>
        <w:rPr>
          <w:rFonts w:hint="eastAsia" w:ascii="宋体" w:hAnsi="宋体" w:eastAsia="宋体"/>
        </w:rPr>
        <w:t>11月4日：业务分析师整理需求记录，形成初步需求文档。</w:t>
      </w:r>
    </w:p>
    <w:p w14:paraId="42A9C915">
      <w:pPr>
        <w:numPr>
          <w:ilvl w:val="1"/>
          <w:numId w:val="85"/>
        </w:numPr>
        <w:snapToGrid w:val="0"/>
        <w:spacing w:line="360" w:lineRule="auto"/>
        <w:contextualSpacing/>
        <w:rPr>
          <w:rFonts w:hint="eastAsia" w:ascii="宋体" w:hAnsi="宋体" w:eastAsia="宋体"/>
        </w:rPr>
      </w:pPr>
      <w:r>
        <w:rPr>
          <w:rFonts w:hint="eastAsia" w:ascii="宋体" w:hAnsi="宋体" w:eastAsia="宋体"/>
        </w:rPr>
        <w:t>11月5日-11月6日：内部团队对需求文档进行初步评审，提出修改建议。</w:t>
      </w:r>
    </w:p>
    <w:p w14:paraId="06940320">
      <w:pPr>
        <w:numPr>
          <w:ilvl w:val="1"/>
          <w:numId w:val="85"/>
        </w:numPr>
        <w:snapToGrid w:val="0"/>
        <w:spacing w:line="360" w:lineRule="auto"/>
        <w:contextualSpacing/>
        <w:rPr>
          <w:rFonts w:hint="eastAsia" w:ascii="宋体" w:hAnsi="宋体" w:eastAsia="宋体"/>
        </w:rPr>
      </w:pPr>
      <w:r>
        <w:rPr>
          <w:rFonts w:hint="eastAsia" w:ascii="宋体" w:hAnsi="宋体" w:eastAsia="宋体"/>
        </w:rPr>
        <w:t>11月7日：业务分析师根据评审意见修改需求文档，并再次与烟草总公司确认。</w:t>
      </w:r>
    </w:p>
    <w:p w14:paraId="77488397">
      <w:pPr>
        <w:numPr>
          <w:ilvl w:val="1"/>
          <w:numId w:val="85"/>
        </w:numPr>
        <w:snapToGrid w:val="0"/>
        <w:spacing w:line="360" w:lineRule="auto"/>
        <w:contextualSpacing/>
        <w:rPr>
          <w:rFonts w:hint="eastAsia" w:ascii="宋体" w:hAnsi="宋体" w:eastAsia="宋体"/>
        </w:rPr>
      </w:pPr>
      <w:r>
        <w:rPr>
          <w:rFonts w:hint="eastAsia" w:ascii="宋体" w:hAnsi="宋体" w:eastAsia="宋体"/>
        </w:rPr>
        <w:t>11月8日-11月9日：最终确认需求文档，形成正式的需求规格说明书。</w:t>
      </w:r>
    </w:p>
    <w:p w14:paraId="33ED3510">
      <w:pPr>
        <w:numPr>
          <w:ilvl w:val="1"/>
          <w:numId w:val="85"/>
        </w:numPr>
        <w:snapToGrid w:val="0"/>
        <w:spacing w:line="360" w:lineRule="auto"/>
        <w:contextualSpacing/>
        <w:rPr>
          <w:rFonts w:hint="eastAsia" w:ascii="宋体" w:hAnsi="宋体" w:eastAsia="宋体"/>
        </w:rPr>
      </w:pPr>
      <w:r>
        <w:rPr>
          <w:rFonts w:hint="eastAsia" w:ascii="宋体" w:hAnsi="宋体" w:eastAsia="宋体"/>
        </w:rPr>
        <w:t>11月10日：项目经理汇总项目启动阶段的工作成果，准备进入下一阶段。</w:t>
      </w:r>
    </w:p>
    <w:p w14:paraId="2E196E5F">
      <w:pPr>
        <w:numPr>
          <w:ilvl w:val="0"/>
          <w:numId w:val="85"/>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系统设计与开发与测试（2024年11月11日 - 2024年12月25日）</w:t>
      </w:r>
    </w:p>
    <w:p w14:paraId="20ABF7E6">
      <w:pPr>
        <w:numPr>
          <w:ilvl w:val="1"/>
          <w:numId w:val="85"/>
        </w:numPr>
        <w:snapToGrid w:val="0"/>
        <w:spacing w:line="360" w:lineRule="auto"/>
        <w:contextualSpacing/>
        <w:rPr>
          <w:rFonts w:hint="eastAsia" w:ascii="宋体" w:hAnsi="宋体" w:eastAsia="宋体"/>
        </w:rPr>
      </w:pPr>
      <w:r>
        <w:rPr>
          <w:rFonts w:hint="eastAsia" w:ascii="宋体" w:hAnsi="宋体" w:eastAsia="宋体"/>
        </w:rPr>
        <w:t>11月11日-11月13日：系统架构师根据需求规格说明书进行系统架构设计，形成系统架构图和数据流图。</w:t>
      </w:r>
    </w:p>
    <w:p w14:paraId="0051EDAD">
      <w:pPr>
        <w:numPr>
          <w:ilvl w:val="1"/>
          <w:numId w:val="85"/>
        </w:numPr>
        <w:snapToGrid w:val="0"/>
        <w:spacing w:line="360" w:lineRule="auto"/>
        <w:contextualSpacing/>
        <w:rPr>
          <w:rFonts w:hint="eastAsia" w:ascii="宋体" w:hAnsi="宋体" w:eastAsia="宋体"/>
        </w:rPr>
      </w:pPr>
      <w:r>
        <w:rPr>
          <w:rFonts w:hint="eastAsia" w:ascii="宋体" w:hAnsi="宋体" w:eastAsia="宋体"/>
        </w:rPr>
        <w:t>11月14日-11月15日：内部团队对系统架构进行评审，确保架构的合理性和可扩展性。</w:t>
      </w:r>
    </w:p>
    <w:p w14:paraId="6217C563">
      <w:pPr>
        <w:numPr>
          <w:ilvl w:val="1"/>
          <w:numId w:val="85"/>
        </w:numPr>
        <w:snapToGrid w:val="0"/>
        <w:spacing w:line="360" w:lineRule="auto"/>
        <w:contextualSpacing/>
        <w:rPr>
          <w:rFonts w:hint="eastAsia" w:ascii="宋体" w:hAnsi="宋体" w:eastAsia="宋体"/>
        </w:rPr>
      </w:pPr>
      <w:r>
        <w:rPr>
          <w:rFonts w:hint="eastAsia" w:ascii="宋体" w:hAnsi="宋体" w:eastAsia="宋体"/>
        </w:rPr>
        <w:t>11月14日-11月25日：第三方服务接口适配改造（包括不限于短信、人脸识别、支付、音视频通道接口等）。</w:t>
      </w:r>
    </w:p>
    <w:p w14:paraId="44FC4201">
      <w:pPr>
        <w:snapToGrid w:val="0"/>
        <w:spacing w:line="360" w:lineRule="auto"/>
        <w:ind w:left="1080"/>
        <w:contextualSpacing/>
        <w:rPr>
          <w:rFonts w:hint="eastAsia" w:ascii="宋体" w:hAnsi="宋体" w:eastAsia="宋体"/>
          <w:b/>
          <w:bCs/>
        </w:rPr>
      </w:pPr>
      <w:r>
        <w:rPr>
          <w:rFonts w:hint="eastAsia" w:ascii="宋体" w:hAnsi="宋体" w:eastAsia="宋体"/>
          <w:b/>
          <w:bCs/>
        </w:rPr>
        <w:t>迭代功能及新增功能分解后按周进行迭代开发：</w:t>
      </w:r>
    </w:p>
    <w:p w14:paraId="1C7CFCD4">
      <w:pPr>
        <w:numPr>
          <w:ilvl w:val="1"/>
          <w:numId w:val="85"/>
        </w:numPr>
        <w:snapToGrid w:val="0"/>
        <w:spacing w:line="360" w:lineRule="auto"/>
        <w:contextualSpacing/>
        <w:rPr>
          <w:rFonts w:hint="eastAsia" w:ascii="宋体" w:hAnsi="宋体" w:eastAsia="宋体"/>
        </w:rPr>
      </w:pPr>
      <w:r>
        <w:rPr>
          <w:rFonts w:hint="eastAsia" w:ascii="宋体" w:hAnsi="宋体" w:eastAsia="宋体"/>
        </w:rPr>
        <w:t>11月16日-11月22日：产品团队和开发团队根据系统架构图进行优化和二次开发功能的数据库设计、前端页面设计和接口设计。</w:t>
      </w:r>
    </w:p>
    <w:p w14:paraId="01FC0A0A">
      <w:pPr>
        <w:numPr>
          <w:ilvl w:val="1"/>
          <w:numId w:val="85"/>
        </w:numPr>
        <w:snapToGrid w:val="0"/>
        <w:spacing w:line="360" w:lineRule="auto"/>
        <w:contextualSpacing/>
        <w:rPr>
          <w:rFonts w:hint="eastAsia" w:ascii="宋体" w:hAnsi="宋体" w:eastAsia="宋体"/>
        </w:rPr>
      </w:pPr>
      <w:r>
        <w:rPr>
          <w:rFonts w:hint="eastAsia" w:ascii="宋体" w:hAnsi="宋体" w:eastAsia="宋体"/>
        </w:rPr>
        <w:t>11月16日-11月22日：开发团队进行系统开发，包括数据库搭建、前端页面实现和后端逻辑编写，部署到开发/ 测试环境，开发团队完成内部测试，包括单元测试、集成测试等，修复发现的bug。</w:t>
      </w:r>
    </w:p>
    <w:p w14:paraId="3D19DDE0">
      <w:pPr>
        <w:numPr>
          <w:ilvl w:val="1"/>
          <w:numId w:val="85"/>
        </w:numPr>
        <w:snapToGrid w:val="0"/>
        <w:spacing w:line="360" w:lineRule="auto"/>
        <w:contextualSpacing/>
        <w:rPr>
          <w:rFonts w:hint="eastAsia" w:ascii="宋体" w:hAnsi="宋体" w:eastAsia="宋体"/>
        </w:rPr>
      </w:pPr>
      <w:r>
        <w:rPr>
          <w:rFonts w:hint="eastAsia" w:ascii="宋体" w:hAnsi="宋体" w:eastAsia="宋体"/>
        </w:rPr>
        <w:t>11月16日-11月22日：测试团队编写本次迭代功能的测试用例，并在测试环境中进行初步测试（包括功能测试、性能测试等，记录测试结果）、提出问题和bug，研发团队进行修复。</w:t>
      </w:r>
    </w:p>
    <w:p w14:paraId="2461B5B8">
      <w:pPr>
        <w:numPr>
          <w:ilvl w:val="1"/>
          <w:numId w:val="85"/>
        </w:numPr>
        <w:snapToGrid w:val="0"/>
        <w:spacing w:line="360" w:lineRule="auto"/>
        <w:contextualSpacing/>
        <w:rPr>
          <w:rFonts w:hint="eastAsia" w:ascii="宋体" w:hAnsi="宋体" w:eastAsia="宋体"/>
        </w:rPr>
      </w:pPr>
      <w:r>
        <w:rPr>
          <w:rFonts w:hint="eastAsia" w:ascii="宋体" w:hAnsi="宋体" w:eastAsia="宋体"/>
        </w:rPr>
        <w:t>11月22日-12月22日：重复以上迭代设计、开发、部署、测试工作，完成所有优化功能和二次开发的功能。</w:t>
      </w:r>
    </w:p>
    <w:p w14:paraId="53850811">
      <w:pPr>
        <w:numPr>
          <w:ilvl w:val="1"/>
          <w:numId w:val="85"/>
        </w:numPr>
        <w:snapToGrid w:val="0"/>
        <w:spacing w:line="360" w:lineRule="auto"/>
        <w:contextualSpacing/>
        <w:rPr>
          <w:rFonts w:hint="eastAsia" w:ascii="宋体" w:hAnsi="宋体" w:eastAsia="宋体"/>
        </w:rPr>
      </w:pPr>
      <w:r>
        <w:rPr>
          <w:rFonts w:hint="eastAsia" w:ascii="宋体" w:hAnsi="宋体" w:eastAsia="宋体"/>
        </w:rPr>
        <w:t>12月23日-12月25日：项目经理组织内部评审会，确认开发成果和生产环境测试准备情况，准备进入下一阶段。</w:t>
      </w:r>
    </w:p>
    <w:p w14:paraId="3193652B">
      <w:pPr>
        <w:numPr>
          <w:ilvl w:val="0"/>
          <w:numId w:val="85"/>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本地化部署与系统测试（2024年11月11日 - 2024年12月25日）</w:t>
      </w:r>
    </w:p>
    <w:p w14:paraId="7E9CF929">
      <w:pPr>
        <w:numPr>
          <w:ilvl w:val="1"/>
          <w:numId w:val="85"/>
        </w:numPr>
        <w:snapToGrid w:val="0"/>
        <w:spacing w:line="360" w:lineRule="auto"/>
        <w:contextualSpacing/>
        <w:rPr>
          <w:rFonts w:hint="eastAsia" w:ascii="宋体" w:hAnsi="宋体" w:eastAsia="宋体"/>
        </w:rPr>
      </w:pPr>
      <w:r>
        <w:rPr>
          <w:rFonts w:hint="eastAsia" w:ascii="宋体" w:hAnsi="宋体" w:eastAsia="宋体"/>
        </w:rPr>
        <w:t>11月11日-11月13日：运维团队深入熟悉烟草总公司信息化系统部署要求和云平台部署方式、部署工具等。</w:t>
      </w:r>
    </w:p>
    <w:p w14:paraId="670F923A">
      <w:pPr>
        <w:numPr>
          <w:ilvl w:val="1"/>
          <w:numId w:val="85"/>
        </w:numPr>
        <w:snapToGrid w:val="0"/>
        <w:spacing w:line="360" w:lineRule="auto"/>
        <w:contextualSpacing/>
        <w:rPr>
          <w:rFonts w:hint="eastAsia" w:ascii="宋体" w:hAnsi="宋体" w:eastAsia="宋体"/>
        </w:rPr>
      </w:pPr>
      <w:r>
        <w:rPr>
          <w:rFonts w:hint="eastAsia" w:ascii="宋体" w:hAnsi="宋体" w:eastAsia="宋体"/>
        </w:rPr>
        <w:t>11月14日-11月15日：参加内部团队对系统架构进行评审，确保架构的合理性和可扩展性，根据部署环境提出具体方案和要求，并在云平台上进行开发测试环境的搭建，包括并限于服务器配置、数据库安装、系统安装等。</w:t>
      </w:r>
    </w:p>
    <w:p w14:paraId="5B69B07B">
      <w:pPr>
        <w:numPr>
          <w:ilvl w:val="1"/>
          <w:numId w:val="85"/>
        </w:numPr>
        <w:snapToGrid w:val="0"/>
        <w:spacing w:line="360" w:lineRule="auto"/>
        <w:contextualSpacing/>
        <w:rPr>
          <w:rFonts w:hint="eastAsia" w:ascii="宋体" w:hAnsi="宋体" w:eastAsia="宋体"/>
        </w:rPr>
      </w:pPr>
      <w:r>
        <w:rPr>
          <w:rFonts w:hint="eastAsia" w:ascii="宋体" w:hAnsi="宋体" w:eastAsia="宋体"/>
        </w:rPr>
        <w:t>11月14日-12月22日：运维团队配合产品、研发团队的迭代开发工作并进行系统本地化开发测试环境的适配改造（包括第三方云服务接口如短信、人脸识别、支付、音视频通道接口等）、部署尝试，并进行系统环境优化，包括性能调优、安全配置等。</w:t>
      </w:r>
    </w:p>
    <w:p w14:paraId="00A450BB">
      <w:pPr>
        <w:numPr>
          <w:ilvl w:val="1"/>
          <w:numId w:val="85"/>
        </w:numPr>
        <w:snapToGrid w:val="0"/>
        <w:spacing w:line="360" w:lineRule="auto"/>
        <w:contextualSpacing/>
        <w:rPr>
          <w:rFonts w:hint="eastAsia" w:ascii="宋体" w:hAnsi="宋体" w:eastAsia="宋体"/>
        </w:rPr>
      </w:pPr>
      <w:r>
        <w:rPr>
          <w:rFonts w:hint="eastAsia" w:ascii="宋体" w:hAnsi="宋体" w:eastAsia="宋体"/>
        </w:rPr>
        <w:t>12月23日-12月24日：运维团队、测试团队在生产环境上部署系统，并进行相应的工作，测试团队完成生产环境的测试准备。</w:t>
      </w:r>
    </w:p>
    <w:p w14:paraId="3AB9B494">
      <w:pPr>
        <w:numPr>
          <w:ilvl w:val="1"/>
          <w:numId w:val="85"/>
        </w:numPr>
        <w:snapToGrid w:val="0"/>
        <w:spacing w:line="360" w:lineRule="auto"/>
        <w:contextualSpacing/>
        <w:rPr>
          <w:rFonts w:hint="eastAsia" w:ascii="宋体" w:hAnsi="宋体" w:eastAsia="宋体"/>
        </w:rPr>
      </w:pPr>
      <w:r>
        <w:rPr>
          <w:rFonts w:hint="eastAsia" w:ascii="宋体" w:hAnsi="宋体" w:eastAsia="宋体"/>
        </w:rPr>
        <w:t>12月25日：项目经理组织内部评审会，确认开发成果和生产环境测试准备情况，准备进入下一阶段。</w:t>
      </w:r>
    </w:p>
    <w:p w14:paraId="015176C6">
      <w:pPr>
        <w:numPr>
          <w:ilvl w:val="0"/>
          <w:numId w:val="85"/>
        </w:numPr>
        <w:snapToGrid w:val="0"/>
        <w:spacing w:line="360" w:lineRule="auto"/>
        <w:contextualSpacing/>
        <w:rPr>
          <w:rFonts w:hint="eastAsia" w:ascii="宋体" w:hAnsi="宋体" w:eastAsia="宋体"/>
        </w:rPr>
      </w:pPr>
      <w:r>
        <w:rPr>
          <w:rFonts w:hint="eastAsia" w:ascii="宋体" w:hAnsi="宋体" w:eastAsia="宋体" w:cs="宋体"/>
          <w:b/>
          <w:bCs/>
          <w:szCs w:val="21"/>
        </w:rPr>
        <w:t>生产环境联调测试与优化（2024年12月26日 - 2024年12月31日）</w:t>
      </w:r>
    </w:p>
    <w:p w14:paraId="2D46432D">
      <w:pPr>
        <w:numPr>
          <w:ilvl w:val="1"/>
          <w:numId w:val="85"/>
        </w:numPr>
        <w:snapToGrid w:val="0"/>
        <w:spacing w:line="360" w:lineRule="auto"/>
        <w:contextualSpacing/>
        <w:rPr>
          <w:rFonts w:hint="eastAsia" w:ascii="宋体" w:hAnsi="宋体" w:eastAsia="宋体"/>
        </w:rPr>
      </w:pPr>
      <w:r>
        <w:rPr>
          <w:rFonts w:hint="eastAsia" w:ascii="宋体" w:hAnsi="宋体" w:eastAsia="宋体"/>
        </w:rPr>
        <w:t>12月26日-12月27日：开发团队与测试团队在生产环境中共同进行联调测试，确保各模块协同工作正常。</w:t>
      </w:r>
    </w:p>
    <w:p w14:paraId="7B8BE67E">
      <w:pPr>
        <w:numPr>
          <w:ilvl w:val="1"/>
          <w:numId w:val="85"/>
        </w:numPr>
        <w:snapToGrid w:val="0"/>
        <w:spacing w:line="360" w:lineRule="auto"/>
        <w:contextualSpacing/>
        <w:rPr>
          <w:rFonts w:hint="eastAsia" w:ascii="宋体" w:hAnsi="宋体" w:eastAsia="宋体"/>
        </w:rPr>
      </w:pPr>
      <w:r>
        <w:rPr>
          <w:rFonts w:hint="eastAsia" w:ascii="宋体" w:hAnsi="宋体" w:eastAsia="宋体"/>
        </w:rPr>
        <w:t>12月28日-12月30日：测试团队整理联调测试结果，形成测试报告，开发团队根据测试报告修复发现的bug，并进行必要的调整，测试团队再进行回归测试，确保修复的bug不再出现，并验证系统性能。</w:t>
      </w:r>
    </w:p>
    <w:p w14:paraId="4116709D">
      <w:pPr>
        <w:numPr>
          <w:ilvl w:val="1"/>
          <w:numId w:val="85"/>
        </w:numPr>
        <w:snapToGrid w:val="0"/>
        <w:spacing w:line="360" w:lineRule="auto"/>
        <w:contextualSpacing/>
        <w:rPr>
          <w:rFonts w:hint="eastAsia" w:ascii="宋体" w:hAnsi="宋体" w:eastAsia="宋体"/>
        </w:rPr>
      </w:pPr>
      <w:r>
        <w:rPr>
          <w:rFonts w:hint="eastAsia" w:ascii="宋体" w:hAnsi="宋体" w:eastAsia="宋体"/>
        </w:rPr>
        <w:t>12月30日：项目经理组织收集各团队整理的初验材料，包括需求文档、设计文档、测试报告、用户手册等，并组织内部评审会，确认联调测试成果和系统性能，准备进入系统初验阶段。</w:t>
      </w:r>
    </w:p>
    <w:p w14:paraId="14EB0A6F">
      <w:pPr>
        <w:numPr>
          <w:ilvl w:val="1"/>
          <w:numId w:val="85"/>
        </w:numPr>
        <w:snapToGrid w:val="0"/>
        <w:spacing w:line="360" w:lineRule="auto"/>
        <w:contextualSpacing/>
        <w:rPr>
          <w:rFonts w:hint="eastAsia" w:ascii="宋体" w:hAnsi="宋体" w:eastAsia="宋体"/>
        </w:rPr>
      </w:pPr>
      <w:r>
        <w:rPr>
          <w:rFonts w:hint="eastAsia" w:ascii="宋体" w:hAnsi="宋体" w:eastAsia="宋体"/>
        </w:rPr>
        <w:t>12月31日：与烟草总公司项目组沟通，进行初验演示，展示系统功能与性能</w:t>
      </w:r>
    </w:p>
    <w:p w14:paraId="17FBFE2C">
      <w:pPr>
        <w:numPr>
          <w:ilvl w:val="0"/>
          <w:numId w:val="85"/>
        </w:numPr>
        <w:snapToGrid w:val="0"/>
        <w:spacing w:line="360" w:lineRule="auto"/>
        <w:contextualSpacing/>
        <w:rPr>
          <w:rFonts w:hint="eastAsia" w:ascii="宋体" w:hAnsi="宋体" w:eastAsia="宋体"/>
        </w:rPr>
      </w:pPr>
      <w:r>
        <w:rPr>
          <w:rFonts w:hint="eastAsia" w:ascii="宋体" w:hAnsi="宋体" w:eastAsia="宋体" w:cs="宋体"/>
          <w:b/>
          <w:bCs/>
          <w:szCs w:val="21"/>
        </w:rPr>
        <w:t>初验准备与签署初验报告（2025年1月1日）</w:t>
      </w:r>
    </w:p>
    <w:p w14:paraId="39529A27">
      <w:pPr>
        <w:numPr>
          <w:ilvl w:val="1"/>
          <w:numId w:val="85"/>
        </w:numPr>
        <w:snapToGrid w:val="0"/>
        <w:spacing w:line="360" w:lineRule="auto"/>
        <w:contextualSpacing/>
        <w:rPr>
          <w:rFonts w:hint="eastAsia" w:ascii="宋体" w:hAnsi="宋体" w:eastAsia="宋体"/>
        </w:rPr>
      </w:pPr>
      <w:r>
        <w:rPr>
          <w:rFonts w:hint="eastAsia" w:ascii="宋体" w:hAnsi="宋体" w:eastAsia="宋体"/>
        </w:rPr>
        <w:t>1月1日：签署初验报告，正式进入第二阶段。</w:t>
      </w:r>
    </w:p>
    <w:p w14:paraId="30F09E8A">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（二）第二阶段：上线运行与运营运维服务（自签署初验报告之日起，为期12个月）</w:t>
      </w:r>
    </w:p>
    <w:p w14:paraId="19FEDBD8">
      <w:pPr>
        <w:numPr>
          <w:ilvl w:val="0"/>
          <w:numId w:val="86"/>
        </w:numPr>
        <w:snapToGrid w:val="0"/>
        <w:spacing w:line="360" w:lineRule="auto"/>
        <w:contextualSpacing/>
        <w:rPr>
          <w:rFonts w:hint="eastAsia" w:ascii="宋体" w:hAnsi="宋体" w:eastAsia="宋体"/>
        </w:rPr>
      </w:pPr>
      <w:r>
        <w:rPr>
          <w:rFonts w:hint="eastAsia" w:ascii="宋体" w:hAnsi="宋体" w:eastAsia="宋体" w:cs="宋体"/>
          <w:b/>
          <w:bCs/>
          <w:szCs w:val="21"/>
        </w:rPr>
        <w:t>系统上线与培训（签署初验报告后1周内，假设签署日期为2025年1月1日，则时间为2025年1月2日 - 2025年1月30日）</w:t>
      </w:r>
    </w:p>
    <w:p w14:paraId="61449A6D">
      <w:pPr>
        <w:numPr>
          <w:ilvl w:val="1"/>
          <w:numId w:val="86"/>
        </w:numPr>
        <w:snapToGrid w:val="0"/>
        <w:spacing w:line="360" w:lineRule="auto"/>
        <w:contextualSpacing/>
        <w:rPr>
          <w:rFonts w:hint="eastAsia" w:ascii="宋体" w:hAnsi="宋体" w:eastAsia="宋体"/>
        </w:rPr>
      </w:pPr>
      <w:r>
        <w:rPr>
          <w:rFonts w:hint="eastAsia" w:ascii="宋体" w:hAnsi="宋体" w:eastAsia="宋体"/>
        </w:rPr>
        <w:t>1月2日：运维团队进行系统公开上线前的最后检查，确保系统配置正确。</w:t>
      </w:r>
    </w:p>
    <w:p w14:paraId="1FE520D7">
      <w:pPr>
        <w:numPr>
          <w:ilvl w:val="1"/>
          <w:numId w:val="86"/>
        </w:numPr>
        <w:snapToGrid w:val="0"/>
        <w:spacing w:line="360" w:lineRule="auto"/>
        <w:contextualSpacing/>
        <w:rPr>
          <w:rFonts w:hint="eastAsia" w:ascii="宋体" w:hAnsi="宋体" w:eastAsia="宋体"/>
        </w:rPr>
      </w:pPr>
      <w:r>
        <w:rPr>
          <w:rFonts w:hint="eastAsia" w:ascii="宋体" w:hAnsi="宋体" w:eastAsia="宋体"/>
        </w:rPr>
        <w:t>1月3日：正式进行系统公开上线，监控系统运行情况。</w:t>
      </w:r>
    </w:p>
    <w:p w14:paraId="34299865">
      <w:pPr>
        <w:numPr>
          <w:ilvl w:val="1"/>
          <w:numId w:val="86"/>
        </w:numPr>
        <w:snapToGrid w:val="0"/>
        <w:spacing w:line="360" w:lineRule="auto"/>
        <w:contextualSpacing/>
        <w:rPr>
          <w:rFonts w:hint="eastAsia" w:ascii="宋体" w:hAnsi="宋体" w:eastAsia="宋体"/>
        </w:rPr>
      </w:pPr>
      <w:r>
        <w:rPr>
          <w:rFonts w:hint="eastAsia" w:ascii="宋体" w:hAnsi="宋体" w:eastAsia="宋体"/>
        </w:rPr>
        <w:t>1月4日-1月15日：培训团队制定培训计划，准备培训材料、同时准备系统申请</w:t>
      </w:r>
      <w:r>
        <w:rPr>
          <w:rFonts w:hint="eastAsia" w:ascii="宋体" w:hAnsi="宋体" w:eastAsia="宋体" w:cs="宋体"/>
          <w:szCs w:val="21"/>
        </w:rPr>
        <w:t>电子招标投标系统三星认证的所有资料</w:t>
      </w:r>
      <w:r>
        <w:rPr>
          <w:rFonts w:hint="eastAsia" w:ascii="宋体" w:hAnsi="宋体" w:eastAsia="宋体"/>
          <w:szCs w:val="21"/>
        </w:rPr>
        <w:t>。</w:t>
      </w:r>
    </w:p>
    <w:p w14:paraId="3AC82EB0">
      <w:pPr>
        <w:numPr>
          <w:ilvl w:val="1"/>
          <w:numId w:val="86"/>
        </w:numPr>
        <w:snapToGrid w:val="0"/>
        <w:spacing w:line="360" w:lineRule="auto"/>
        <w:contextualSpacing/>
        <w:rPr>
          <w:rFonts w:hint="eastAsia" w:ascii="宋体" w:hAnsi="宋体" w:eastAsia="宋体"/>
        </w:rPr>
      </w:pPr>
      <w:r>
        <w:rPr>
          <w:rFonts w:hint="eastAsia" w:ascii="宋体" w:hAnsi="宋体" w:eastAsia="宋体"/>
        </w:rPr>
        <w:t>1月6日-1月17日：对烟草总公司员工进行系统操作培训，确保员工能够熟练使用系统。</w:t>
      </w:r>
    </w:p>
    <w:p w14:paraId="2CB3E12B">
      <w:pPr>
        <w:numPr>
          <w:ilvl w:val="1"/>
          <w:numId w:val="86"/>
        </w:numPr>
        <w:snapToGrid w:val="0"/>
        <w:spacing w:line="360" w:lineRule="auto"/>
        <w:contextualSpacing/>
        <w:rPr>
          <w:rFonts w:hint="eastAsia" w:ascii="宋体" w:hAnsi="宋体" w:eastAsia="宋体"/>
        </w:rPr>
      </w:pPr>
      <w:r>
        <w:rPr>
          <w:rFonts w:hint="eastAsia" w:ascii="宋体" w:hAnsi="宋体" w:eastAsia="宋体"/>
        </w:rPr>
        <w:t>1月18日：内部团队对上线与培训成果进行评审，确保系统正常运行且员工具备操作能力。</w:t>
      </w:r>
    </w:p>
    <w:p w14:paraId="0BD1F030">
      <w:pPr>
        <w:numPr>
          <w:ilvl w:val="1"/>
          <w:numId w:val="86"/>
        </w:numPr>
        <w:snapToGrid w:val="0"/>
        <w:spacing w:line="360" w:lineRule="auto"/>
        <w:contextualSpacing/>
        <w:rPr>
          <w:rFonts w:hint="eastAsia" w:ascii="宋体" w:hAnsi="宋体" w:eastAsia="宋体"/>
        </w:rPr>
      </w:pPr>
      <w:r>
        <w:rPr>
          <w:rFonts w:hint="eastAsia" w:ascii="宋体" w:hAnsi="宋体" w:eastAsia="宋体"/>
        </w:rPr>
        <w:t>1月19日-1月30日，选取试点单位试点项目，做好试点项目准备工作。</w:t>
      </w:r>
    </w:p>
    <w:p w14:paraId="0FF81272">
      <w:pPr>
        <w:numPr>
          <w:ilvl w:val="0"/>
          <w:numId w:val="86"/>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系统运营与监控，通过三星认证（签署初验报告后1个月 - 11个月，即2025年1月9日 - 2025年11月30日）</w:t>
      </w:r>
    </w:p>
    <w:p w14:paraId="3AE84AF3">
      <w:pPr>
        <w:numPr>
          <w:ilvl w:val="1"/>
          <w:numId w:val="86"/>
        </w:numPr>
        <w:snapToGrid w:val="0"/>
        <w:spacing w:line="360" w:lineRule="auto"/>
        <w:contextualSpacing/>
        <w:rPr>
          <w:rFonts w:hint="eastAsia" w:ascii="宋体" w:hAnsi="宋体" w:eastAsia="宋体"/>
        </w:rPr>
      </w:pPr>
      <w:r>
        <w:rPr>
          <w:rFonts w:hint="eastAsia" w:ascii="宋体" w:hAnsi="宋体" w:eastAsia="宋体"/>
        </w:rPr>
        <w:t>配合</w:t>
      </w:r>
      <w:r>
        <w:rPr>
          <w:rFonts w:hint="eastAsia" w:ascii="宋体" w:hAnsi="宋体" w:eastAsia="宋体" w:cs="宋体"/>
          <w:szCs w:val="21"/>
        </w:rPr>
        <w:t>电子招标投标系统三星认证组的工作和测试，力争一次</w:t>
      </w:r>
      <w:r>
        <w:rPr>
          <w:rFonts w:hint="eastAsia" w:ascii="宋体" w:hAnsi="宋体" w:eastAsia="宋体"/>
        </w:rPr>
        <w:t>通过测试，获得</w:t>
      </w:r>
      <w:r>
        <w:rPr>
          <w:rFonts w:hint="eastAsia" w:ascii="宋体" w:hAnsi="宋体" w:eastAsia="宋体" w:cs="宋体"/>
          <w:szCs w:val="21"/>
        </w:rPr>
        <w:t>电子招标投标系统三星认证。</w:t>
      </w:r>
    </w:p>
    <w:p w14:paraId="7C901435">
      <w:pPr>
        <w:numPr>
          <w:ilvl w:val="1"/>
          <w:numId w:val="86"/>
        </w:numPr>
        <w:snapToGrid w:val="0"/>
        <w:spacing w:line="360" w:lineRule="auto"/>
        <w:contextualSpacing/>
        <w:rPr>
          <w:rFonts w:hint="eastAsia" w:ascii="宋体" w:hAnsi="宋体" w:eastAsia="宋体"/>
        </w:rPr>
      </w:pPr>
      <w:r>
        <w:rPr>
          <w:rFonts w:hint="eastAsia" w:ascii="宋体" w:hAnsi="宋体" w:eastAsia="宋体" w:cs="宋体"/>
          <w:szCs w:val="21"/>
        </w:rPr>
        <w:t>配合完成系统安全等保三级检测认证工作。</w:t>
      </w:r>
    </w:p>
    <w:p w14:paraId="3E641D7B">
      <w:pPr>
        <w:numPr>
          <w:ilvl w:val="1"/>
          <w:numId w:val="86"/>
        </w:numPr>
        <w:snapToGrid w:val="0"/>
        <w:spacing w:line="360" w:lineRule="auto"/>
        <w:contextualSpacing/>
        <w:rPr>
          <w:rFonts w:hint="eastAsia" w:ascii="宋体" w:hAnsi="宋体" w:eastAsia="宋体"/>
        </w:rPr>
      </w:pPr>
      <w:r>
        <w:rPr>
          <w:rFonts w:hint="eastAsia" w:ascii="宋体" w:hAnsi="宋体" w:eastAsia="宋体"/>
        </w:rPr>
        <w:t>每月1日：运维团队制定本月运营计划，包括系统监控、故障处理、性能优化等，运营团队制定本月运营计划，包括试点单位试点项目保障计划、项目技术支持资源调配安排计划等。</w:t>
      </w:r>
    </w:p>
    <w:p w14:paraId="21CBC4A3">
      <w:pPr>
        <w:numPr>
          <w:ilvl w:val="1"/>
          <w:numId w:val="86"/>
        </w:numPr>
        <w:snapToGrid w:val="0"/>
        <w:spacing w:line="360" w:lineRule="auto"/>
        <w:contextualSpacing/>
        <w:rPr>
          <w:rFonts w:hint="eastAsia" w:ascii="宋体" w:hAnsi="宋体" w:eastAsia="宋体"/>
        </w:rPr>
      </w:pPr>
      <w:r>
        <w:rPr>
          <w:rFonts w:hint="eastAsia" w:ascii="宋体" w:hAnsi="宋体" w:eastAsia="宋体"/>
        </w:rPr>
        <w:t>每月2日-30日：进行系统性能监控，收集并分析系统日志，及时发现并解决潜在问题，运营团队进行项目监控，收集项目运行过程中的问题和反馈，系统层面的进行系统优化和故障处理，系统功能、业务逻辑层面的移交产品团队。</w:t>
      </w:r>
    </w:p>
    <w:p w14:paraId="21436999">
      <w:pPr>
        <w:numPr>
          <w:ilvl w:val="1"/>
          <w:numId w:val="86"/>
        </w:numPr>
        <w:snapToGrid w:val="0"/>
        <w:spacing w:line="360" w:lineRule="auto"/>
        <w:contextualSpacing/>
        <w:rPr>
          <w:rFonts w:hint="eastAsia" w:ascii="宋体" w:hAnsi="宋体" w:eastAsia="宋体"/>
        </w:rPr>
      </w:pPr>
      <w:r>
        <w:rPr>
          <w:rFonts w:hint="eastAsia" w:ascii="宋体" w:hAnsi="宋体" w:eastAsia="宋体"/>
        </w:rPr>
        <w:t>每月15日：运营及运维团队对本月月中运营运维情况进行内部总结和评审，准备下半月运营运维资源规划和调整。</w:t>
      </w:r>
    </w:p>
    <w:p w14:paraId="3236D7E4">
      <w:pPr>
        <w:numPr>
          <w:ilvl w:val="1"/>
          <w:numId w:val="86"/>
        </w:numPr>
        <w:snapToGrid w:val="0"/>
        <w:spacing w:line="360" w:lineRule="auto"/>
        <w:contextualSpacing/>
        <w:rPr>
          <w:rFonts w:hint="eastAsia" w:ascii="宋体" w:hAnsi="宋体" w:eastAsia="宋体"/>
        </w:rPr>
      </w:pPr>
      <w:r>
        <w:rPr>
          <w:rFonts w:hint="eastAsia" w:ascii="宋体" w:hAnsi="宋体" w:eastAsia="宋体"/>
        </w:rPr>
        <w:t>每月16日：与烟草总公司项目组沟通，了解总公司及下属单位系统使用情况，收集最终用户的反馈。</w:t>
      </w:r>
    </w:p>
    <w:p w14:paraId="7D052057">
      <w:pPr>
        <w:numPr>
          <w:ilvl w:val="1"/>
          <w:numId w:val="86"/>
        </w:numPr>
        <w:snapToGrid w:val="0"/>
        <w:spacing w:line="360" w:lineRule="auto"/>
        <w:contextualSpacing/>
        <w:rPr>
          <w:rFonts w:hint="eastAsia" w:ascii="宋体" w:hAnsi="宋体" w:eastAsia="宋体"/>
        </w:rPr>
      </w:pPr>
      <w:r>
        <w:rPr>
          <w:rFonts w:hint="eastAsia" w:ascii="宋体" w:hAnsi="宋体" w:eastAsia="宋体"/>
        </w:rPr>
        <w:t>每月28日：对本月工作进行总结，形成月度运营与运维工作报告，并汇报给</w:t>
      </w:r>
      <w:bookmarkStart w:id="263" w:name="OLE_LINK18"/>
      <w:r>
        <w:rPr>
          <w:rFonts w:hint="eastAsia" w:ascii="宋体" w:hAnsi="宋体" w:eastAsia="宋体"/>
        </w:rPr>
        <w:t>烟草总公司项目组</w:t>
      </w:r>
      <w:bookmarkEnd w:id="263"/>
      <w:r>
        <w:rPr>
          <w:rFonts w:hint="eastAsia" w:ascii="宋体" w:hAnsi="宋体" w:eastAsia="宋体"/>
        </w:rPr>
        <w:t>。</w:t>
      </w:r>
    </w:p>
    <w:p w14:paraId="48B693A1">
      <w:pPr>
        <w:numPr>
          <w:ilvl w:val="1"/>
          <w:numId w:val="86"/>
        </w:numPr>
        <w:snapToGrid w:val="0"/>
        <w:spacing w:line="360" w:lineRule="auto"/>
        <w:contextualSpacing/>
        <w:rPr>
          <w:rFonts w:hint="eastAsia" w:ascii="宋体" w:hAnsi="宋体" w:eastAsia="宋体"/>
        </w:rPr>
      </w:pPr>
      <w:r>
        <w:rPr>
          <w:rFonts w:hint="eastAsia" w:ascii="宋体" w:hAnsi="宋体" w:eastAsia="宋体"/>
        </w:rPr>
        <w:t>每月30日：准备下月运营运维工作计划和资源安排。</w:t>
      </w:r>
    </w:p>
    <w:p w14:paraId="1F4A623B">
      <w:pPr>
        <w:numPr>
          <w:ilvl w:val="0"/>
          <w:numId w:val="86"/>
        </w:numPr>
        <w:snapToGrid w:val="0"/>
        <w:spacing w:line="360" w:lineRule="auto"/>
        <w:contextualSpacing/>
        <w:rPr>
          <w:rFonts w:hint="eastAsia" w:ascii="宋体" w:hAnsi="宋体" w:eastAsia="宋体"/>
        </w:rPr>
      </w:pPr>
      <w:bookmarkStart w:id="264" w:name="OLE_LINK17"/>
      <w:r>
        <w:rPr>
          <w:rFonts w:hint="eastAsia" w:ascii="宋体" w:hAnsi="宋体" w:eastAsia="宋体" w:cs="宋体"/>
          <w:b/>
          <w:bCs/>
          <w:szCs w:val="21"/>
        </w:rPr>
        <w:t>系统迭代与优化</w:t>
      </w:r>
      <w:bookmarkEnd w:id="264"/>
      <w:r>
        <w:rPr>
          <w:rFonts w:hint="eastAsia" w:ascii="宋体" w:hAnsi="宋体" w:eastAsia="宋体" w:cs="宋体"/>
          <w:b/>
          <w:bCs/>
          <w:szCs w:val="21"/>
        </w:rPr>
        <w:t>，定期维护与大版本升级（签署初验报告后2个月、6个月、10个月，即2025年3月1日、2025年7月1日、2025年11月1日附近进行大版本升级，小版本升级每周一次）</w:t>
      </w:r>
    </w:p>
    <w:p w14:paraId="03A723A4">
      <w:pPr>
        <w:numPr>
          <w:ilvl w:val="1"/>
          <w:numId w:val="86"/>
        </w:numPr>
        <w:snapToGrid w:val="0"/>
        <w:spacing w:line="360" w:lineRule="auto"/>
        <w:contextualSpacing/>
        <w:rPr>
          <w:rFonts w:hint="eastAsia" w:ascii="宋体" w:hAnsi="宋体" w:eastAsia="宋体"/>
        </w:rPr>
      </w:pPr>
      <w:r>
        <w:rPr>
          <w:rFonts w:hint="eastAsia" w:ascii="宋体" w:hAnsi="宋体" w:eastAsia="宋体"/>
        </w:rPr>
        <w:t>根据项目实施试点单位试点项目的安排，项目运营团队做好试点项目技术支持工作，确保</w:t>
      </w:r>
      <w:bookmarkStart w:id="265" w:name="OLE_LINK19"/>
      <w:r>
        <w:rPr>
          <w:rFonts w:hint="eastAsia" w:ascii="宋体" w:hAnsi="宋体" w:eastAsia="宋体"/>
        </w:rPr>
        <w:t>试点项目顺利完成</w:t>
      </w:r>
      <w:bookmarkEnd w:id="265"/>
      <w:r>
        <w:rPr>
          <w:rFonts w:hint="eastAsia" w:ascii="宋体" w:hAnsi="宋体" w:eastAsia="宋体"/>
        </w:rPr>
        <w:t>。</w:t>
      </w:r>
    </w:p>
    <w:p w14:paraId="3E0EF284">
      <w:pPr>
        <w:numPr>
          <w:ilvl w:val="1"/>
          <w:numId w:val="86"/>
        </w:numPr>
        <w:snapToGrid w:val="0"/>
        <w:spacing w:line="360" w:lineRule="auto"/>
        <w:contextualSpacing/>
        <w:rPr>
          <w:rFonts w:hint="eastAsia" w:ascii="宋体" w:hAnsi="宋体" w:eastAsia="宋体"/>
        </w:rPr>
      </w:pPr>
      <w:r>
        <w:rPr>
          <w:rFonts w:hint="eastAsia" w:ascii="宋体" w:hAnsi="宋体" w:eastAsia="宋体" w:cs="宋体"/>
          <w:szCs w:val="21"/>
        </w:rPr>
        <w:t>产品和研发团队遵照招标人在使用系统过程中提出的要求进行适配改造和二次开发，并根据轻重缓急科学划分到三次大的版本迭代过程中，每次大版本迭代都包括版本功能规划、设计、研发、调试、部署、再优化直至运行，最终完成本次大版本系统交付。</w:t>
      </w:r>
    </w:p>
    <w:p w14:paraId="5E7A84AC">
      <w:pPr>
        <w:numPr>
          <w:ilvl w:val="1"/>
          <w:numId w:val="86"/>
        </w:numPr>
        <w:snapToGrid w:val="0"/>
        <w:spacing w:line="360" w:lineRule="auto"/>
        <w:contextualSpacing/>
        <w:rPr>
          <w:rFonts w:hint="eastAsia" w:ascii="宋体" w:hAnsi="宋体" w:eastAsia="宋体"/>
        </w:rPr>
      </w:pPr>
      <w:r>
        <w:rPr>
          <w:rFonts w:hint="eastAsia" w:ascii="宋体" w:hAnsi="宋体" w:eastAsia="宋体" w:cs="宋体"/>
          <w:szCs w:val="21"/>
        </w:rPr>
        <w:t>并完成与其他集成商、开发商之间的技术协调和集成实现</w:t>
      </w:r>
      <w:r>
        <w:rPr>
          <w:rFonts w:ascii="宋体" w:hAnsi="宋体" w:eastAsia="宋体" w:cs="宋体"/>
          <w:szCs w:val="21"/>
        </w:rPr>
        <w:t>。</w:t>
      </w:r>
    </w:p>
    <w:p w14:paraId="1D40A8B5">
      <w:pPr>
        <w:numPr>
          <w:ilvl w:val="1"/>
          <w:numId w:val="86"/>
        </w:numPr>
        <w:snapToGrid w:val="0"/>
        <w:spacing w:line="360" w:lineRule="auto"/>
        <w:contextualSpacing/>
        <w:rPr>
          <w:rFonts w:hint="eastAsia" w:ascii="宋体" w:hAnsi="宋体" w:eastAsia="宋体"/>
        </w:rPr>
      </w:pPr>
      <w:r>
        <w:rPr>
          <w:rFonts w:hint="eastAsia" w:ascii="宋体" w:hAnsi="宋体" w:eastAsia="宋体"/>
        </w:rPr>
        <w:t>大版本升级前2周：产品和研发团队根据最终用户需求变化、以及运维团队和测试团队反馈问题，及时调整和维护本次大版本升级计划的内容，并和烟草总公司项目组达成一致。</w:t>
      </w:r>
    </w:p>
    <w:p w14:paraId="5494E2A6">
      <w:pPr>
        <w:numPr>
          <w:ilvl w:val="1"/>
          <w:numId w:val="86"/>
        </w:numPr>
        <w:snapToGrid w:val="0"/>
        <w:spacing w:line="360" w:lineRule="auto"/>
        <w:contextualSpacing/>
        <w:rPr>
          <w:rFonts w:hint="eastAsia" w:ascii="宋体" w:hAnsi="宋体" w:eastAsia="宋体"/>
        </w:rPr>
      </w:pPr>
      <w:r>
        <w:rPr>
          <w:rFonts w:hint="eastAsia" w:ascii="宋体" w:hAnsi="宋体" w:eastAsia="宋体"/>
        </w:rPr>
        <w:t>大版本升级前1周：运维团队准备维护/升级所需的资源和环境。</w:t>
      </w:r>
    </w:p>
    <w:p w14:paraId="6EC7CB4D">
      <w:pPr>
        <w:numPr>
          <w:ilvl w:val="1"/>
          <w:numId w:val="86"/>
        </w:numPr>
        <w:snapToGrid w:val="0"/>
        <w:spacing w:line="360" w:lineRule="auto"/>
        <w:contextualSpacing/>
        <w:rPr>
          <w:rFonts w:hint="eastAsia" w:ascii="宋体" w:hAnsi="宋体" w:eastAsia="宋体"/>
        </w:rPr>
      </w:pPr>
      <w:r>
        <w:rPr>
          <w:rFonts w:hint="eastAsia" w:ascii="宋体" w:hAnsi="宋体" w:eastAsia="宋体"/>
        </w:rPr>
        <w:t>大版本升级当天：运维团队、测试团队、研发团队通力配合进行系统的迭代升级工作，确保系统迭代稳定进行。</w:t>
      </w:r>
    </w:p>
    <w:p w14:paraId="01CF3061">
      <w:pPr>
        <w:numPr>
          <w:ilvl w:val="1"/>
          <w:numId w:val="86"/>
        </w:numPr>
        <w:snapToGrid w:val="0"/>
        <w:spacing w:line="360" w:lineRule="auto"/>
        <w:contextualSpacing/>
        <w:rPr>
          <w:rFonts w:hint="eastAsia" w:ascii="宋体" w:hAnsi="宋体" w:eastAsia="宋体"/>
        </w:rPr>
      </w:pPr>
      <w:r>
        <w:rPr>
          <w:rFonts w:hint="eastAsia" w:ascii="宋体" w:hAnsi="宋体" w:eastAsia="宋体"/>
        </w:rPr>
        <w:t>大版本升级后1周：运维团队、测试团队进行系统监测，确保迭代升级后系统正常运行。</w:t>
      </w:r>
    </w:p>
    <w:p w14:paraId="047F9FD5">
      <w:pPr>
        <w:numPr>
          <w:ilvl w:val="1"/>
          <w:numId w:val="86"/>
        </w:numPr>
        <w:snapToGrid w:val="0"/>
        <w:spacing w:line="360" w:lineRule="auto"/>
        <w:contextualSpacing/>
        <w:rPr>
          <w:rFonts w:hint="eastAsia" w:ascii="宋体" w:hAnsi="宋体" w:eastAsia="宋体"/>
        </w:rPr>
      </w:pPr>
      <w:r>
        <w:rPr>
          <w:rFonts w:hint="eastAsia" w:ascii="宋体" w:hAnsi="宋体" w:eastAsia="宋体"/>
        </w:rPr>
        <w:t>大版本升级后2周：内部团队对维护与升级成果进行评审，总结经验教训。</w:t>
      </w:r>
    </w:p>
    <w:p w14:paraId="2F235066">
      <w:pPr>
        <w:numPr>
          <w:ilvl w:val="0"/>
          <w:numId w:val="86"/>
        </w:numPr>
        <w:snapToGrid w:val="0"/>
        <w:spacing w:line="360" w:lineRule="auto"/>
        <w:contextualSpacing/>
        <w:rPr>
          <w:rFonts w:hint="eastAsia" w:ascii="宋体" w:hAnsi="宋体" w:eastAsia="宋体"/>
        </w:rPr>
      </w:pPr>
      <w:r>
        <w:rPr>
          <w:rFonts w:hint="eastAsia" w:ascii="宋体" w:hAnsi="宋体" w:eastAsia="宋体" w:cs="宋体"/>
          <w:b/>
          <w:bCs/>
          <w:szCs w:val="21"/>
        </w:rPr>
        <w:t>项目总结与终验准备（签署初验报告后11个月 - 12个月，即2025年12月1日 - 2025年12月25日）</w:t>
      </w:r>
    </w:p>
    <w:p w14:paraId="78D0355B">
      <w:pPr>
        <w:numPr>
          <w:ilvl w:val="1"/>
          <w:numId w:val="86"/>
        </w:numPr>
        <w:snapToGrid w:val="0"/>
        <w:spacing w:line="360" w:lineRule="auto"/>
        <w:contextualSpacing/>
        <w:rPr>
          <w:rFonts w:hint="eastAsia" w:ascii="宋体" w:hAnsi="宋体" w:eastAsia="宋体"/>
        </w:rPr>
      </w:pPr>
      <w:r>
        <w:rPr>
          <w:rFonts w:hint="eastAsia" w:ascii="宋体" w:hAnsi="宋体" w:eastAsia="宋体"/>
        </w:rPr>
        <w:t>2025年12月1日-12月10日：项目经理组织各团队整理终验材料，包括实施报告、技术报告、系统运行报告、操作手册、源代码等。</w:t>
      </w:r>
    </w:p>
    <w:p w14:paraId="669BCC9E">
      <w:pPr>
        <w:numPr>
          <w:ilvl w:val="1"/>
          <w:numId w:val="86"/>
        </w:numPr>
        <w:snapToGrid w:val="0"/>
        <w:spacing w:line="360" w:lineRule="auto"/>
        <w:contextualSpacing/>
        <w:rPr>
          <w:rFonts w:hint="eastAsia" w:ascii="宋体" w:hAnsi="宋体" w:eastAsia="宋体"/>
        </w:rPr>
      </w:pPr>
      <w:r>
        <w:rPr>
          <w:rFonts w:hint="eastAsia" w:ascii="宋体" w:hAnsi="宋体" w:eastAsia="宋体"/>
        </w:rPr>
        <w:t>2025年12月11日-12月20日：项目组内部团队对终验材料进行评审，确保材料完整且准确。</w:t>
      </w:r>
    </w:p>
    <w:p w14:paraId="0205C8DB">
      <w:pPr>
        <w:numPr>
          <w:ilvl w:val="1"/>
          <w:numId w:val="86"/>
        </w:numPr>
        <w:snapToGrid w:val="0"/>
        <w:spacing w:line="360" w:lineRule="auto"/>
        <w:contextualSpacing/>
        <w:rPr>
          <w:rFonts w:hint="eastAsia" w:ascii="宋体" w:hAnsi="宋体" w:eastAsia="宋体"/>
        </w:rPr>
      </w:pPr>
      <w:r>
        <w:rPr>
          <w:rFonts w:hint="eastAsia" w:ascii="宋体" w:hAnsi="宋体" w:eastAsia="宋体"/>
        </w:rPr>
        <w:t>2025年12月21日-12月24日：与烟草总公司项目组沟通，准备终验演示材料，进行项目终验汇报会。</w:t>
      </w:r>
    </w:p>
    <w:p w14:paraId="32F72BE9">
      <w:pPr>
        <w:numPr>
          <w:ilvl w:val="1"/>
          <w:numId w:val="86"/>
        </w:numPr>
        <w:snapToGrid w:val="0"/>
        <w:spacing w:line="360" w:lineRule="auto"/>
        <w:contextualSpacing/>
        <w:rPr>
          <w:rFonts w:hint="eastAsia" w:ascii="宋体" w:hAnsi="宋体" w:eastAsia="宋体"/>
        </w:rPr>
      </w:pPr>
      <w:r>
        <w:rPr>
          <w:rFonts w:hint="eastAsia" w:ascii="宋体" w:hAnsi="宋体" w:eastAsia="宋体"/>
        </w:rPr>
        <w:t>2025年12月25日：与烟草总公司进行终验汇报和演示，展示系统成果与性能。</w:t>
      </w:r>
    </w:p>
    <w:p w14:paraId="4F5C65E2">
      <w:pPr>
        <w:numPr>
          <w:ilvl w:val="1"/>
          <w:numId w:val="86"/>
        </w:numPr>
        <w:snapToGrid w:val="0"/>
        <w:spacing w:line="360" w:lineRule="auto"/>
        <w:contextualSpacing/>
        <w:rPr>
          <w:rFonts w:hint="eastAsia" w:ascii="宋体" w:hAnsi="宋体" w:eastAsia="宋体"/>
        </w:rPr>
      </w:pPr>
      <w:r>
        <w:rPr>
          <w:rFonts w:hint="eastAsia" w:ascii="宋体" w:hAnsi="宋体" w:eastAsia="宋体"/>
        </w:rPr>
        <w:t>终验演示后：签署终验报告，正式结束项目，并进行项目总结会议。</w:t>
      </w:r>
    </w:p>
    <w:p w14:paraId="26BD7096">
      <w:pPr>
        <w:spacing w:line="360" w:lineRule="auto"/>
        <w:rPr>
          <w:rFonts w:hint="eastAsia" w:ascii="宋体" w:hAnsi="宋体" w:eastAsia="宋体"/>
          <w:b/>
          <w:bCs/>
        </w:rPr>
      </w:pPr>
      <w:r>
        <w:rPr>
          <w:rFonts w:hint="eastAsia" w:ascii="宋体" w:hAnsi="宋体" w:eastAsia="宋体"/>
          <w:b/>
          <w:bCs/>
        </w:rPr>
        <w:t>注意事项</w:t>
      </w:r>
    </w:p>
    <w:p w14:paraId="4C94EA08">
      <w:pPr>
        <w:spacing w:line="360" w:lineRule="auto"/>
        <w:ind w:firstLine="420"/>
        <w:rPr>
          <w:rFonts w:hint="eastAsia" w:ascii="宋体" w:hAnsi="宋体" w:eastAsia="宋体"/>
        </w:rPr>
      </w:pPr>
      <w:r>
        <w:rPr>
          <w:rFonts w:hint="eastAsia" w:ascii="宋体" w:hAnsi="宋体" w:eastAsia="宋体"/>
        </w:rPr>
        <w:t>以上时间进度为初步规划，实际执行过程中可能因需求变更、突发情况等因素进行调整。</w:t>
      </w:r>
    </w:p>
    <w:p w14:paraId="07E30FF3">
      <w:pPr>
        <w:pStyle w:val="6"/>
        <w:numPr>
          <w:ilvl w:val="2"/>
          <w:numId w:val="39"/>
        </w:numPr>
        <w:spacing w:before="260" w:after="260" w:line="416" w:lineRule="auto"/>
        <w:jc w:val="both"/>
        <w:rPr>
          <w:rFonts w:hint="eastAsia" w:ascii="宋体" w:hAnsi="宋体" w:cstheme="majorBidi"/>
          <w:szCs w:val="24"/>
        </w:rPr>
      </w:pPr>
      <w:bookmarkStart w:id="266" w:name="_Toc180265668"/>
      <w:r>
        <w:rPr>
          <w:rFonts w:hint="eastAsia" w:ascii="宋体" w:hAnsi="宋体" w:cstheme="majorBidi"/>
          <w:szCs w:val="24"/>
        </w:rPr>
        <w:t>项目任务分解图表</w:t>
      </w:r>
      <w:bookmarkEnd w:id="266"/>
    </w:p>
    <w:p w14:paraId="2CE784FE">
      <w:pPr>
        <w:spacing w:line="360" w:lineRule="auto"/>
        <w:rPr>
          <w:rFonts w:hint="eastAsia" w:ascii="宋体" w:hAnsi="宋体" w:eastAsia="宋体"/>
        </w:rPr>
      </w:pPr>
      <w:r>
        <w:rPr>
          <w:rFonts w:ascii="宋体" w:hAnsi="宋体" w:eastAsia="宋体"/>
        </w:rPr>
        <w:drawing>
          <wp:inline distT="0" distB="0" distL="0" distR="0">
            <wp:extent cx="6309360" cy="6576060"/>
            <wp:effectExtent l="0" t="0" r="0" b="0"/>
            <wp:docPr id="19397552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55266" name="图片 1"/>
                    <pic:cNvPicPr>
                      <a:picLocks noChangeAspect="1"/>
                    </pic:cNvPicPr>
                  </pic:nvPicPr>
                  <pic:blipFill>
                    <a:blip r:embed="rId135"/>
                    <a:stretch>
                      <a:fillRect/>
                    </a:stretch>
                  </pic:blipFill>
                  <pic:spPr>
                    <a:xfrm>
                      <a:off x="0" y="0"/>
                      <a:ext cx="6312051" cy="6578596"/>
                    </a:xfrm>
                    <a:prstGeom prst="rect">
                      <a:avLst/>
                    </a:prstGeom>
                  </pic:spPr>
                </pic:pic>
              </a:graphicData>
            </a:graphic>
          </wp:inline>
        </w:drawing>
      </w:r>
    </w:p>
    <w:p w14:paraId="48E5C217">
      <w:pPr>
        <w:spacing w:line="360" w:lineRule="auto"/>
        <w:rPr>
          <w:rFonts w:hint="eastAsia" w:ascii="宋体" w:hAnsi="宋体" w:eastAsia="宋体"/>
        </w:rPr>
      </w:pPr>
      <w:r>
        <w:rPr>
          <w:rFonts w:ascii="宋体" w:hAnsi="宋体" w:eastAsia="宋体"/>
        </w:rPr>
        <w:drawing>
          <wp:inline distT="0" distB="0" distL="0" distR="0">
            <wp:extent cx="5939790" cy="4091940"/>
            <wp:effectExtent l="0" t="0" r="3810" b="3810"/>
            <wp:docPr id="2012558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58384" name="图片 1"/>
                    <pic:cNvPicPr>
                      <a:picLocks noChangeAspect="1"/>
                    </pic:cNvPicPr>
                  </pic:nvPicPr>
                  <pic:blipFill>
                    <a:blip r:embed="rId136"/>
                    <a:stretch>
                      <a:fillRect/>
                    </a:stretch>
                  </pic:blipFill>
                  <pic:spPr>
                    <a:xfrm>
                      <a:off x="0" y="0"/>
                      <a:ext cx="5939790" cy="4091940"/>
                    </a:xfrm>
                    <a:prstGeom prst="rect">
                      <a:avLst/>
                    </a:prstGeom>
                  </pic:spPr>
                </pic:pic>
              </a:graphicData>
            </a:graphic>
          </wp:inline>
        </w:drawing>
      </w:r>
    </w:p>
    <w:p w14:paraId="3153C093">
      <w:pPr>
        <w:pStyle w:val="5"/>
        <w:numPr>
          <w:ilvl w:val="1"/>
          <w:numId w:val="39"/>
        </w:numPr>
        <w:spacing w:before="260" w:after="260"/>
        <w:jc w:val="both"/>
        <w:rPr>
          <w:rFonts w:hint="eastAsia" w:ascii="宋体" w:hAnsi="宋体"/>
          <w:szCs w:val="28"/>
        </w:rPr>
      </w:pPr>
      <w:bookmarkStart w:id="267" w:name="_Toc179751548"/>
      <w:r>
        <w:rPr>
          <w:rFonts w:hint="eastAsia" w:ascii="宋体" w:hAnsi="宋体"/>
          <w:szCs w:val="28"/>
        </w:rPr>
        <w:t xml:space="preserve"> </w:t>
      </w:r>
      <w:bookmarkStart w:id="268" w:name="_Toc180265669"/>
      <w:r>
        <w:rPr>
          <w:rFonts w:hint="eastAsia" w:ascii="宋体" w:hAnsi="宋体"/>
          <w:szCs w:val="28"/>
        </w:rPr>
        <w:t>培训计划</w:t>
      </w:r>
      <w:bookmarkEnd w:id="267"/>
      <w:bookmarkEnd w:id="268"/>
    </w:p>
    <w:p w14:paraId="750FA788">
      <w:pPr>
        <w:spacing w:line="360" w:lineRule="auto"/>
        <w:ind w:firstLine="420"/>
        <w:rPr>
          <w:rFonts w:hint="eastAsia" w:ascii="宋体" w:hAnsi="宋体" w:eastAsia="宋体"/>
        </w:rPr>
      </w:pPr>
      <w:r>
        <w:rPr>
          <w:rFonts w:hint="eastAsia" w:ascii="宋体" w:hAnsi="宋体" w:eastAsia="宋体"/>
        </w:rPr>
        <w:t>规划并建立统一的系统培训方案及计划能够保障系统具备快速投入运行和使用的相关条件。</w:t>
      </w:r>
    </w:p>
    <w:p w14:paraId="749B0E54">
      <w:pPr>
        <w:pStyle w:val="6"/>
        <w:numPr>
          <w:ilvl w:val="2"/>
          <w:numId w:val="39"/>
        </w:numPr>
        <w:spacing w:before="260" w:after="260" w:line="416" w:lineRule="auto"/>
        <w:jc w:val="both"/>
        <w:rPr>
          <w:rFonts w:hint="eastAsia" w:ascii="宋体" w:hAnsi="宋体" w:cstheme="majorBidi"/>
          <w:szCs w:val="24"/>
        </w:rPr>
      </w:pPr>
      <w:bookmarkStart w:id="269" w:name="_Toc180265670"/>
      <w:r>
        <w:rPr>
          <w:rFonts w:hint="eastAsia" w:ascii="宋体" w:hAnsi="宋体" w:cstheme="majorBidi"/>
          <w:szCs w:val="24"/>
        </w:rPr>
        <w:t>培训要求</w:t>
      </w:r>
      <w:bookmarkEnd w:id="269"/>
    </w:p>
    <w:p w14:paraId="7B81AB84">
      <w:pPr>
        <w:spacing w:line="360" w:lineRule="auto"/>
        <w:ind w:firstLine="420"/>
        <w:rPr>
          <w:rFonts w:hint="eastAsia" w:ascii="宋体" w:hAnsi="宋体" w:eastAsia="宋体"/>
        </w:rPr>
      </w:pPr>
      <w:r>
        <w:rPr>
          <w:rFonts w:hint="eastAsia" w:ascii="宋体" w:hAnsi="宋体" w:eastAsia="宋体"/>
        </w:rPr>
        <w:t>培训分为理论培训和现场培训，针对不同培训角色，包括且不限于领导、项目管理人员、系统管理人员、最终用户及各类技术人员等，分别制定培训课程并按照招标文件要求和项目开展过程中采购人的相关要求，组织进行针对性的培训。培训内容包括且不限于项目管理培训、系统知识培训、开发技术培训、安装部署培训、用户使用培训等。</w:t>
      </w:r>
    </w:p>
    <w:p w14:paraId="389DE2A9">
      <w:pPr>
        <w:spacing w:line="360" w:lineRule="auto"/>
        <w:ind w:firstLine="420"/>
        <w:rPr>
          <w:rFonts w:hint="eastAsia" w:ascii="宋体" w:hAnsi="宋体" w:eastAsia="宋体"/>
        </w:rPr>
      </w:pPr>
      <w:r>
        <w:rPr>
          <w:rFonts w:hint="eastAsia" w:ascii="宋体" w:hAnsi="宋体" w:eastAsia="宋体"/>
        </w:rPr>
        <w:t>所有培训教员需具备丰富的培训经验，所有培训以中文授课方式进行。在开展单次具体培训前，需按照培训方案要求和具体培训事项要求明确并细化培训目标、培训内容、预计培训课时，编制培训所需文字材料或讲义等培训必须材料，与采购人明确培训效果保障方式和要求。</w:t>
      </w:r>
    </w:p>
    <w:p w14:paraId="1C0D430A">
      <w:pPr>
        <w:pStyle w:val="6"/>
        <w:numPr>
          <w:ilvl w:val="2"/>
          <w:numId w:val="39"/>
        </w:numPr>
        <w:spacing w:before="260" w:after="260" w:line="416" w:lineRule="auto"/>
        <w:jc w:val="both"/>
        <w:rPr>
          <w:rFonts w:hint="eastAsia" w:ascii="宋体" w:hAnsi="宋体" w:cstheme="majorBidi"/>
          <w:szCs w:val="24"/>
        </w:rPr>
      </w:pPr>
      <w:bookmarkStart w:id="270" w:name="_Toc180265671"/>
      <w:r>
        <w:rPr>
          <w:rFonts w:hint="eastAsia" w:ascii="宋体" w:hAnsi="宋体" w:cstheme="majorBidi"/>
          <w:szCs w:val="24"/>
        </w:rPr>
        <w:t>培训方式</w:t>
      </w:r>
      <w:bookmarkEnd w:id="270"/>
    </w:p>
    <w:p w14:paraId="43D1A1B6">
      <w:pPr>
        <w:spacing w:line="360" w:lineRule="auto"/>
        <w:ind w:firstLine="420"/>
        <w:rPr>
          <w:rFonts w:hint="eastAsia" w:ascii="宋体" w:hAnsi="宋体" w:eastAsia="宋体"/>
        </w:rPr>
      </w:pPr>
      <w:r>
        <w:rPr>
          <w:rFonts w:hint="eastAsia" w:ascii="宋体" w:hAnsi="宋体" w:eastAsia="宋体"/>
        </w:rPr>
        <w:t>培训方式包括且不限于下述几种方式：</w:t>
      </w:r>
    </w:p>
    <w:p w14:paraId="5C359D1B">
      <w:pPr>
        <w:numPr>
          <w:ilvl w:val="0"/>
          <w:numId w:val="87"/>
        </w:numPr>
        <w:spacing w:line="360" w:lineRule="auto"/>
        <w:rPr>
          <w:rFonts w:hint="eastAsia" w:ascii="宋体" w:hAnsi="宋体" w:eastAsia="宋体"/>
        </w:rPr>
      </w:pPr>
      <w:r>
        <w:rPr>
          <w:rFonts w:hint="eastAsia" w:ascii="宋体" w:hAnsi="宋体" w:eastAsia="宋体"/>
        </w:rPr>
        <w:t>现场集中授课培训</w:t>
      </w:r>
    </w:p>
    <w:p w14:paraId="0FD8F46C">
      <w:pPr>
        <w:spacing w:line="360" w:lineRule="auto"/>
        <w:ind w:firstLine="420"/>
        <w:rPr>
          <w:rFonts w:hint="eastAsia" w:ascii="宋体" w:hAnsi="宋体" w:eastAsia="宋体"/>
        </w:rPr>
      </w:pPr>
      <w:r>
        <w:rPr>
          <w:rFonts w:hint="eastAsia" w:ascii="宋体" w:hAnsi="宋体" w:eastAsia="宋体"/>
        </w:rPr>
        <w:t>针对各种培训专题，集中组织受训人员集中在制定场地，通过PPT讲义、操作演示等形式开设培训。</w:t>
      </w:r>
    </w:p>
    <w:p w14:paraId="11257E06">
      <w:pPr>
        <w:numPr>
          <w:ilvl w:val="0"/>
          <w:numId w:val="87"/>
        </w:numPr>
        <w:spacing w:line="360" w:lineRule="auto"/>
        <w:rPr>
          <w:rFonts w:hint="eastAsia" w:ascii="宋体" w:hAnsi="宋体" w:eastAsia="宋体"/>
        </w:rPr>
      </w:pPr>
      <w:r>
        <w:rPr>
          <w:rFonts w:hint="eastAsia" w:ascii="宋体" w:hAnsi="宋体" w:eastAsia="宋体"/>
        </w:rPr>
        <w:t>现场集中演练</w:t>
      </w:r>
    </w:p>
    <w:p w14:paraId="666054CA">
      <w:pPr>
        <w:spacing w:line="360" w:lineRule="auto"/>
        <w:ind w:firstLine="420"/>
        <w:rPr>
          <w:rFonts w:hint="eastAsia" w:ascii="宋体" w:hAnsi="宋体" w:eastAsia="宋体"/>
        </w:rPr>
      </w:pPr>
      <w:r>
        <w:rPr>
          <w:rFonts w:hint="eastAsia" w:ascii="宋体" w:hAnsi="宋体" w:eastAsia="宋体"/>
        </w:rPr>
        <w:t>集中组织受训人员，基于测试环境进行模拟演练操作，以便受训人员快速掌握系统操作方法，明确业务操作流程，发现细节问题并现场答疑。</w:t>
      </w:r>
    </w:p>
    <w:p w14:paraId="18A1B475">
      <w:pPr>
        <w:numPr>
          <w:ilvl w:val="0"/>
          <w:numId w:val="87"/>
        </w:numPr>
        <w:spacing w:line="360" w:lineRule="auto"/>
        <w:rPr>
          <w:rFonts w:hint="eastAsia" w:ascii="宋体" w:hAnsi="宋体" w:eastAsia="宋体"/>
        </w:rPr>
      </w:pPr>
      <w:r>
        <w:rPr>
          <w:rFonts w:hint="eastAsia" w:ascii="宋体" w:hAnsi="宋体" w:eastAsia="宋体"/>
        </w:rPr>
        <w:t>模拟操作</w:t>
      </w:r>
    </w:p>
    <w:p w14:paraId="0E94B5A3">
      <w:pPr>
        <w:spacing w:line="360" w:lineRule="auto"/>
        <w:ind w:firstLine="420"/>
        <w:rPr>
          <w:rFonts w:hint="eastAsia" w:ascii="宋体" w:hAnsi="宋体" w:eastAsia="宋体"/>
        </w:rPr>
      </w:pPr>
      <w:r>
        <w:rPr>
          <w:rFonts w:hint="eastAsia" w:ascii="宋体" w:hAnsi="宋体" w:eastAsia="宋体"/>
        </w:rPr>
        <w:t>在测试环境和操作手册等条件都具备时，可以组织系统终端用户人员自行模拟联系操作。</w:t>
      </w:r>
    </w:p>
    <w:p w14:paraId="7A08EC7A">
      <w:pPr>
        <w:numPr>
          <w:ilvl w:val="0"/>
          <w:numId w:val="87"/>
        </w:numPr>
        <w:spacing w:line="360" w:lineRule="auto"/>
        <w:rPr>
          <w:rFonts w:hint="eastAsia" w:ascii="宋体" w:hAnsi="宋体" w:eastAsia="宋体"/>
        </w:rPr>
      </w:pPr>
      <w:r>
        <w:rPr>
          <w:rFonts w:hint="eastAsia" w:ascii="宋体" w:hAnsi="宋体" w:eastAsia="宋体"/>
        </w:rPr>
        <w:t>分批次培训或演练</w:t>
      </w:r>
    </w:p>
    <w:p w14:paraId="4365025A">
      <w:pPr>
        <w:spacing w:line="360" w:lineRule="auto"/>
        <w:ind w:firstLine="420"/>
        <w:rPr>
          <w:rFonts w:hint="eastAsia" w:ascii="宋体" w:hAnsi="宋体" w:eastAsia="宋体"/>
        </w:rPr>
      </w:pPr>
      <w:r>
        <w:rPr>
          <w:rFonts w:hint="eastAsia" w:ascii="宋体" w:hAnsi="宋体" w:eastAsia="宋体"/>
        </w:rPr>
        <w:t>当计划受训人员较多时，为保障培训质量，可采取分批培训方式。</w:t>
      </w:r>
    </w:p>
    <w:p w14:paraId="1517FE41">
      <w:pPr>
        <w:numPr>
          <w:ilvl w:val="0"/>
          <w:numId w:val="87"/>
        </w:numPr>
        <w:spacing w:line="360" w:lineRule="auto"/>
        <w:rPr>
          <w:rFonts w:hint="eastAsia" w:ascii="宋体" w:hAnsi="宋体" w:eastAsia="宋体"/>
        </w:rPr>
      </w:pPr>
      <w:r>
        <w:rPr>
          <w:rFonts w:hint="eastAsia" w:ascii="宋体" w:hAnsi="宋体" w:eastAsia="宋体"/>
        </w:rPr>
        <w:t>线上培训</w:t>
      </w:r>
    </w:p>
    <w:p w14:paraId="5481C8FF">
      <w:pPr>
        <w:spacing w:line="360" w:lineRule="auto"/>
        <w:ind w:firstLine="420"/>
        <w:rPr>
          <w:rFonts w:hint="eastAsia" w:ascii="宋体" w:hAnsi="宋体" w:eastAsia="宋体"/>
        </w:rPr>
      </w:pPr>
      <w:r>
        <w:rPr>
          <w:rFonts w:hint="eastAsia" w:ascii="宋体" w:hAnsi="宋体" w:eastAsia="宋体"/>
        </w:rPr>
        <w:t>在开展具体培训时，如受训人员不便集中，也可借助腾讯会议等信息化方式，采取线下培训与线上培训同步开展的方式，并可将培训内容录制便于后续人员自主学习使用。</w:t>
      </w:r>
    </w:p>
    <w:p w14:paraId="1208C01F">
      <w:pPr>
        <w:numPr>
          <w:ilvl w:val="0"/>
          <w:numId w:val="87"/>
        </w:numPr>
        <w:spacing w:line="360" w:lineRule="auto"/>
        <w:rPr>
          <w:rFonts w:hint="eastAsia" w:ascii="宋体" w:hAnsi="宋体" w:eastAsia="宋体"/>
        </w:rPr>
      </w:pPr>
      <w:r>
        <w:rPr>
          <w:rFonts w:hint="eastAsia" w:ascii="宋体" w:hAnsi="宋体" w:eastAsia="宋体"/>
        </w:rPr>
        <w:t>中招学院在线学习与考核</w:t>
      </w:r>
    </w:p>
    <w:p w14:paraId="74BF24CC">
      <w:pPr>
        <w:spacing w:line="360" w:lineRule="auto"/>
        <w:ind w:firstLine="420"/>
        <w:rPr>
          <w:rFonts w:hint="eastAsia" w:ascii="宋体" w:hAnsi="宋体" w:eastAsia="宋体"/>
        </w:rPr>
      </w:pPr>
      <w:r>
        <w:rPr>
          <w:rFonts w:hint="eastAsia" w:ascii="宋体" w:hAnsi="宋体" w:eastAsia="宋体"/>
        </w:rPr>
        <w:t>对于已录制培训课程，可使用中招学院在线学习。通过中招学院专题课程，为项目受训人员开通专属账号，将已录制的培训课程定制为对应账号下的课程，并配套设置在线学习课程要求或在线考核。</w:t>
      </w:r>
    </w:p>
    <w:p w14:paraId="63F3A782">
      <w:pPr>
        <w:numPr>
          <w:ilvl w:val="0"/>
          <w:numId w:val="87"/>
        </w:numPr>
        <w:spacing w:line="360" w:lineRule="auto"/>
        <w:rPr>
          <w:rFonts w:hint="eastAsia" w:ascii="宋体" w:hAnsi="宋体" w:eastAsia="宋体"/>
        </w:rPr>
      </w:pPr>
      <w:r>
        <w:rPr>
          <w:rFonts w:hint="eastAsia" w:ascii="宋体" w:hAnsi="宋体" w:eastAsia="宋体"/>
        </w:rPr>
        <w:t>点对点培训或办公室培训</w:t>
      </w:r>
    </w:p>
    <w:p w14:paraId="156E1ABE">
      <w:pPr>
        <w:spacing w:line="360" w:lineRule="auto"/>
        <w:ind w:firstLine="420"/>
        <w:rPr>
          <w:rFonts w:hint="eastAsia" w:ascii="宋体" w:hAnsi="宋体" w:eastAsia="宋体"/>
        </w:rPr>
      </w:pPr>
      <w:r>
        <w:rPr>
          <w:rFonts w:hint="eastAsia" w:ascii="宋体" w:hAnsi="宋体" w:eastAsia="宋体"/>
        </w:rPr>
        <w:t>对于核心内容或知识转移关键人员，也可根据需要开展点对点培训或办公室培训的方式进行专属培训。</w:t>
      </w:r>
    </w:p>
    <w:p w14:paraId="3C04AFCF">
      <w:pPr>
        <w:pStyle w:val="6"/>
        <w:numPr>
          <w:ilvl w:val="2"/>
          <w:numId w:val="39"/>
        </w:numPr>
        <w:spacing w:before="260" w:after="260" w:line="416" w:lineRule="auto"/>
        <w:jc w:val="both"/>
        <w:rPr>
          <w:rFonts w:hint="eastAsia" w:ascii="宋体" w:hAnsi="宋体" w:cstheme="majorBidi"/>
          <w:szCs w:val="24"/>
        </w:rPr>
      </w:pPr>
      <w:bookmarkStart w:id="271" w:name="_Toc180265672"/>
      <w:r>
        <w:rPr>
          <w:rFonts w:hint="eastAsia" w:ascii="宋体" w:hAnsi="宋体" w:cstheme="majorBidi"/>
          <w:szCs w:val="24"/>
        </w:rPr>
        <w:t>培训前需沟通内容</w:t>
      </w:r>
      <w:bookmarkEnd w:id="271"/>
    </w:p>
    <w:p w14:paraId="1AD9684D">
      <w:pPr>
        <w:spacing w:line="360" w:lineRule="auto"/>
        <w:ind w:firstLine="420"/>
        <w:rPr>
          <w:rFonts w:hint="eastAsia" w:ascii="宋体" w:hAnsi="宋体" w:eastAsia="宋体"/>
        </w:rPr>
      </w:pPr>
      <w:r>
        <w:rPr>
          <w:rFonts w:hint="eastAsia" w:ascii="宋体" w:hAnsi="宋体" w:eastAsia="宋体"/>
        </w:rPr>
        <w:t>在组织开展具体培训前，培训负责人需与采购人负责人沟通并明确下述内容：</w:t>
      </w:r>
    </w:p>
    <w:p w14:paraId="21830C1F">
      <w:pPr>
        <w:numPr>
          <w:ilvl w:val="0"/>
          <w:numId w:val="87"/>
        </w:numPr>
        <w:spacing w:line="360" w:lineRule="auto"/>
        <w:rPr>
          <w:rFonts w:hint="eastAsia" w:ascii="宋体" w:hAnsi="宋体" w:eastAsia="宋体"/>
          <w:lang w:val="zh-CN"/>
        </w:rPr>
      </w:pPr>
      <w:r>
        <w:rPr>
          <w:rFonts w:hint="eastAsia" w:ascii="宋体" w:hAnsi="宋体" w:eastAsia="宋体"/>
          <w:lang w:val="zh-CN"/>
        </w:rPr>
        <w:t>培训方式:按照培训</w:t>
      </w:r>
      <w:r>
        <w:rPr>
          <w:rFonts w:hint="eastAsia" w:ascii="宋体" w:hAnsi="宋体" w:eastAsia="宋体"/>
        </w:rPr>
        <w:t>角色</w:t>
      </w:r>
      <w:r>
        <w:rPr>
          <w:rFonts w:hint="eastAsia" w:ascii="宋体" w:hAnsi="宋体" w:eastAsia="宋体"/>
          <w:lang w:val="zh-CN"/>
        </w:rPr>
        <w:t>及培训</w:t>
      </w:r>
      <w:r>
        <w:rPr>
          <w:rFonts w:hint="eastAsia" w:ascii="宋体" w:hAnsi="宋体" w:eastAsia="宋体"/>
        </w:rPr>
        <w:t>内容</w:t>
      </w:r>
      <w:r>
        <w:rPr>
          <w:rFonts w:hint="eastAsia" w:ascii="宋体" w:hAnsi="宋体" w:eastAsia="宋体"/>
          <w:lang w:val="zh-CN"/>
        </w:rPr>
        <w:t>的不同，</w:t>
      </w:r>
      <w:r>
        <w:rPr>
          <w:rFonts w:hint="eastAsia" w:ascii="宋体" w:hAnsi="宋体" w:eastAsia="宋体"/>
        </w:rPr>
        <w:t>在项目实施过程中</w:t>
      </w:r>
      <w:r>
        <w:rPr>
          <w:rFonts w:hint="eastAsia" w:ascii="宋体" w:hAnsi="宋体" w:eastAsia="宋体"/>
          <w:lang w:val="zh-CN"/>
        </w:rPr>
        <w:t>将为所有</w:t>
      </w:r>
      <w:r>
        <w:rPr>
          <w:rFonts w:hint="eastAsia" w:ascii="宋体" w:hAnsi="宋体" w:eastAsia="宋体"/>
        </w:rPr>
        <w:t>项目及</w:t>
      </w:r>
      <w:r>
        <w:rPr>
          <w:rFonts w:hint="eastAsia" w:ascii="宋体" w:hAnsi="宋体" w:eastAsia="宋体"/>
          <w:lang w:val="zh-CN"/>
        </w:rPr>
        <w:t>系统使用</w:t>
      </w:r>
      <w:r>
        <w:rPr>
          <w:rFonts w:hint="eastAsia" w:ascii="宋体" w:hAnsi="宋体" w:eastAsia="宋体"/>
        </w:rPr>
        <w:t>相关</w:t>
      </w:r>
      <w:r>
        <w:rPr>
          <w:rFonts w:hint="eastAsia" w:ascii="宋体" w:hAnsi="宋体" w:eastAsia="宋体"/>
          <w:lang w:val="zh-CN"/>
        </w:rPr>
        <w:t>人员组织培训。</w:t>
      </w:r>
      <w:r>
        <w:rPr>
          <w:rFonts w:hint="eastAsia" w:ascii="宋体" w:hAnsi="宋体" w:eastAsia="宋体"/>
        </w:rPr>
        <w:t>具体培训方式可从“16.5.2培训方式”章节中选择一种或多种组合，如有其他培训方式需求也可在培训开展前进行沟通确认。</w:t>
      </w:r>
    </w:p>
    <w:p w14:paraId="3B74B2F1">
      <w:pPr>
        <w:numPr>
          <w:ilvl w:val="0"/>
          <w:numId w:val="87"/>
        </w:numPr>
        <w:spacing w:line="360" w:lineRule="auto"/>
        <w:rPr>
          <w:rFonts w:hint="eastAsia" w:ascii="宋体" w:hAnsi="宋体" w:eastAsia="宋体"/>
          <w:lang w:val="zh-CN"/>
        </w:rPr>
      </w:pPr>
      <w:r>
        <w:rPr>
          <w:rFonts w:hint="eastAsia" w:ascii="宋体" w:hAnsi="宋体" w:eastAsia="宋体"/>
          <w:lang w:val="zh-CN"/>
        </w:rPr>
        <w:t>培训对象:</w:t>
      </w:r>
      <w:r>
        <w:rPr>
          <w:rFonts w:hint="eastAsia" w:ascii="宋体" w:hAnsi="宋体" w:eastAsia="宋体"/>
        </w:rPr>
        <w:t>领导、项目管理人员、系统管理人员、最终用户及各类技术人员等</w:t>
      </w:r>
      <w:r>
        <w:rPr>
          <w:rFonts w:hint="eastAsia" w:ascii="宋体" w:hAnsi="宋体" w:eastAsia="宋体"/>
          <w:lang w:val="zh-CN"/>
        </w:rPr>
        <w:t>；</w:t>
      </w:r>
    </w:p>
    <w:p w14:paraId="07018B71">
      <w:pPr>
        <w:numPr>
          <w:ilvl w:val="0"/>
          <w:numId w:val="87"/>
        </w:numPr>
        <w:spacing w:line="360" w:lineRule="auto"/>
        <w:rPr>
          <w:rFonts w:hint="eastAsia" w:ascii="宋体" w:hAnsi="宋体" w:eastAsia="宋体"/>
          <w:lang w:val="zh-CN"/>
        </w:rPr>
      </w:pPr>
      <w:r>
        <w:rPr>
          <w:rFonts w:hint="eastAsia" w:ascii="宋体" w:hAnsi="宋体" w:eastAsia="宋体"/>
        </w:rPr>
        <w:t>培训规模：一对一、大范围集中培训、小范围组织培训等</w:t>
      </w:r>
    </w:p>
    <w:p w14:paraId="614F10E4">
      <w:pPr>
        <w:numPr>
          <w:ilvl w:val="0"/>
          <w:numId w:val="87"/>
        </w:numPr>
        <w:spacing w:line="360" w:lineRule="auto"/>
        <w:rPr>
          <w:rFonts w:hint="eastAsia" w:ascii="宋体" w:hAnsi="宋体" w:eastAsia="宋体"/>
          <w:lang w:val="zh-CN"/>
        </w:rPr>
      </w:pPr>
      <w:r>
        <w:rPr>
          <w:rFonts w:hint="eastAsia" w:ascii="宋体" w:hAnsi="宋体" w:eastAsia="宋体"/>
          <w:lang w:val="zh-CN"/>
        </w:rPr>
        <w:t>培训场地：</w:t>
      </w:r>
      <w:r>
        <w:rPr>
          <w:rFonts w:hint="eastAsia" w:ascii="宋体" w:hAnsi="宋体" w:eastAsia="宋体"/>
        </w:rPr>
        <w:t>办公室、</w:t>
      </w:r>
      <w:r>
        <w:rPr>
          <w:rFonts w:hint="eastAsia" w:ascii="宋体" w:hAnsi="宋体" w:eastAsia="宋体"/>
          <w:lang w:val="zh-CN"/>
        </w:rPr>
        <w:t>会议室、</w:t>
      </w:r>
      <w:r>
        <w:rPr>
          <w:rFonts w:hint="eastAsia" w:ascii="宋体" w:hAnsi="宋体" w:eastAsia="宋体"/>
        </w:rPr>
        <w:t>大型会讲堂等，投影设备等培训所需环境因素情况、网络情况、</w:t>
      </w:r>
      <w:r>
        <w:rPr>
          <w:rFonts w:hint="eastAsia" w:ascii="宋体" w:hAnsi="宋体" w:eastAsia="宋体"/>
          <w:lang w:val="zh-CN"/>
        </w:rPr>
        <w:t>线上培训</w:t>
      </w:r>
      <w:r>
        <w:rPr>
          <w:rFonts w:hint="eastAsia" w:ascii="宋体" w:hAnsi="宋体" w:eastAsia="宋体"/>
        </w:rPr>
        <w:t>所需</w:t>
      </w:r>
      <w:r>
        <w:rPr>
          <w:rFonts w:hint="eastAsia" w:ascii="宋体" w:hAnsi="宋体" w:eastAsia="宋体"/>
          <w:lang w:val="zh-CN"/>
        </w:rPr>
        <w:t>会议</w:t>
      </w:r>
      <w:r>
        <w:rPr>
          <w:rFonts w:hint="eastAsia" w:ascii="宋体" w:hAnsi="宋体" w:eastAsia="宋体"/>
        </w:rPr>
        <w:t>系统</w:t>
      </w:r>
      <w:r>
        <w:rPr>
          <w:rFonts w:hint="eastAsia" w:ascii="宋体" w:hAnsi="宋体" w:eastAsia="宋体"/>
          <w:lang w:val="zh-CN"/>
        </w:rPr>
        <w:t>或</w:t>
      </w:r>
      <w:r>
        <w:rPr>
          <w:rFonts w:hint="eastAsia" w:ascii="宋体" w:hAnsi="宋体" w:eastAsia="宋体"/>
        </w:rPr>
        <w:t>其他</w:t>
      </w:r>
      <w:r>
        <w:rPr>
          <w:rFonts w:hint="eastAsia" w:ascii="宋体" w:hAnsi="宋体" w:eastAsia="宋体"/>
          <w:lang w:val="zh-CN"/>
        </w:rPr>
        <w:t>渠道信息</w:t>
      </w:r>
      <w:r>
        <w:rPr>
          <w:rFonts w:hint="eastAsia" w:ascii="宋体" w:hAnsi="宋体" w:eastAsia="宋体"/>
        </w:rPr>
        <w:t>等</w:t>
      </w:r>
      <w:r>
        <w:rPr>
          <w:rFonts w:hint="eastAsia" w:ascii="宋体" w:hAnsi="宋体" w:eastAsia="宋体"/>
          <w:lang w:val="zh-CN"/>
        </w:rPr>
        <w:t>。</w:t>
      </w:r>
    </w:p>
    <w:p w14:paraId="3147E66D">
      <w:pPr>
        <w:numPr>
          <w:ilvl w:val="0"/>
          <w:numId w:val="87"/>
        </w:numPr>
        <w:spacing w:line="360" w:lineRule="auto"/>
        <w:rPr>
          <w:rFonts w:hint="eastAsia" w:ascii="宋体" w:hAnsi="宋体" w:eastAsia="宋体"/>
          <w:lang w:val="zh-CN"/>
        </w:rPr>
      </w:pPr>
      <w:r>
        <w:rPr>
          <w:rFonts w:hint="eastAsia" w:ascii="宋体" w:hAnsi="宋体" w:eastAsia="宋体"/>
          <w:lang w:val="zh-CN"/>
        </w:rPr>
        <w:t>培训内容:</w:t>
      </w:r>
      <w:r>
        <w:rPr>
          <w:rFonts w:hint="eastAsia" w:ascii="宋体" w:hAnsi="宋体" w:eastAsia="宋体"/>
        </w:rPr>
        <w:t>项目管理、系统知识及使用、开发技术、安装部署、系统集成、用户使用、业务流转等系统相关内容均可开展培训</w:t>
      </w:r>
      <w:r>
        <w:rPr>
          <w:rFonts w:hint="eastAsia" w:ascii="宋体" w:hAnsi="宋体" w:eastAsia="宋体"/>
          <w:lang w:val="zh-CN"/>
        </w:rPr>
        <w:t>。</w:t>
      </w:r>
    </w:p>
    <w:p w14:paraId="2E5FB725">
      <w:pPr>
        <w:numPr>
          <w:ilvl w:val="0"/>
          <w:numId w:val="87"/>
        </w:numPr>
        <w:spacing w:line="360" w:lineRule="auto"/>
        <w:rPr>
          <w:rFonts w:hint="eastAsia" w:ascii="宋体" w:hAnsi="宋体" w:eastAsia="宋体"/>
          <w:lang w:val="zh-CN"/>
        </w:rPr>
      </w:pPr>
      <w:r>
        <w:rPr>
          <w:rFonts w:hint="eastAsia" w:ascii="宋体" w:hAnsi="宋体" w:eastAsia="宋体"/>
          <w:lang w:val="zh-CN"/>
        </w:rPr>
        <w:t>培训资料:电子文档、打印纸质文档、免费提供:</w:t>
      </w:r>
    </w:p>
    <w:p w14:paraId="2901CE39">
      <w:pPr>
        <w:numPr>
          <w:ilvl w:val="0"/>
          <w:numId w:val="87"/>
        </w:numPr>
        <w:spacing w:line="360" w:lineRule="auto"/>
        <w:rPr>
          <w:rFonts w:hint="eastAsia" w:ascii="宋体" w:hAnsi="宋体" w:eastAsia="宋体"/>
          <w:lang w:val="zh-CN"/>
        </w:rPr>
      </w:pPr>
      <w:r>
        <w:rPr>
          <w:rFonts w:hint="eastAsia" w:ascii="宋体" w:hAnsi="宋体" w:eastAsia="宋体"/>
          <w:lang w:val="zh-CN"/>
        </w:rPr>
        <w:t>培训日程:大规模培训需要</w:t>
      </w:r>
      <w:r>
        <w:rPr>
          <w:rFonts w:hint="eastAsia" w:ascii="宋体" w:hAnsi="宋体" w:eastAsia="宋体"/>
        </w:rPr>
        <w:t>另行</w:t>
      </w:r>
      <w:r>
        <w:rPr>
          <w:rFonts w:hint="eastAsia" w:ascii="宋体" w:hAnsi="宋体" w:eastAsia="宋体"/>
          <w:lang w:val="zh-CN"/>
        </w:rPr>
        <w:t>制定培训日程</w:t>
      </w:r>
      <w:r>
        <w:rPr>
          <w:rFonts w:hint="eastAsia" w:ascii="宋体" w:hAnsi="宋体" w:eastAsia="宋体"/>
        </w:rPr>
        <w:t>安排</w:t>
      </w:r>
      <w:r>
        <w:rPr>
          <w:rFonts w:hint="eastAsia" w:ascii="宋体" w:hAnsi="宋体" w:eastAsia="宋体"/>
          <w:lang w:val="zh-CN"/>
        </w:rPr>
        <w:t>;</w:t>
      </w:r>
    </w:p>
    <w:p w14:paraId="45513AFF">
      <w:pPr>
        <w:numPr>
          <w:ilvl w:val="0"/>
          <w:numId w:val="87"/>
        </w:numPr>
        <w:spacing w:line="360" w:lineRule="auto"/>
        <w:rPr>
          <w:rFonts w:hint="eastAsia" w:ascii="宋体" w:hAnsi="宋体" w:eastAsia="宋体"/>
          <w:lang w:val="zh-CN"/>
        </w:rPr>
      </w:pPr>
      <w:r>
        <w:rPr>
          <w:rFonts w:hint="eastAsia" w:ascii="宋体" w:hAnsi="宋体" w:eastAsia="宋体"/>
          <w:lang w:val="zh-CN"/>
        </w:rPr>
        <w:t>培训系统环境:模拟系统</w:t>
      </w:r>
      <w:r>
        <w:rPr>
          <w:rFonts w:hint="eastAsia" w:ascii="宋体" w:hAnsi="宋体" w:eastAsia="宋体"/>
        </w:rPr>
        <w:t>等</w:t>
      </w:r>
      <w:r>
        <w:rPr>
          <w:rFonts w:hint="eastAsia" w:ascii="宋体" w:hAnsi="宋体" w:eastAsia="宋体"/>
          <w:lang w:val="zh-CN"/>
        </w:rPr>
        <w:t>；</w:t>
      </w:r>
    </w:p>
    <w:p w14:paraId="58511DC1">
      <w:pPr>
        <w:pStyle w:val="6"/>
        <w:numPr>
          <w:ilvl w:val="2"/>
          <w:numId w:val="39"/>
        </w:numPr>
        <w:spacing w:before="260" w:after="260" w:line="416" w:lineRule="auto"/>
        <w:jc w:val="both"/>
        <w:rPr>
          <w:rFonts w:hint="eastAsia" w:ascii="宋体" w:hAnsi="宋体" w:cstheme="majorBidi"/>
          <w:szCs w:val="24"/>
        </w:rPr>
      </w:pPr>
      <w:bookmarkStart w:id="272" w:name="_Toc180265673"/>
      <w:r>
        <w:rPr>
          <w:rFonts w:hint="eastAsia" w:ascii="宋体" w:hAnsi="宋体" w:cstheme="majorBidi"/>
          <w:szCs w:val="24"/>
        </w:rPr>
        <w:t>培训安排</w:t>
      </w:r>
      <w:bookmarkEnd w:id="272"/>
    </w:p>
    <w:p w14:paraId="3AEF5C24">
      <w:pPr>
        <w:spacing w:line="360" w:lineRule="auto"/>
        <w:ind w:firstLine="420"/>
        <w:rPr>
          <w:rFonts w:hint="eastAsia" w:ascii="宋体" w:hAnsi="宋体" w:eastAsia="宋体"/>
        </w:rPr>
      </w:pPr>
      <w:r>
        <w:rPr>
          <w:rFonts w:hint="eastAsia" w:ascii="宋体" w:hAnsi="宋体" w:eastAsia="宋体"/>
        </w:rPr>
        <w:t>针对不同角色的培训内容和计划包括且不限于下述安排。</w:t>
      </w:r>
    </w:p>
    <w:p w14:paraId="0BAEA18E">
      <w:pPr>
        <w:numPr>
          <w:ilvl w:val="0"/>
          <w:numId w:val="88"/>
        </w:numPr>
        <w:spacing w:line="360" w:lineRule="auto"/>
        <w:rPr>
          <w:rFonts w:hint="eastAsia" w:ascii="宋体" w:hAnsi="宋体" w:eastAsia="宋体"/>
        </w:rPr>
      </w:pPr>
      <w:r>
        <w:rPr>
          <w:rFonts w:hint="eastAsia" w:ascii="宋体" w:hAnsi="宋体" w:eastAsia="宋体"/>
        </w:rPr>
        <w:t>领导、项目管理人员</w:t>
      </w:r>
    </w:p>
    <w:p w14:paraId="45787B35">
      <w:pPr>
        <w:spacing w:line="360" w:lineRule="auto"/>
        <w:ind w:firstLine="420"/>
        <w:rPr>
          <w:rFonts w:hint="eastAsia" w:ascii="宋体" w:hAnsi="宋体" w:eastAsia="宋体"/>
        </w:rPr>
      </w:pPr>
      <w:r>
        <w:rPr>
          <w:rFonts w:hint="eastAsia" w:ascii="宋体" w:hAnsi="宋体" w:eastAsia="宋体"/>
        </w:rPr>
        <w:t>培训目标：向领导、项目管理、项目参与人员培训和汇报系统整体规划、项目实施成果、业务流程情况、系统整体框架等。</w:t>
      </w:r>
    </w:p>
    <w:p w14:paraId="3A1B8A0E">
      <w:pPr>
        <w:spacing w:line="360" w:lineRule="auto"/>
        <w:ind w:firstLine="420"/>
        <w:rPr>
          <w:rFonts w:hint="eastAsia" w:ascii="宋体" w:hAnsi="宋体" w:eastAsia="宋体"/>
        </w:rPr>
      </w:pPr>
      <w:r>
        <w:rPr>
          <w:rFonts w:hint="eastAsia" w:ascii="宋体" w:hAnsi="宋体" w:eastAsia="宋体"/>
        </w:rPr>
        <w:t>培训方式：集中组织，PPT汇报和介绍方式。</w:t>
      </w:r>
    </w:p>
    <w:p w14:paraId="4D8C00D8">
      <w:pPr>
        <w:spacing w:line="360" w:lineRule="auto"/>
        <w:ind w:firstLine="420"/>
        <w:rPr>
          <w:rFonts w:hint="eastAsia" w:ascii="宋体" w:hAnsi="宋体" w:eastAsia="宋体"/>
        </w:rPr>
      </w:pPr>
      <w:r>
        <w:rPr>
          <w:rFonts w:hint="eastAsia" w:ascii="宋体" w:hAnsi="宋体" w:eastAsia="宋体"/>
        </w:rPr>
        <w:t>培训时间：项目启动前期及项目实施阶段成果后</w:t>
      </w:r>
    </w:p>
    <w:p w14:paraId="0F093C6F">
      <w:pPr>
        <w:spacing w:line="360" w:lineRule="auto"/>
        <w:ind w:firstLine="420"/>
        <w:rPr>
          <w:rFonts w:hint="eastAsia" w:ascii="宋体" w:hAnsi="宋体" w:eastAsia="宋体"/>
        </w:rPr>
      </w:pPr>
      <w:r>
        <w:rPr>
          <w:rFonts w:hint="eastAsia" w:ascii="宋体" w:hAnsi="宋体" w:eastAsia="宋体"/>
        </w:rPr>
        <w:t>培训时长：0.5-1天/次</w:t>
      </w:r>
    </w:p>
    <w:p w14:paraId="70601941">
      <w:pPr>
        <w:spacing w:line="360" w:lineRule="auto"/>
        <w:ind w:firstLine="420"/>
        <w:rPr>
          <w:rFonts w:hint="eastAsia" w:ascii="宋体" w:hAnsi="宋体" w:eastAsia="宋体"/>
        </w:rPr>
      </w:pPr>
      <w:r>
        <w:rPr>
          <w:rFonts w:hint="eastAsia" w:ascii="宋体" w:hAnsi="宋体" w:eastAsia="宋体"/>
        </w:rPr>
        <w:t>培训人员：1-2人（项目经理、技术负责人）</w:t>
      </w:r>
    </w:p>
    <w:p w14:paraId="31B5D5E4">
      <w:pPr>
        <w:spacing w:line="360" w:lineRule="auto"/>
        <w:ind w:firstLine="420"/>
        <w:rPr>
          <w:rFonts w:hint="eastAsia" w:ascii="宋体" w:hAnsi="宋体" w:eastAsia="宋体"/>
        </w:rPr>
      </w:pPr>
      <w:r>
        <w:rPr>
          <w:rFonts w:hint="eastAsia" w:ascii="宋体" w:hAnsi="宋体" w:eastAsia="宋体"/>
        </w:rPr>
        <w:t>日程安排：待定</w:t>
      </w:r>
    </w:p>
    <w:p w14:paraId="27DB484C">
      <w:pPr>
        <w:spacing w:line="360" w:lineRule="auto"/>
        <w:ind w:firstLine="420"/>
        <w:rPr>
          <w:rFonts w:hint="eastAsia" w:ascii="宋体" w:hAnsi="宋体" w:eastAsia="宋体"/>
        </w:rPr>
      </w:pPr>
      <w:r>
        <w:rPr>
          <w:rFonts w:hint="eastAsia" w:ascii="宋体" w:hAnsi="宋体" w:eastAsia="宋体"/>
        </w:rPr>
        <w:t>培训地点：待定</w:t>
      </w:r>
    </w:p>
    <w:p w14:paraId="2271557E">
      <w:pPr>
        <w:spacing w:line="360" w:lineRule="auto"/>
        <w:ind w:firstLine="420"/>
        <w:rPr>
          <w:rFonts w:hint="eastAsia" w:ascii="宋体" w:hAnsi="宋体" w:eastAsia="宋体"/>
        </w:rPr>
      </w:pPr>
      <w:r>
        <w:rPr>
          <w:rFonts w:hint="eastAsia" w:ascii="宋体" w:hAnsi="宋体" w:eastAsia="宋体"/>
        </w:rPr>
        <w:t>培训资料：系统实施方案、系统设计方案、阶段性实施报告等</w:t>
      </w:r>
    </w:p>
    <w:p w14:paraId="70E979FE">
      <w:pPr>
        <w:spacing w:line="360" w:lineRule="auto"/>
        <w:ind w:firstLine="420"/>
        <w:rPr>
          <w:rFonts w:hint="eastAsia" w:ascii="宋体" w:hAnsi="宋体" w:eastAsia="宋体"/>
        </w:rPr>
      </w:pPr>
      <w:r>
        <w:rPr>
          <w:rFonts w:hint="eastAsia" w:ascii="宋体" w:hAnsi="宋体" w:eastAsia="宋体"/>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0AC6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7FA0075">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CF053A8">
            <w:pPr>
              <w:spacing w:line="360" w:lineRule="auto"/>
              <w:ind w:firstLine="420"/>
              <w:rPr>
                <w:rFonts w:hint="eastAsia" w:ascii="宋体" w:hAnsi="宋体" w:eastAsia="宋体"/>
              </w:rPr>
            </w:pPr>
            <w:r>
              <w:rPr>
                <w:rFonts w:hint="eastAsia" w:ascii="宋体" w:hAnsi="宋体" w:eastAsia="宋体"/>
              </w:rPr>
              <w:t>根据项目工作计划初步确定培训时间；高层参加培训的人员确定；培训内容的准备；培训老师的准备；</w:t>
            </w:r>
          </w:p>
        </w:tc>
      </w:tr>
      <w:tr w14:paraId="31A4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0EBA965">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1BCE7F94">
            <w:pPr>
              <w:spacing w:line="360" w:lineRule="auto"/>
              <w:ind w:firstLine="420"/>
              <w:rPr>
                <w:rFonts w:hint="eastAsia" w:ascii="宋体" w:hAnsi="宋体" w:eastAsia="宋体"/>
              </w:rPr>
            </w:pPr>
            <w:r>
              <w:rPr>
                <w:rFonts w:hint="eastAsia" w:ascii="宋体" w:hAnsi="宋体" w:eastAsia="宋体"/>
              </w:rPr>
              <w:t>培训内容可以包括系统整体规划、项目实施成果、业务流程情况、系统整体框架等；</w:t>
            </w:r>
          </w:p>
          <w:p w14:paraId="5C011C38">
            <w:pPr>
              <w:spacing w:line="360" w:lineRule="auto"/>
              <w:ind w:firstLine="420"/>
              <w:rPr>
                <w:rFonts w:hint="eastAsia" w:ascii="宋体" w:hAnsi="宋体" w:eastAsia="宋体"/>
              </w:rPr>
            </w:pPr>
            <w:r>
              <w:rPr>
                <w:rFonts w:hint="eastAsia" w:ascii="宋体" w:hAnsi="宋体" w:eastAsia="宋体"/>
              </w:rPr>
              <w:t>培训人员应对项目整体有较高理解和认识。</w:t>
            </w:r>
          </w:p>
        </w:tc>
      </w:tr>
    </w:tbl>
    <w:p w14:paraId="0B090492">
      <w:pPr>
        <w:spacing w:line="360" w:lineRule="auto"/>
        <w:ind w:firstLine="420"/>
        <w:rPr>
          <w:rFonts w:hint="eastAsia" w:ascii="宋体" w:hAnsi="宋体" w:eastAsia="宋体"/>
        </w:rPr>
      </w:pPr>
      <w:r>
        <w:rPr>
          <w:rFonts w:hint="eastAsia" w:ascii="宋体" w:hAnsi="宋体" w:eastAsia="宋体"/>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6962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40101B2">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65AAED64">
            <w:pPr>
              <w:spacing w:line="360" w:lineRule="auto"/>
              <w:ind w:firstLine="420"/>
              <w:rPr>
                <w:rFonts w:hint="eastAsia" w:ascii="宋体" w:hAnsi="宋体" w:eastAsia="宋体"/>
              </w:rPr>
            </w:pPr>
            <w:r>
              <w:rPr>
                <w:rFonts w:hint="eastAsia" w:ascii="宋体" w:hAnsi="宋体" w:eastAsia="宋体"/>
              </w:rPr>
              <w:t>开展培训工作。</w:t>
            </w:r>
          </w:p>
        </w:tc>
      </w:tr>
      <w:tr w14:paraId="193C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187E398">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053339C8">
            <w:pPr>
              <w:spacing w:line="360" w:lineRule="auto"/>
              <w:ind w:firstLine="420"/>
              <w:rPr>
                <w:rFonts w:hint="eastAsia" w:ascii="宋体" w:hAnsi="宋体" w:eastAsia="宋体"/>
              </w:rPr>
            </w:pPr>
            <w:r>
              <w:rPr>
                <w:rFonts w:hint="eastAsia" w:ascii="宋体" w:hAnsi="宋体" w:eastAsia="宋体"/>
              </w:rPr>
              <w:t>培训工作由客户方负责人主持，由相关领导明确培训要求。</w:t>
            </w:r>
          </w:p>
        </w:tc>
      </w:tr>
    </w:tbl>
    <w:p w14:paraId="39AF8652">
      <w:pPr>
        <w:spacing w:line="360" w:lineRule="auto"/>
        <w:ind w:firstLine="420"/>
        <w:rPr>
          <w:rFonts w:hint="eastAsia" w:ascii="宋体" w:hAnsi="宋体" w:eastAsia="宋体"/>
        </w:rPr>
      </w:pPr>
      <w:r>
        <w:rPr>
          <w:rFonts w:hint="eastAsia" w:ascii="宋体" w:hAnsi="宋体" w:eastAsia="宋体"/>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26E8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DC0D108">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091FE033">
            <w:pPr>
              <w:spacing w:line="360" w:lineRule="auto"/>
              <w:ind w:firstLine="420"/>
              <w:rPr>
                <w:rFonts w:hint="eastAsia" w:ascii="宋体" w:hAnsi="宋体" w:eastAsia="宋体"/>
              </w:rPr>
            </w:pPr>
            <w:r>
              <w:rPr>
                <w:rFonts w:hint="eastAsia" w:ascii="宋体" w:hAnsi="宋体" w:eastAsia="宋体"/>
              </w:rPr>
              <w:t>培训工作完成后，对培训效果进行评估。</w:t>
            </w:r>
          </w:p>
        </w:tc>
      </w:tr>
      <w:tr w14:paraId="1C0C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8079A1F">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66B07F2F">
            <w:pPr>
              <w:spacing w:line="360" w:lineRule="auto"/>
              <w:ind w:firstLine="420"/>
              <w:rPr>
                <w:rFonts w:hint="eastAsia" w:ascii="宋体" w:hAnsi="宋体" w:eastAsia="宋体"/>
              </w:rPr>
            </w:pPr>
            <w:r>
              <w:rPr>
                <w:rFonts w:hint="eastAsia" w:ascii="宋体" w:hAnsi="宋体" w:eastAsia="宋体"/>
              </w:rPr>
              <w:t>由客户方负责人对培训现场进行直接评估，也可以培训完成后，单独了解。</w:t>
            </w:r>
          </w:p>
        </w:tc>
      </w:tr>
    </w:tbl>
    <w:p w14:paraId="19F94FBC">
      <w:pPr>
        <w:numPr>
          <w:ilvl w:val="0"/>
          <w:numId w:val="88"/>
        </w:numPr>
        <w:spacing w:line="360" w:lineRule="auto"/>
        <w:rPr>
          <w:rFonts w:hint="eastAsia" w:ascii="宋体" w:hAnsi="宋体" w:eastAsia="宋体"/>
        </w:rPr>
      </w:pPr>
      <w:r>
        <w:rPr>
          <w:rFonts w:hint="eastAsia" w:ascii="宋体" w:hAnsi="宋体" w:eastAsia="宋体"/>
        </w:rPr>
        <w:t>各类技术人员和技术负责人</w:t>
      </w:r>
    </w:p>
    <w:p w14:paraId="0C74A73B">
      <w:pPr>
        <w:spacing w:line="360" w:lineRule="auto"/>
        <w:ind w:firstLine="420"/>
        <w:rPr>
          <w:rFonts w:hint="eastAsia" w:ascii="宋体" w:hAnsi="宋体" w:eastAsia="宋体"/>
        </w:rPr>
      </w:pPr>
      <w:r>
        <w:rPr>
          <w:rFonts w:hint="eastAsia" w:ascii="宋体" w:hAnsi="宋体" w:eastAsia="宋体"/>
        </w:rPr>
        <w:t>培训目标：系统知识及开发技术相关知识培训，使各类技术人员和技术负责人能够掌握所需的系统知识、代码开发知识、数据结构、业务流转与数据交互逻辑、接口设计及调用、技术中间件、系统部署运维知识等。</w:t>
      </w:r>
    </w:p>
    <w:p w14:paraId="7240444B">
      <w:pPr>
        <w:spacing w:line="360" w:lineRule="auto"/>
        <w:ind w:firstLine="420"/>
        <w:rPr>
          <w:rFonts w:hint="eastAsia" w:ascii="宋体" w:hAnsi="宋体" w:eastAsia="宋体"/>
        </w:rPr>
      </w:pPr>
      <w:r>
        <w:rPr>
          <w:rFonts w:hint="eastAsia" w:ascii="宋体" w:hAnsi="宋体" w:eastAsia="宋体"/>
        </w:rPr>
        <w:t>培训方式：小范围分批次，一般需要针对技术环节由专业技术人员进行点对点培训。</w:t>
      </w:r>
    </w:p>
    <w:p w14:paraId="2688E47D">
      <w:pPr>
        <w:spacing w:line="360" w:lineRule="auto"/>
        <w:ind w:firstLine="420"/>
        <w:rPr>
          <w:rFonts w:hint="eastAsia" w:ascii="宋体" w:hAnsi="宋体" w:eastAsia="宋体"/>
        </w:rPr>
      </w:pPr>
      <w:r>
        <w:rPr>
          <w:rFonts w:hint="eastAsia" w:ascii="宋体" w:hAnsi="宋体" w:eastAsia="宋体"/>
        </w:rPr>
        <w:t>培训时间：项目实施后期，系统研发及部署工作基本完成后。</w:t>
      </w:r>
    </w:p>
    <w:p w14:paraId="6CB250F8">
      <w:pPr>
        <w:spacing w:line="360" w:lineRule="auto"/>
        <w:ind w:firstLine="420"/>
        <w:rPr>
          <w:rFonts w:hint="eastAsia" w:ascii="宋体" w:hAnsi="宋体" w:eastAsia="宋体"/>
        </w:rPr>
      </w:pPr>
      <w:r>
        <w:rPr>
          <w:rFonts w:hint="eastAsia" w:ascii="宋体" w:hAnsi="宋体" w:eastAsia="宋体"/>
        </w:rPr>
        <w:t>培训时长：2-4天</w:t>
      </w:r>
    </w:p>
    <w:p w14:paraId="0FD937D4">
      <w:pPr>
        <w:spacing w:line="360" w:lineRule="auto"/>
        <w:ind w:firstLine="420"/>
        <w:rPr>
          <w:rFonts w:hint="eastAsia" w:ascii="宋体" w:hAnsi="宋体" w:eastAsia="宋体"/>
        </w:rPr>
      </w:pPr>
      <w:r>
        <w:rPr>
          <w:rFonts w:hint="eastAsia" w:ascii="宋体" w:hAnsi="宋体" w:eastAsia="宋体"/>
        </w:rPr>
        <w:t>培训人员：2-3人（技术培训人员1-2人，运维人员1人）</w:t>
      </w:r>
    </w:p>
    <w:p w14:paraId="1B3F6BB4">
      <w:pPr>
        <w:spacing w:line="360" w:lineRule="auto"/>
        <w:ind w:firstLine="420"/>
        <w:rPr>
          <w:rFonts w:hint="eastAsia" w:ascii="宋体" w:hAnsi="宋体" w:eastAsia="宋体"/>
        </w:rPr>
      </w:pPr>
      <w:r>
        <w:rPr>
          <w:rFonts w:hint="eastAsia" w:ascii="宋体" w:hAnsi="宋体" w:eastAsia="宋体"/>
        </w:rPr>
        <w:t>日程安排：待定</w:t>
      </w:r>
    </w:p>
    <w:p w14:paraId="6B1387E5">
      <w:pPr>
        <w:spacing w:line="360" w:lineRule="auto"/>
        <w:ind w:firstLine="420"/>
        <w:rPr>
          <w:rFonts w:hint="eastAsia" w:ascii="宋体" w:hAnsi="宋体" w:eastAsia="宋体"/>
        </w:rPr>
      </w:pPr>
      <w:r>
        <w:rPr>
          <w:rFonts w:hint="eastAsia" w:ascii="宋体" w:hAnsi="宋体" w:eastAsia="宋体"/>
        </w:rPr>
        <w:t>培训地点：待定，建议需满足代码或系统知识查看所需的环境要求</w:t>
      </w:r>
    </w:p>
    <w:p w14:paraId="67513C2C">
      <w:pPr>
        <w:spacing w:line="360" w:lineRule="auto"/>
        <w:ind w:firstLine="420"/>
        <w:rPr>
          <w:rFonts w:hint="eastAsia" w:ascii="宋体" w:hAnsi="宋体" w:eastAsia="宋体"/>
        </w:rPr>
      </w:pPr>
      <w:r>
        <w:rPr>
          <w:rFonts w:hint="eastAsia" w:ascii="宋体" w:hAnsi="宋体" w:eastAsia="宋体"/>
        </w:rPr>
        <w:t>培训资料：系统设计方案、技术文档、系统部署手册等</w:t>
      </w:r>
    </w:p>
    <w:p w14:paraId="327E580D">
      <w:pPr>
        <w:spacing w:line="360" w:lineRule="auto"/>
        <w:ind w:firstLine="420"/>
        <w:rPr>
          <w:rFonts w:hint="eastAsia" w:ascii="宋体" w:hAnsi="宋体" w:eastAsia="宋体"/>
        </w:rPr>
      </w:pPr>
      <w:r>
        <w:rPr>
          <w:rFonts w:hint="eastAsia" w:ascii="宋体" w:hAnsi="宋体" w:eastAsia="宋体"/>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4E2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3404AC10">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3249A446">
            <w:pPr>
              <w:spacing w:line="360" w:lineRule="auto"/>
              <w:ind w:firstLine="420"/>
              <w:rPr>
                <w:rFonts w:hint="eastAsia" w:ascii="宋体" w:hAnsi="宋体" w:eastAsia="宋体"/>
              </w:rPr>
            </w:pPr>
            <w:r>
              <w:rPr>
                <w:rFonts w:hint="eastAsia" w:ascii="宋体" w:hAnsi="宋体" w:eastAsia="宋体"/>
              </w:rPr>
              <w:t>根据项目工作计划初步确定培训时间；参加培训的技术人员确定；培训内容及培训材料的准备；培训老师的准备；</w:t>
            </w:r>
          </w:p>
        </w:tc>
      </w:tr>
      <w:tr w14:paraId="3560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00B201C">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65DB9E99">
            <w:pPr>
              <w:spacing w:line="360" w:lineRule="auto"/>
              <w:ind w:firstLine="420"/>
              <w:rPr>
                <w:rFonts w:hint="eastAsia" w:ascii="宋体" w:hAnsi="宋体" w:eastAsia="宋体"/>
              </w:rPr>
            </w:pPr>
            <w:r>
              <w:rPr>
                <w:rFonts w:hint="eastAsia" w:ascii="宋体" w:hAnsi="宋体" w:eastAsia="宋体"/>
              </w:rPr>
              <w:t>培训人员应对系统技术相关知识有足够理解，并具备培训经验。</w:t>
            </w:r>
          </w:p>
        </w:tc>
      </w:tr>
    </w:tbl>
    <w:p w14:paraId="474DC7CD">
      <w:pPr>
        <w:spacing w:line="360" w:lineRule="auto"/>
        <w:ind w:firstLine="420"/>
        <w:rPr>
          <w:rFonts w:hint="eastAsia" w:ascii="宋体" w:hAnsi="宋体" w:eastAsia="宋体"/>
        </w:rPr>
      </w:pPr>
      <w:r>
        <w:rPr>
          <w:rFonts w:hint="eastAsia" w:ascii="宋体" w:hAnsi="宋体" w:eastAsia="宋体"/>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0995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0DF6DB5E">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24A5B19">
            <w:pPr>
              <w:spacing w:line="360" w:lineRule="auto"/>
              <w:ind w:firstLine="420"/>
              <w:rPr>
                <w:rFonts w:hint="eastAsia" w:ascii="宋体" w:hAnsi="宋体" w:eastAsia="宋体"/>
              </w:rPr>
            </w:pPr>
            <w:r>
              <w:rPr>
                <w:rFonts w:hint="eastAsia" w:ascii="宋体" w:hAnsi="宋体" w:eastAsia="宋体"/>
              </w:rPr>
              <w:t>开展培训工作。</w:t>
            </w:r>
          </w:p>
        </w:tc>
      </w:tr>
      <w:tr w14:paraId="776A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C15E8E4">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7F944D6A">
            <w:pPr>
              <w:spacing w:line="360" w:lineRule="auto"/>
              <w:ind w:firstLine="420"/>
              <w:rPr>
                <w:rFonts w:hint="eastAsia" w:ascii="宋体" w:hAnsi="宋体" w:eastAsia="宋体"/>
              </w:rPr>
            </w:pPr>
            <w:r>
              <w:rPr>
                <w:rFonts w:hint="eastAsia" w:ascii="宋体" w:hAnsi="宋体" w:eastAsia="宋体"/>
              </w:rPr>
              <w:t>需提前下发相关培训资料，预留足够的技术答疑时间安排</w:t>
            </w:r>
          </w:p>
        </w:tc>
      </w:tr>
    </w:tbl>
    <w:p w14:paraId="5734210B">
      <w:pPr>
        <w:spacing w:line="360" w:lineRule="auto"/>
        <w:ind w:firstLine="420"/>
        <w:rPr>
          <w:rFonts w:hint="eastAsia" w:ascii="宋体" w:hAnsi="宋体" w:eastAsia="宋体"/>
        </w:rPr>
      </w:pPr>
      <w:r>
        <w:rPr>
          <w:rFonts w:hint="eastAsia" w:ascii="宋体" w:hAnsi="宋体" w:eastAsia="宋体"/>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2B73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05E4750C">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286AFCDE">
            <w:pPr>
              <w:spacing w:line="360" w:lineRule="auto"/>
              <w:ind w:firstLine="420"/>
              <w:rPr>
                <w:rFonts w:hint="eastAsia" w:ascii="宋体" w:hAnsi="宋体" w:eastAsia="宋体"/>
              </w:rPr>
            </w:pPr>
            <w:r>
              <w:rPr>
                <w:rFonts w:hint="eastAsia" w:ascii="宋体" w:hAnsi="宋体" w:eastAsia="宋体"/>
              </w:rPr>
              <w:t>培训工作完成后，对培训效果进行评估。</w:t>
            </w:r>
          </w:p>
        </w:tc>
      </w:tr>
      <w:tr w14:paraId="6379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0A8C46B2">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4280D509">
            <w:pPr>
              <w:spacing w:line="360" w:lineRule="auto"/>
              <w:ind w:firstLine="420"/>
              <w:rPr>
                <w:rFonts w:hint="eastAsia" w:ascii="宋体" w:hAnsi="宋体" w:eastAsia="宋体"/>
              </w:rPr>
            </w:pPr>
            <w:r>
              <w:rPr>
                <w:rFonts w:hint="eastAsia" w:ascii="宋体" w:hAnsi="宋体" w:eastAsia="宋体"/>
              </w:rPr>
              <w:t>由客户方技术负责人对培训现场进行直接评估。培训完成后，也需了解技术人员受训情况。</w:t>
            </w:r>
          </w:p>
        </w:tc>
      </w:tr>
    </w:tbl>
    <w:p w14:paraId="47510915">
      <w:pPr>
        <w:numPr>
          <w:ilvl w:val="0"/>
          <w:numId w:val="88"/>
        </w:numPr>
        <w:spacing w:line="360" w:lineRule="auto"/>
        <w:rPr>
          <w:rFonts w:hint="eastAsia" w:ascii="宋体" w:hAnsi="宋体" w:eastAsia="宋体"/>
        </w:rPr>
      </w:pPr>
      <w:r>
        <w:rPr>
          <w:rFonts w:hint="eastAsia" w:ascii="宋体" w:hAnsi="宋体" w:eastAsia="宋体"/>
        </w:rPr>
        <w:t>系统管理人员</w:t>
      </w:r>
    </w:p>
    <w:p w14:paraId="0AD634F6">
      <w:pPr>
        <w:spacing w:line="360" w:lineRule="auto"/>
        <w:ind w:firstLine="420"/>
        <w:rPr>
          <w:rFonts w:hint="eastAsia" w:ascii="宋体" w:hAnsi="宋体" w:eastAsia="宋体"/>
        </w:rPr>
      </w:pPr>
      <w:r>
        <w:rPr>
          <w:rFonts w:hint="eastAsia" w:ascii="宋体" w:hAnsi="宋体" w:eastAsia="宋体"/>
        </w:rPr>
        <w:t>培训目标：使系统管理员掌握系统管理所需知识，能够对系统运营过程中所需的系统管理相关操作足够了解，能够完成相关管理或配置工作。</w:t>
      </w:r>
    </w:p>
    <w:p w14:paraId="56BA7C09">
      <w:pPr>
        <w:spacing w:line="360" w:lineRule="auto"/>
        <w:ind w:firstLine="420"/>
        <w:rPr>
          <w:rFonts w:hint="eastAsia" w:ascii="宋体" w:hAnsi="宋体" w:eastAsia="宋体"/>
        </w:rPr>
      </w:pPr>
      <w:r>
        <w:rPr>
          <w:rFonts w:hint="eastAsia" w:ascii="宋体" w:hAnsi="宋体" w:eastAsia="宋体"/>
        </w:rPr>
        <w:t>培训方式：集中点对点培训或办公室培训。</w:t>
      </w:r>
    </w:p>
    <w:p w14:paraId="4B3547BA">
      <w:pPr>
        <w:spacing w:line="360" w:lineRule="auto"/>
        <w:ind w:firstLine="420"/>
        <w:rPr>
          <w:rFonts w:hint="eastAsia" w:ascii="宋体" w:hAnsi="宋体" w:eastAsia="宋体"/>
        </w:rPr>
      </w:pPr>
      <w:r>
        <w:rPr>
          <w:rFonts w:hint="eastAsia" w:ascii="宋体" w:hAnsi="宋体" w:eastAsia="宋体"/>
        </w:rPr>
        <w:t>培训时间：项目运营启动前</w:t>
      </w:r>
    </w:p>
    <w:p w14:paraId="560D77F8">
      <w:pPr>
        <w:spacing w:line="360" w:lineRule="auto"/>
        <w:ind w:firstLine="420"/>
        <w:rPr>
          <w:rFonts w:hint="eastAsia" w:ascii="宋体" w:hAnsi="宋体" w:eastAsia="宋体"/>
        </w:rPr>
      </w:pPr>
      <w:r>
        <w:rPr>
          <w:rFonts w:hint="eastAsia" w:ascii="宋体" w:hAnsi="宋体" w:eastAsia="宋体"/>
        </w:rPr>
        <w:t>培训时长：1天</w:t>
      </w:r>
    </w:p>
    <w:p w14:paraId="5DC05748">
      <w:pPr>
        <w:spacing w:line="360" w:lineRule="auto"/>
        <w:ind w:firstLine="420"/>
        <w:rPr>
          <w:rFonts w:hint="eastAsia" w:ascii="宋体" w:hAnsi="宋体" w:eastAsia="宋体"/>
        </w:rPr>
      </w:pPr>
      <w:r>
        <w:rPr>
          <w:rFonts w:hint="eastAsia" w:ascii="宋体" w:hAnsi="宋体" w:eastAsia="宋体"/>
        </w:rPr>
        <w:t>培训人员：1人（系统培训人员1人）</w:t>
      </w:r>
    </w:p>
    <w:p w14:paraId="36E15E77">
      <w:pPr>
        <w:spacing w:line="360" w:lineRule="auto"/>
        <w:ind w:firstLine="420"/>
        <w:rPr>
          <w:rFonts w:hint="eastAsia" w:ascii="宋体" w:hAnsi="宋体" w:eastAsia="宋体"/>
        </w:rPr>
      </w:pPr>
      <w:r>
        <w:rPr>
          <w:rFonts w:hint="eastAsia" w:ascii="宋体" w:hAnsi="宋体" w:eastAsia="宋体"/>
        </w:rPr>
        <w:t>日程安排：待定</w:t>
      </w:r>
    </w:p>
    <w:p w14:paraId="7EF1D7FD">
      <w:pPr>
        <w:spacing w:line="360" w:lineRule="auto"/>
        <w:ind w:firstLine="420"/>
        <w:rPr>
          <w:rFonts w:hint="eastAsia" w:ascii="宋体" w:hAnsi="宋体" w:eastAsia="宋体"/>
        </w:rPr>
      </w:pPr>
      <w:r>
        <w:rPr>
          <w:rFonts w:hint="eastAsia" w:ascii="宋体" w:hAnsi="宋体" w:eastAsia="宋体"/>
        </w:rPr>
        <w:t>培训地点：待定，需能够访问测试及正式系统</w:t>
      </w:r>
    </w:p>
    <w:p w14:paraId="1EF8002B">
      <w:pPr>
        <w:spacing w:line="360" w:lineRule="auto"/>
        <w:ind w:firstLine="420"/>
        <w:rPr>
          <w:rFonts w:hint="eastAsia" w:ascii="宋体" w:hAnsi="宋体" w:eastAsia="宋体"/>
        </w:rPr>
      </w:pPr>
      <w:r>
        <w:rPr>
          <w:rFonts w:hint="eastAsia" w:ascii="宋体" w:hAnsi="宋体" w:eastAsia="宋体"/>
        </w:rPr>
        <w:t>培训资料：系统管理员操作手册等</w:t>
      </w:r>
    </w:p>
    <w:p w14:paraId="2B2B43D2">
      <w:pPr>
        <w:spacing w:line="360" w:lineRule="auto"/>
        <w:ind w:firstLine="420"/>
        <w:rPr>
          <w:rFonts w:hint="eastAsia" w:ascii="宋体" w:hAnsi="宋体" w:eastAsia="宋体"/>
        </w:rPr>
      </w:pPr>
      <w:r>
        <w:rPr>
          <w:rFonts w:hint="eastAsia" w:ascii="宋体" w:hAnsi="宋体" w:eastAsia="宋体"/>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6AD3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35D58CBB">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C84B9AC">
            <w:pPr>
              <w:spacing w:line="360" w:lineRule="auto"/>
              <w:ind w:firstLine="420"/>
              <w:rPr>
                <w:rFonts w:hint="eastAsia" w:ascii="宋体" w:hAnsi="宋体" w:eastAsia="宋体"/>
              </w:rPr>
            </w:pPr>
            <w:r>
              <w:rPr>
                <w:rFonts w:hint="eastAsia" w:ascii="宋体" w:hAnsi="宋体" w:eastAsia="宋体"/>
              </w:rPr>
              <w:t>根据项目工作计划初步确定培训时间；参加培训系统管理人员确定；培训内容及培训材料的准备；培训老师的准备；准备测试环境；</w:t>
            </w:r>
          </w:p>
        </w:tc>
      </w:tr>
      <w:tr w14:paraId="4269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FB39465">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0750D0DE">
            <w:pPr>
              <w:spacing w:line="360" w:lineRule="auto"/>
              <w:ind w:firstLine="420"/>
              <w:rPr>
                <w:rFonts w:hint="eastAsia" w:ascii="宋体" w:hAnsi="宋体" w:eastAsia="宋体"/>
              </w:rPr>
            </w:pPr>
            <w:r>
              <w:rPr>
                <w:rFonts w:hint="eastAsia" w:ascii="宋体" w:hAnsi="宋体" w:eastAsia="宋体"/>
              </w:rPr>
              <w:t>培训人员除提前准备事项外，还应对系统运营后的系统管理相关业务流转规定有所了解，并具备丰富的系统配置操作经验和培训经验。</w:t>
            </w:r>
          </w:p>
        </w:tc>
      </w:tr>
    </w:tbl>
    <w:p w14:paraId="67CE4BD1">
      <w:pPr>
        <w:spacing w:line="360" w:lineRule="auto"/>
        <w:ind w:firstLine="420"/>
        <w:rPr>
          <w:rFonts w:hint="eastAsia" w:ascii="宋体" w:hAnsi="宋体" w:eastAsia="宋体"/>
        </w:rPr>
      </w:pPr>
      <w:r>
        <w:rPr>
          <w:rFonts w:hint="eastAsia" w:ascii="宋体" w:hAnsi="宋体" w:eastAsia="宋体"/>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7C07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03F8A75">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0AF9C2B">
            <w:pPr>
              <w:spacing w:line="360" w:lineRule="auto"/>
              <w:ind w:firstLine="420"/>
              <w:rPr>
                <w:rFonts w:hint="eastAsia" w:ascii="宋体" w:hAnsi="宋体" w:eastAsia="宋体"/>
              </w:rPr>
            </w:pPr>
            <w:r>
              <w:rPr>
                <w:rFonts w:hint="eastAsia" w:ascii="宋体" w:hAnsi="宋体" w:eastAsia="宋体"/>
              </w:rPr>
              <w:t>开展培训工作。</w:t>
            </w:r>
          </w:p>
        </w:tc>
      </w:tr>
      <w:tr w14:paraId="53F6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357AD712">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44999BB0">
            <w:pPr>
              <w:spacing w:line="360" w:lineRule="auto"/>
              <w:ind w:firstLine="420"/>
              <w:rPr>
                <w:rFonts w:hint="eastAsia" w:ascii="宋体" w:hAnsi="宋体" w:eastAsia="宋体"/>
              </w:rPr>
            </w:pPr>
            <w:r>
              <w:rPr>
                <w:rFonts w:hint="eastAsia" w:ascii="宋体" w:hAnsi="宋体" w:eastAsia="宋体"/>
              </w:rPr>
              <w:t>需积极开展测试环境的模拟配置操作。</w:t>
            </w:r>
          </w:p>
        </w:tc>
      </w:tr>
    </w:tbl>
    <w:p w14:paraId="36820E17">
      <w:pPr>
        <w:spacing w:line="360" w:lineRule="auto"/>
        <w:ind w:firstLine="420"/>
        <w:rPr>
          <w:rFonts w:hint="eastAsia" w:ascii="宋体" w:hAnsi="宋体" w:eastAsia="宋体"/>
        </w:rPr>
      </w:pPr>
      <w:r>
        <w:rPr>
          <w:rFonts w:hint="eastAsia" w:ascii="宋体" w:hAnsi="宋体" w:eastAsia="宋体"/>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7D24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366368DD">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1EBABE54">
            <w:pPr>
              <w:spacing w:line="360" w:lineRule="auto"/>
              <w:ind w:firstLine="420"/>
              <w:rPr>
                <w:rFonts w:hint="eastAsia" w:ascii="宋体" w:hAnsi="宋体" w:eastAsia="宋体"/>
              </w:rPr>
            </w:pPr>
            <w:r>
              <w:rPr>
                <w:rFonts w:hint="eastAsia" w:ascii="宋体" w:hAnsi="宋体" w:eastAsia="宋体"/>
              </w:rPr>
              <w:t>培训工作完成后，对培训效果进行评估。</w:t>
            </w:r>
          </w:p>
        </w:tc>
      </w:tr>
      <w:tr w14:paraId="4F06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793189F">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6124776F">
            <w:pPr>
              <w:spacing w:line="360" w:lineRule="auto"/>
              <w:ind w:firstLine="420"/>
              <w:rPr>
                <w:rFonts w:hint="eastAsia" w:ascii="宋体" w:hAnsi="宋体" w:eastAsia="宋体"/>
              </w:rPr>
            </w:pPr>
            <w:r>
              <w:rPr>
                <w:rFonts w:hint="eastAsia" w:ascii="宋体" w:hAnsi="宋体" w:eastAsia="宋体"/>
              </w:rPr>
              <w:t>针对不同场景，验证系统管理员能否独立完成相关操作或配置。</w:t>
            </w:r>
          </w:p>
        </w:tc>
      </w:tr>
    </w:tbl>
    <w:p w14:paraId="4FCA56A3">
      <w:pPr>
        <w:numPr>
          <w:ilvl w:val="0"/>
          <w:numId w:val="88"/>
        </w:numPr>
        <w:spacing w:line="360" w:lineRule="auto"/>
        <w:rPr>
          <w:rFonts w:hint="eastAsia" w:ascii="宋体" w:hAnsi="宋体" w:eastAsia="宋体"/>
        </w:rPr>
      </w:pPr>
      <w:r>
        <w:rPr>
          <w:rFonts w:hint="eastAsia" w:ascii="宋体" w:hAnsi="宋体" w:eastAsia="宋体"/>
        </w:rPr>
        <w:t>最终用户</w:t>
      </w:r>
    </w:p>
    <w:p w14:paraId="206A81C2">
      <w:pPr>
        <w:spacing w:line="360" w:lineRule="auto"/>
        <w:ind w:firstLine="420"/>
        <w:rPr>
          <w:rFonts w:hint="eastAsia" w:ascii="宋体" w:hAnsi="宋体" w:eastAsia="宋体"/>
        </w:rPr>
      </w:pPr>
      <w:r>
        <w:rPr>
          <w:rFonts w:hint="eastAsia" w:ascii="宋体" w:hAnsi="宋体" w:eastAsia="宋体"/>
        </w:rPr>
        <w:t>培训目标：使系统终端用户能够完成系统常规操作，理解业务流转相关要求，了解问题咨询渠道。</w:t>
      </w:r>
    </w:p>
    <w:p w14:paraId="3100C173">
      <w:pPr>
        <w:spacing w:line="360" w:lineRule="auto"/>
        <w:ind w:firstLine="420"/>
        <w:rPr>
          <w:rFonts w:hint="eastAsia" w:ascii="宋体" w:hAnsi="宋体" w:eastAsia="宋体"/>
        </w:rPr>
      </w:pPr>
      <w:r>
        <w:rPr>
          <w:rFonts w:hint="eastAsia" w:ascii="宋体" w:hAnsi="宋体" w:eastAsia="宋体"/>
        </w:rPr>
        <w:t>培训方式：按最终使用人员角色不同分批组织培训，相同角色人员集中组织培训、线上培训、自主网络课堂学习、模拟演练等。</w:t>
      </w:r>
    </w:p>
    <w:p w14:paraId="050A27AE">
      <w:pPr>
        <w:spacing w:line="360" w:lineRule="auto"/>
        <w:ind w:firstLine="420"/>
        <w:rPr>
          <w:rFonts w:hint="eastAsia" w:ascii="宋体" w:hAnsi="宋体" w:eastAsia="宋体"/>
        </w:rPr>
      </w:pPr>
      <w:r>
        <w:rPr>
          <w:rFonts w:hint="eastAsia" w:ascii="宋体" w:hAnsi="宋体" w:eastAsia="宋体"/>
        </w:rPr>
        <w:t>培训时间：项目运营启动前</w:t>
      </w:r>
    </w:p>
    <w:p w14:paraId="71A0FBF3">
      <w:pPr>
        <w:spacing w:line="360" w:lineRule="auto"/>
        <w:ind w:firstLine="420"/>
        <w:rPr>
          <w:rFonts w:hint="eastAsia" w:ascii="宋体" w:hAnsi="宋体" w:eastAsia="宋体"/>
        </w:rPr>
      </w:pPr>
      <w:r>
        <w:rPr>
          <w:rFonts w:hint="eastAsia" w:ascii="宋体" w:hAnsi="宋体" w:eastAsia="宋体"/>
        </w:rPr>
        <w:t>培训时长：1-2天</w:t>
      </w:r>
    </w:p>
    <w:p w14:paraId="47EE8CE4">
      <w:pPr>
        <w:spacing w:line="360" w:lineRule="auto"/>
        <w:ind w:firstLine="420"/>
        <w:rPr>
          <w:rFonts w:hint="eastAsia" w:ascii="宋体" w:hAnsi="宋体" w:eastAsia="宋体"/>
        </w:rPr>
      </w:pPr>
      <w:r>
        <w:rPr>
          <w:rFonts w:hint="eastAsia" w:ascii="宋体" w:hAnsi="宋体" w:eastAsia="宋体"/>
        </w:rPr>
        <w:t>培训人员：1-2人（系统培训人员1-2人）</w:t>
      </w:r>
    </w:p>
    <w:p w14:paraId="259FEB29">
      <w:pPr>
        <w:spacing w:line="360" w:lineRule="auto"/>
        <w:ind w:firstLine="420"/>
        <w:rPr>
          <w:rFonts w:hint="eastAsia" w:ascii="宋体" w:hAnsi="宋体" w:eastAsia="宋体"/>
        </w:rPr>
      </w:pPr>
      <w:r>
        <w:rPr>
          <w:rFonts w:hint="eastAsia" w:ascii="宋体" w:hAnsi="宋体" w:eastAsia="宋体"/>
        </w:rPr>
        <w:t>日程安排：待定</w:t>
      </w:r>
    </w:p>
    <w:p w14:paraId="030D3FB1">
      <w:pPr>
        <w:spacing w:line="360" w:lineRule="auto"/>
        <w:ind w:firstLine="420"/>
        <w:rPr>
          <w:rFonts w:hint="eastAsia" w:ascii="宋体" w:hAnsi="宋体" w:eastAsia="宋体"/>
        </w:rPr>
      </w:pPr>
      <w:r>
        <w:rPr>
          <w:rFonts w:hint="eastAsia" w:ascii="宋体" w:hAnsi="宋体" w:eastAsia="宋体"/>
        </w:rPr>
        <w:t>培训地点：待定</w:t>
      </w:r>
    </w:p>
    <w:p w14:paraId="2E511AD4">
      <w:pPr>
        <w:spacing w:line="360" w:lineRule="auto"/>
        <w:ind w:firstLine="420"/>
        <w:rPr>
          <w:rFonts w:hint="eastAsia" w:ascii="宋体" w:hAnsi="宋体" w:eastAsia="宋体"/>
        </w:rPr>
      </w:pPr>
      <w:r>
        <w:rPr>
          <w:rFonts w:hint="eastAsia" w:ascii="宋体" w:hAnsi="宋体" w:eastAsia="宋体"/>
        </w:rPr>
        <w:t>培训资料：系统操作手册等</w:t>
      </w:r>
    </w:p>
    <w:p w14:paraId="787F1354">
      <w:pPr>
        <w:spacing w:line="360" w:lineRule="auto"/>
        <w:ind w:firstLine="420"/>
        <w:rPr>
          <w:rFonts w:hint="eastAsia" w:ascii="宋体" w:hAnsi="宋体" w:eastAsia="宋体"/>
        </w:rPr>
      </w:pPr>
      <w:r>
        <w:rPr>
          <w:rFonts w:hint="eastAsia" w:ascii="宋体" w:hAnsi="宋体" w:eastAsia="宋体"/>
        </w:rPr>
        <w:t>培训步骤1：培训准备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49A1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3E1565F7">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5F596A9">
            <w:pPr>
              <w:spacing w:line="360" w:lineRule="auto"/>
              <w:ind w:firstLine="420"/>
              <w:rPr>
                <w:rFonts w:hint="eastAsia" w:ascii="宋体" w:hAnsi="宋体" w:eastAsia="宋体"/>
              </w:rPr>
            </w:pPr>
            <w:r>
              <w:rPr>
                <w:rFonts w:hint="eastAsia" w:ascii="宋体" w:hAnsi="宋体" w:eastAsia="宋体"/>
              </w:rPr>
              <w:t>根据项目工作计划初步确定培训时间；组织参训人员参训；培训内容及培训材料的准备；培训老师的准备；准备测试环境；</w:t>
            </w:r>
          </w:p>
        </w:tc>
      </w:tr>
      <w:tr w14:paraId="3145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C85F3B2">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19E2EA5A">
            <w:pPr>
              <w:spacing w:line="360" w:lineRule="auto"/>
              <w:ind w:firstLine="420"/>
              <w:rPr>
                <w:rFonts w:hint="eastAsia" w:ascii="宋体" w:hAnsi="宋体" w:eastAsia="宋体"/>
              </w:rPr>
            </w:pPr>
            <w:r>
              <w:rPr>
                <w:rFonts w:hint="eastAsia" w:ascii="宋体" w:hAnsi="宋体" w:eastAsia="宋体"/>
              </w:rPr>
              <w:t>提前组织人员，具体使用人员角色分类整理培训材料和培训内容。</w:t>
            </w:r>
          </w:p>
        </w:tc>
      </w:tr>
    </w:tbl>
    <w:p w14:paraId="4AC46410">
      <w:pPr>
        <w:spacing w:line="360" w:lineRule="auto"/>
        <w:ind w:firstLine="420"/>
        <w:rPr>
          <w:rFonts w:hint="eastAsia" w:ascii="宋体" w:hAnsi="宋体" w:eastAsia="宋体"/>
        </w:rPr>
      </w:pPr>
      <w:r>
        <w:rPr>
          <w:rFonts w:hint="eastAsia" w:ascii="宋体" w:hAnsi="宋体" w:eastAsia="宋体"/>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33B7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B3FA52F">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03B0E115">
            <w:pPr>
              <w:spacing w:line="360" w:lineRule="auto"/>
              <w:ind w:firstLine="420"/>
              <w:rPr>
                <w:rFonts w:hint="eastAsia" w:ascii="宋体" w:hAnsi="宋体" w:eastAsia="宋体"/>
              </w:rPr>
            </w:pPr>
            <w:r>
              <w:rPr>
                <w:rFonts w:hint="eastAsia" w:ascii="宋体" w:hAnsi="宋体" w:eastAsia="宋体"/>
              </w:rPr>
              <w:t>开展培训工作。</w:t>
            </w:r>
          </w:p>
        </w:tc>
      </w:tr>
      <w:tr w14:paraId="47A1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42BE550">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4308E762">
            <w:pPr>
              <w:spacing w:line="360" w:lineRule="auto"/>
              <w:ind w:firstLine="420"/>
              <w:rPr>
                <w:rFonts w:hint="eastAsia" w:ascii="宋体" w:hAnsi="宋体" w:eastAsia="宋体"/>
              </w:rPr>
            </w:pPr>
            <w:r>
              <w:rPr>
                <w:rFonts w:hint="eastAsia" w:ascii="宋体" w:hAnsi="宋体" w:eastAsia="宋体"/>
              </w:rPr>
              <w:t>建议采用线上线下并行的方式开展培训，利用网络培训、视频会议、直播等方式同步开展培训。为潜在投标人，评标专家等无法集中组织培训的系统用户提供便捷的线上学习渠道和操作要点梳理。</w:t>
            </w:r>
          </w:p>
        </w:tc>
      </w:tr>
    </w:tbl>
    <w:p w14:paraId="17BAC7B3">
      <w:pPr>
        <w:spacing w:line="360" w:lineRule="auto"/>
        <w:ind w:firstLine="420"/>
        <w:rPr>
          <w:rFonts w:hint="eastAsia" w:ascii="宋体" w:hAnsi="宋体" w:eastAsia="宋体"/>
        </w:rPr>
      </w:pPr>
      <w:r>
        <w:rPr>
          <w:rFonts w:hint="eastAsia" w:ascii="宋体" w:hAnsi="宋体" w:eastAsia="宋体"/>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572A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38BE31C">
            <w:pPr>
              <w:spacing w:line="360" w:lineRule="auto"/>
              <w:ind w:firstLine="420"/>
              <w:rPr>
                <w:rFonts w:hint="eastAsia" w:ascii="宋体" w:hAnsi="宋体" w:eastAsia="宋体"/>
              </w:rPr>
            </w:pPr>
            <w:r>
              <w:rPr>
                <w:rFonts w:hint="eastAsia" w:ascii="宋体" w:hAnsi="宋体" w:eastAsia="宋体"/>
              </w:rPr>
              <w:t>任务描述</w:t>
            </w:r>
          </w:p>
        </w:tc>
        <w:tc>
          <w:tcPr>
            <w:tcW w:w="6287" w:type="dxa"/>
          </w:tcPr>
          <w:p w14:paraId="58949524">
            <w:pPr>
              <w:spacing w:line="360" w:lineRule="auto"/>
              <w:ind w:firstLine="420"/>
              <w:rPr>
                <w:rFonts w:hint="eastAsia" w:ascii="宋体" w:hAnsi="宋体" w:eastAsia="宋体"/>
              </w:rPr>
            </w:pPr>
            <w:r>
              <w:rPr>
                <w:rFonts w:hint="eastAsia" w:ascii="宋体" w:hAnsi="宋体" w:eastAsia="宋体"/>
              </w:rPr>
              <w:t>培训工作完成后，对培训效果进行评估。</w:t>
            </w:r>
          </w:p>
        </w:tc>
      </w:tr>
      <w:tr w14:paraId="2381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3F89AA5">
            <w:pPr>
              <w:spacing w:line="360" w:lineRule="auto"/>
              <w:ind w:firstLine="420"/>
              <w:rPr>
                <w:rFonts w:hint="eastAsia" w:ascii="宋体" w:hAnsi="宋体" w:eastAsia="宋体"/>
              </w:rPr>
            </w:pPr>
            <w:r>
              <w:rPr>
                <w:rFonts w:hint="eastAsia" w:ascii="宋体" w:hAnsi="宋体" w:eastAsia="宋体"/>
              </w:rPr>
              <w:t>对应策略</w:t>
            </w:r>
          </w:p>
        </w:tc>
        <w:tc>
          <w:tcPr>
            <w:tcW w:w="6287" w:type="dxa"/>
          </w:tcPr>
          <w:p w14:paraId="43515D9E">
            <w:pPr>
              <w:spacing w:line="360" w:lineRule="auto"/>
              <w:ind w:firstLine="420"/>
              <w:rPr>
                <w:rFonts w:hint="eastAsia" w:ascii="宋体" w:hAnsi="宋体" w:eastAsia="宋体"/>
              </w:rPr>
            </w:pPr>
            <w:r>
              <w:rPr>
                <w:rFonts w:hint="eastAsia" w:ascii="宋体" w:hAnsi="宋体" w:eastAsia="宋体"/>
              </w:rPr>
              <w:t>及时调整培训方式和安排，对培训效果进行持续跟踪</w:t>
            </w:r>
          </w:p>
        </w:tc>
      </w:tr>
    </w:tbl>
    <w:p w14:paraId="35658983">
      <w:pPr>
        <w:pStyle w:val="6"/>
        <w:numPr>
          <w:ilvl w:val="2"/>
          <w:numId w:val="39"/>
        </w:numPr>
        <w:spacing w:before="260" w:after="260" w:line="416" w:lineRule="auto"/>
        <w:jc w:val="both"/>
        <w:rPr>
          <w:rFonts w:hint="eastAsia" w:ascii="宋体" w:hAnsi="宋体" w:cstheme="majorBidi"/>
          <w:szCs w:val="24"/>
        </w:rPr>
      </w:pPr>
      <w:bookmarkStart w:id="273" w:name="_Toc180265674"/>
      <w:r>
        <w:rPr>
          <w:rFonts w:hint="eastAsia" w:ascii="宋体" w:hAnsi="宋体" w:cstheme="majorBidi"/>
          <w:szCs w:val="24"/>
        </w:rPr>
        <w:t>培训质量保障计划</w:t>
      </w:r>
      <w:bookmarkEnd w:id="273"/>
    </w:p>
    <w:p w14:paraId="13592BD4">
      <w:pPr>
        <w:spacing w:line="360" w:lineRule="auto"/>
        <w:ind w:firstLine="420"/>
        <w:rPr>
          <w:rFonts w:hint="eastAsia" w:ascii="宋体" w:hAnsi="宋体" w:eastAsia="宋体"/>
          <w:szCs w:val="21"/>
        </w:rPr>
      </w:pPr>
      <w:r>
        <w:rPr>
          <w:rFonts w:hint="eastAsia" w:ascii="宋体" w:hAnsi="宋体" w:eastAsia="宋体"/>
          <w:szCs w:val="21"/>
        </w:rPr>
        <w:t>为保障培训质量，将采取以下措施：</w:t>
      </w:r>
    </w:p>
    <w:p w14:paraId="5EF31132">
      <w:pPr>
        <w:spacing w:line="360" w:lineRule="auto"/>
        <w:ind w:firstLine="420"/>
        <w:rPr>
          <w:rFonts w:hint="eastAsia" w:ascii="宋体" w:hAnsi="宋体" w:eastAsia="宋体"/>
          <w:szCs w:val="21"/>
        </w:rPr>
      </w:pPr>
      <w:r>
        <w:rPr>
          <w:rFonts w:hint="eastAsia" w:ascii="宋体" w:hAnsi="宋体" w:eastAsia="宋体"/>
          <w:szCs w:val="21"/>
        </w:rPr>
        <w:t>1.培训过程控制及质量跟踪：通过培训登记表、考核记录表、网络培训在线考核、测试环境项目操作等方式，及时关注培训过程和效果，每次培训后进行培训总结和答疑，并提供日常答疑渠道，持续改进培训教材以保证实施培训的成功；</w:t>
      </w:r>
    </w:p>
    <w:p w14:paraId="2DE7994F">
      <w:pPr>
        <w:spacing w:line="360" w:lineRule="auto"/>
        <w:ind w:firstLine="420"/>
        <w:rPr>
          <w:rFonts w:hint="eastAsia" w:ascii="宋体" w:hAnsi="宋体" w:eastAsia="宋体"/>
          <w:szCs w:val="21"/>
          <w:lang w:val="zh-CN"/>
        </w:rPr>
      </w:pPr>
      <w:r>
        <w:rPr>
          <w:rFonts w:hint="eastAsia" w:ascii="宋体" w:hAnsi="宋体" w:eastAsia="宋体"/>
          <w:szCs w:val="21"/>
        </w:rPr>
        <w:t>2.</w:t>
      </w:r>
      <w:r>
        <w:rPr>
          <w:rFonts w:hint="eastAsia" w:ascii="宋体" w:hAnsi="宋体" w:eastAsia="宋体"/>
          <w:szCs w:val="21"/>
          <w:lang w:val="zh-CN"/>
        </w:rPr>
        <w:t>我公司</w:t>
      </w:r>
      <w:r>
        <w:rPr>
          <w:rFonts w:hint="eastAsia" w:ascii="宋体" w:hAnsi="宋体" w:eastAsia="宋体"/>
          <w:szCs w:val="21"/>
        </w:rPr>
        <w:t>拟</w:t>
      </w:r>
      <w:r>
        <w:rPr>
          <w:rFonts w:hint="eastAsia" w:ascii="宋体" w:hAnsi="宋体" w:eastAsia="宋体"/>
          <w:szCs w:val="21"/>
          <w:lang w:val="zh-CN"/>
        </w:rPr>
        <w:t>提供的系统功能清晰，操作简便</w:t>
      </w:r>
      <w:r>
        <w:rPr>
          <w:rFonts w:hint="eastAsia" w:ascii="宋体" w:hAnsi="宋体" w:eastAsia="宋体"/>
          <w:szCs w:val="21"/>
        </w:rPr>
        <w:t>易懂</w:t>
      </w:r>
      <w:r>
        <w:rPr>
          <w:rFonts w:hint="eastAsia" w:ascii="宋体" w:hAnsi="宋体" w:eastAsia="宋体"/>
          <w:szCs w:val="21"/>
          <w:lang w:val="zh-CN"/>
        </w:rPr>
        <w:t>。如果经过</w:t>
      </w:r>
      <w:r>
        <w:rPr>
          <w:rFonts w:hint="eastAsia" w:ascii="宋体" w:hAnsi="宋体" w:eastAsia="宋体"/>
          <w:szCs w:val="21"/>
        </w:rPr>
        <w:t>上述安排的系统</w:t>
      </w:r>
      <w:r>
        <w:rPr>
          <w:rFonts w:hint="eastAsia" w:ascii="宋体" w:hAnsi="宋体" w:eastAsia="宋体"/>
          <w:szCs w:val="21"/>
          <w:lang w:val="zh-CN"/>
        </w:rPr>
        <w:t>培训</w:t>
      </w:r>
      <w:r>
        <w:rPr>
          <w:rFonts w:hint="eastAsia" w:ascii="宋体" w:hAnsi="宋体" w:eastAsia="宋体"/>
          <w:szCs w:val="21"/>
        </w:rPr>
        <w:t>后</w:t>
      </w:r>
      <w:r>
        <w:rPr>
          <w:rFonts w:hint="eastAsia" w:ascii="宋体" w:hAnsi="宋体" w:eastAsia="宋体"/>
          <w:szCs w:val="21"/>
          <w:lang w:val="zh-CN"/>
        </w:rPr>
        <w:t>，</w:t>
      </w:r>
      <w:r>
        <w:rPr>
          <w:rFonts w:hint="eastAsia" w:ascii="宋体" w:hAnsi="宋体" w:eastAsia="宋体"/>
          <w:szCs w:val="21"/>
        </w:rPr>
        <w:t>受训</w:t>
      </w:r>
      <w:r>
        <w:rPr>
          <w:rFonts w:hint="eastAsia" w:ascii="宋体" w:hAnsi="宋体" w:eastAsia="宋体"/>
          <w:szCs w:val="21"/>
          <w:lang w:val="zh-CN"/>
        </w:rPr>
        <w:t>人员不能达到培训目标，我们将对不能达到培训目标的人员采取点对点的培训方式，进行强化培训，直到该使用人员完全掌握培训的内容。</w:t>
      </w:r>
    </w:p>
    <w:p w14:paraId="28F145FD">
      <w:pPr>
        <w:snapToGrid w:val="0"/>
        <w:spacing w:line="360" w:lineRule="auto"/>
        <w:ind w:firstLine="420" w:firstLineChars="200"/>
        <w:contextualSpacing/>
        <w:rPr>
          <w:rFonts w:hint="eastAsia" w:ascii="宋体" w:hAnsi="宋体" w:eastAsia="宋体" w:cs="宋体"/>
          <w:szCs w:val="21"/>
        </w:rPr>
      </w:pPr>
      <w:r>
        <w:rPr>
          <w:rFonts w:hint="eastAsia" w:ascii="宋体" w:hAnsi="宋体" w:eastAsia="宋体"/>
          <w:szCs w:val="21"/>
        </w:rPr>
        <w:t>3.在实施培训过程中，对培训人员的测试和考核也是一项重要的工作，以提高培训讲师的工作急迫感和积极性。</w:t>
      </w:r>
      <w:r>
        <w:rPr>
          <w:rFonts w:hint="eastAsia" w:ascii="宋体" w:hAnsi="宋体" w:eastAsia="宋体"/>
          <w:szCs w:val="21"/>
          <w:lang w:val="zh-CN"/>
        </w:rPr>
        <w:t>在全面业务实施开展过程中，培训讲师也会参与到使用支持及服务的第一线，培训质量是否合格，也决定了后续业务开展的顺利与否，所有实施顾问人员的奖惩考评，均与前期培训及后续使用支持情况相关联。</w:t>
      </w:r>
    </w:p>
    <w:p w14:paraId="4B16D007">
      <w:pPr>
        <w:pStyle w:val="5"/>
        <w:numPr>
          <w:ilvl w:val="1"/>
          <w:numId w:val="39"/>
        </w:numPr>
        <w:spacing w:before="260" w:after="260"/>
        <w:jc w:val="both"/>
        <w:rPr>
          <w:rFonts w:hint="eastAsia" w:ascii="宋体" w:hAnsi="宋体"/>
          <w:szCs w:val="28"/>
        </w:rPr>
      </w:pPr>
      <w:r>
        <w:rPr>
          <w:rFonts w:hint="eastAsia" w:ascii="宋体" w:hAnsi="宋体"/>
          <w:szCs w:val="28"/>
        </w:rPr>
        <w:t xml:space="preserve"> </w:t>
      </w:r>
      <w:bookmarkStart w:id="274" w:name="_Toc180265675"/>
      <w:r>
        <w:rPr>
          <w:rFonts w:hint="eastAsia" w:ascii="宋体" w:hAnsi="宋体"/>
          <w:szCs w:val="28"/>
        </w:rPr>
        <w:t>实施保障措施方案</w:t>
      </w:r>
      <w:bookmarkEnd w:id="274"/>
    </w:p>
    <w:p w14:paraId="45378392">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建设电子采购系统时，为确保其顺利实施并有效运行，需要采取一系列保障措施。以下是一些关键的实施保障措施：</w:t>
      </w:r>
    </w:p>
    <w:p w14:paraId="7DBF4882">
      <w:pPr>
        <w:pStyle w:val="6"/>
        <w:numPr>
          <w:ilvl w:val="2"/>
          <w:numId w:val="39"/>
        </w:numPr>
        <w:spacing w:before="260" w:after="260" w:line="416" w:lineRule="auto"/>
        <w:jc w:val="both"/>
        <w:rPr>
          <w:rFonts w:hint="eastAsia" w:ascii="宋体" w:hAnsi="宋体" w:cstheme="majorBidi"/>
          <w:szCs w:val="24"/>
        </w:rPr>
      </w:pPr>
      <w:bookmarkStart w:id="275" w:name="_Toc180265676"/>
      <w:r>
        <w:rPr>
          <w:rFonts w:hint="eastAsia" w:ascii="宋体" w:hAnsi="宋体" w:cstheme="majorBidi"/>
          <w:szCs w:val="24"/>
        </w:rPr>
        <w:t>组织和人力资源保障</w:t>
      </w:r>
      <w:bookmarkEnd w:id="275"/>
    </w:p>
    <w:p w14:paraId="2E4DA694">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烟草总公司要抽调业务、技术专家，成立项目工作团队，专项开展系统实施工作，确保人员到位。实施厂商成立项目工作团队，与业主方负责人员进行工作对接。各方项目成员要固定，不得随意变更，人员变更要报专项工作组同意后，向实施各方通知到位。</w:t>
      </w:r>
    </w:p>
    <w:p w14:paraId="73FC3F46">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各试点单位需加强组织管理，重视协同，成立工作小组，确保各业务部门、信息部门至少1名专职人员全程参与推广实施，保证人力资源投入，保持人员稳定。</w:t>
      </w:r>
      <w:r>
        <w:rPr>
          <w:rFonts w:hint="eastAsia" w:ascii="宋体" w:hAnsi="宋体" w:eastAsia="宋体" w:cs="宋体"/>
          <w:szCs w:val="21"/>
        </w:rPr>
        <w:tab/>
      </w:r>
    </w:p>
    <w:p w14:paraId="2F145385">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烟草总公司及各下级单位要做好培训方案和计划的编制，抽调专业技术骨干组建高水平的内训师队伍，与承建商一起落实培训计划，强化培训工作并进行相应的培训考核，确保培训质量。</w:t>
      </w:r>
    </w:p>
    <w:p w14:paraId="39D4EF28">
      <w:pPr>
        <w:pStyle w:val="6"/>
        <w:numPr>
          <w:ilvl w:val="2"/>
          <w:numId w:val="39"/>
        </w:numPr>
        <w:spacing w:before="260" w:after="260" w:line="416" w:lineRule="auto"/>
        <w:jc w:val="both"/>
        <w:rPr>
          <w:rFonts w:hint="eastAsia" w:ascii="宋体" w:hAnsi="宋体" w:cstheme="majorBidi"/>
          <w:szCs w:val="24"/>
        </w:rPr>
      </w:pPr>
      <w:bookmarkStart w:id="276" w:name="_Toc180265677"/>
      <w:r>
        <w:rPr>
          <w:rFonts w:hint="eastAsia" w:ascii="宋体" w:hAnsi="宋体" w:cstheme="majorBidi"/>
          <w:szCs w:val="24"/>
        </w:rPr>
        <w:t>软硬件资源保障</w:t>
      </w:r>
      <w:bookmarkEnd w:id="276"/>
    </w:p>
    <w:p w14:paraId="38E7A334">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烟草总公司要对系统建设和后期推广应用所需的软硬件资源现状进行评估，需进行采购的要尽快立项、签订采购合同，确保软硬件资源到位。</w:t>
      </w:r>
    </w:p>
    <w:p w14:paraId="296CDB48">
      <w:pPr>
        <w:pStyle w:val="6"/>
        <w:numPr>
          <w:ilvl w:val="2"/>
          <w:numId w:val="39"/>
        </w:numPr>
        <w:spacing w:before="260" w:after="260" w:line="416" w:lineRule="auto"/>
        <w:jc w:val="both"/>
        <w:rPr>
          <w:rFonts w:hint="eastAsia" w:ascii="宋体" w:hAnsi="宋体" w:cstheme="majorBidi"/>
          <w:szCs w:val="24"/>
        </w:rPr>
      </w:pPr>
      <w:bookmarkStart w:id="277" w:name="_Toc180265678"/>
      <w:r>
        <w:rPr>
          <w:rFonts w:hint="eastAsia" w:ascii="宋体" w:hAnsi="宋体" w:cstheme="majorBidi"/>
          <w:szCs w:val="24"/>
        </w:rPr>
        <w:t>后勤资源保障</w:t>
      </w:r>
      <w:bookmarkEnd w:id="277"/>
    </w:p>
    <w:p w14:paraId="50252761">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烟草总公司要为项目参与各单位安排合适的办公场地，提供办公设施及系统测试环境，满足信息化专家、业务专家、关键用户及实施商人员集中工作的需求。在办公场地设立统筹组，对各类人员进行统一登记，配合系统实施计划制定人员在基地的保障计划，包括工位配置、服务器和网络配置、会议室配置、食宿配置，在保障系统实施工作的前提下，做到经济、高效。</w:t>
      </w:r>
    </w:p>
    <w:p w14:paraId="3C64A65B">
      <w:pPr>
        <w:pStyle w:val="6"/>
        <w:numPr>
          <w:ilvl w:val="2"/>
          <w:numId w:val="39"/>
        </w:numPr>
        <w:spacing w:before="260" w:after="260" w:line="416" w:lineRule="auto"/>
        <w:jc w:val="both"/>
        <w:rPr>
          <w:rFonts w:hint="eastAsia" w:ascii="宋体" w:hAnsi="宋体" w:cstheme="majorBidi"/>
          <w:szCs w:val="24"/>
        </w:rPr>
      </w:pPr>
      <w:bookmarkStart w:id="278" w:name="_Toc180265679"/>
      <w:r>
        <w:rPr>
          <w:rFonts w:hint="eastAsia" w:ascii="宋体" w:hAnsi="宋体" w:cstheme="majorBidi"/>
          <w:szCs w:val="24"/>
        </w:rPr>
        <w:t>业务协同保障</w:t>
      </w:r>
      <w:bookmarkEnd w:id="278"/>
    </w:p>
    <w:p w14:paraId="7C4EBD08">
      <w:pPr>
        <w:numPr>
          <w:ilvl w:val="0"/>
          <w:numId w:val="89"/>
        </w:numPr>
        <w:snapToGrid w:val="0"/>
        <w:spacing w:line="360" w:lineRule="auto"/>
        <w:contextualSpacing/>
        <w:rPr>
          <w:rFonts w:hint="eastAsia" w:ascii="宋体" w:hAnsi="宋体" w:eastAsia="宋体" w:cs="宋体"/>
          <w:b/>
          <w:bCs/>
          <w:szCs w:val="21"/>
        </w:rPr>
      </w:pPr>
      <w:bookmarkStart w:id="279" w:name="_Toc309723679"/>
      <w:bookmarkStart w:id="280" w:name="_Toc313032420"/>
      <w:bookmarkStart w:id="281" w:name="_Toc408129982"/>
      <w:bookmarkStart w:id="282" w:name="_Toc172750656"/>
      <w:bookmarkStart w:id="283" w:name="_Toc202586940"/>
      <w:bookmarkStart w:id="284" w:name="_Toc216233816"/>
      <w:bookmarkStart w:id="285" w:name="_Toc428378422"/>
      <w:bookmarkStart w:id="286" w:name="_Toc211599044"/>
      <w:bookmarkStart w:id="287" w:name="_Toc173484229"/>
      <w:bookmarkStart w:id="288" w:name="_Toc148784199"/>
      <w:bookmarkStart w:id="289" w:name="_Toc148991265"/>
      <w:bookmarkStart w:id="290" w:name="_Toc393294538"/>
      <w:r>
        <w:rPr>
          <w:rFonts w:hint="eastAsia" w:ascii="宋体" w:hAnsi="宋体" w:eastAsia="宋体" w:cs="宋体"/>
          <w:b/>
          <w:bCs/>
          <w:szCs w:val="21"/>
        </w:rPr>
        <w:t>技术联络会制度</w:t>
      </w:r>
      <w:bookmarkEnd w:id="279"/>
      <w:bookmarkEnd w:id="280"/>
      <w:bookmarkEnd w:id="281"/>
      <w:bookmarkEnd w:id="282"/>
      <w:bookmarkEnd w:id="283"/>
      <w:bookmarkEnd w:id="284"/>
      <w:bookmarkEnd w:id="285"/>
      <w:bookmarkEnd w:id="286"/>
      <w:bookmarkEnd w:id="287"/>
      <w:bookmarkEnd w:id="288"/>
      <w:bookmarkEnd w:id="289"/>
      <w:bookmarkEnd w:id="290"/>
    </w:p>
    <w:p w14:paraId="73B6E326">
      <w:pPr>
        <w:tabs>
          <w:tab w:val="left" w:pos="851"/>
        </w:tabs>
        <w:spacing w:before="156" w:beforeLines="50" w:after="156" w:afterLines="50" w:line="360" w:lineRule="auto"/>
        <w:ind w:firstLine="422" w:firstLineChars="201"/>
        <w:jc w:val="left"/>
        <w:rPr>
          <w:rFonts w:hint="eastAsia" w:ascii="宋体" w:hAnsi="宋体" w:eastAsia="宋体"/>
          <w:kern w:val="0"/>
          <w:szCs w:val="21"/>
          <w:lang w:bidi="en-US"/>
        </w:rPr>
      </w:pPr>
      <w:r>
        <w:rPr>
          <w:rFonts w:hint="eastAsia" w:ascii="宋体" w:hAnsi="宋体" w:eastAsia="宋体"/>
          <w:kern w:val="0"/>
          <w:szCs w:val="21"/>
          <w:lang w:bidi="en-US"/>
        </w:rPr>
        <w:t>为了确保项目的顺利进行和完成，在项目实施过程中，</w:t>
      </w:r>
      <w:r>
        <w:rPr>
          <w:rFonts w:hint="eastAsia" w:ascii="宋体" w:hAnsi="宋体" w:eastAsia="宋体" w:cs="宋体"/>
          <w:szCs w:val="21"/>
        </w:rPr>
        <w:t>烟草总公司需求单位、信息化管理部门、第三方厂商</w:t>
      </w:r>
      <w:r>
        <w:rPr>
          <w:rFonts w:hint="eastAsia" w:ascii="宋体" w:hAnsi="宋体" w:eastAsia="宋体"/>
          <w:kern w:val="0"/>
          <w:szCs w:val="21"/>
          <w:lang w:bidi="en-US"/>
        </w:rPr>
        <w:t>与我公司建立必要的技术联络会制度。保证业务部门、信息部门、实施商的横向紧密配合，确保项目实施和试点上线运行过程存在的问题得到及时有效的解决。技术联络会的内容包括：项目的启动会议、确认各个项目阶段的阶段性成果，审查、确认中标人提供的技术文件，讨论、确定培训计划（包括课程安排、教材、进度），确定系统实施工作内容及工作日程表，确定项目进度汇报及项目重要事项讨论会，确认验收细则，确认现场安装要求，以及系统使用单位向中标人提供网络配置、用户需求相关数据和其他有关事项。</w:t>
      </w:r>
    </w:p>
    <w:p w14:paraId="4A3523C3">
      <w:pPr>
        <w:numPr>
          <w:ilvl w:val="0"/>
          <w:numId w:val="89"/>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项目进度报告制度</w:t>
      </w:r>
    </w:p>
    <w:p w14:paraId="73A9CC86">
      <w:pPr>
        <w:tabs>
          <w:tab w:val="left" w:pos="851"/>
        </w:tabs>
        <w:spacing w:before="156" w:beforeLines="50" w:after="156" w:afterLines="50" w:line="360" w:lineRule="auto"/>
        <w:ind w:firstLine="422" w:firstLineChars="201"/>
        <w:jc w:val="left"/>
        <w:rPr>
          <w:rFonts w:hint="eastAsia" w:ascii="宋体" w:hAnsi="宋体" w:eastAsia="宋体"/>
          <w:kern w:val="0"/>
          <w:szCs w:val="21"/>
          <w:lang w:bidi="en-US"/>
        </w:rPr>
      </w:pPr>
      <w:r>
        <w:rPr>
          <w:rFonts w:hint="eastAsia" w:ascii="宋体" w:hAnsi="宋体" w:eastAsia="宋体"/>
          <w:kern w:val="0"/>
          <w:szCs w:val="21"/>
          <w:lang w:bidi="en-US"/>
        </w:rPr>
        <w:t>采取项目周报和月报方式，项目组及时向烟草总公司领导和各相关方汇报项目进展情况、存在问题、解决思路等信息，以用户方及时了解项目的实际进展情况。对出现的问题能够及时发现并给出相应解决方案，从而保证项目的计划能够被有效的执行。</w:t>
      </w:r>
    </w:p>
    <w:p w14:paraId="541824F8">
      <w:pPr>
        <w:pStyle w:val="6"/>
        <w:numPr>
          <w:ilvl w:val="2"/>
          <w:numId w:val="39"/>
        </w:numPr>
        <w:spacing w:before="260" w:after="260" w:line="416" w:lineRule="auto"/>
        <w:jc w:val="both"/>
        <w:rPr>
          <w:rFonts w:hint="eastAsia" w:ascii="宋体" w:hAnsi="宋体" w:cstheme="majorBidi"/>
          <w:szCs w:val="24"/>
        </w:rPr>
      </w:pPr>
      <w:bookmarkStart w:id="291" w:name="_Toc180265680"/>
      <w:r>
        <w:rPr>
          <w:rFonts w:hint="eastAsia" w:ascii="宋体" w:hAnsi="宋体" w:cstheme="majorBidi"/>
          <w:szCs w:val="24"/>
        </w:rPr>
        <w:t>合规体系保障</w:t>
      </w:r>
      <w:bookmarkEnd w:id="291"/>
    </w:p>
    <w:p w14:paraId="3D4F1456">
      <w:pPr>
        <w:numPr>
          <w:ilvl w:val="0"/>
          <w:numId w:val="9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制度建设</w:t>
      </w:r>
    </w:p>
    <w:p w14:paraId="1DCC03B5">
      <w:pPr>
        <w:numPr>
          <w:ilvl w:val="1"/>
          <w:numId w:val="90"/>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建立完善的合规制度体系，包括采购审批流程、合同签订流程、供应商管理制度等。</w:t>
      </w:r>
    </w:p>
    <w:p w14:paraId="36B6EFC6">
      <w:pPr>
        <w:numPr>
          <w:ilvl w:val="1"/>
          <w:numId w:val="90"/>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确保制度体系的落地执行，加强制度宣贯和培训。</w:t>
      </w:r>
    </w:p>
    <w:p w14:paraId="2319618A">
      <w:pPr>
        <w:numPr>
          <w:ilvl w:val="0"/>
          <w:numId w:val="9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技术体系建设</w:t>
      </w:r>
    </w:p>
    <w:p w14:paraId="1FBFA01C">
      <w:pPr>
        <w:numPr>
          <w:ilvl w:val="1"/>
          <w:numId w:val="90"/>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利用信息技术手段，实现合规体系的落地执行，如系统包含审批流的自定义、系统授分权管理、采购方式的选择等基础合规性应用。</w:t>
      </w:r>
    </w:p>
    <w:p w14:paraId="156E15C3">
      <w:pPr>
        <w:numPr>
          <w:ilvl w:val="1"/>
          <w:numId w:val="90"/>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通过大数据手段对采购历史数据进行量化分析，实施专业化处理，打造全面准确的“数据铁笼”。</w:t>
      </w:r>
    </w:p>
    <w:p w14:paraId="3B45872C">
      <w:pPr>
        <w:pStyle w:val="6"/>
        <w:numPr>
          <w:ilvl w:val="2"/>
          <w:numId w:val="39"/>
        </w:numPr>
        <w:spacing w:before="260" w:after="260" w:line="416" w:lineRule="auto"/>
        <w:jc w:val="both"/>
        <w:rPr>
          <w:rFonts w:hint="eastAsia" w:ascii="宋体" w:hAnsi="宋体" w:cstheme="majorBidi"/>
          <w:szCs w:val="24"/>
        </w:rPr>
      </w:pPr>
      <w:bookmarkStart w:id="292" w:name="_Toc180265681"/>
      <w:r>
        <w:rPr>
          <w:rFonts w:hint="eastAsia" w:ascii="宋体" w:hAnsi="宋体" w:cstheme="majorBidi"/>
          <w:szCs w:val="24"/>
        </w:rPr>
        <w:t>技术保障</w:t>
      </w:r>
      <w:bookmarkEnd w:id="292"/>
    </w:p>
    <w:p w14:paraId="755F78B3">
      <w:pPr>
        <w:numPr>
          <w:ilvl w:val="0"/>
          <w:numId w:val="91"/>
        </w:num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系统稳定性与安全性</w:t>
      </w:r>
    </w:p>
    <w:p w14:paraId="6AA6636F">
      <w:pPr>
        <w:numPr>
          <w:ilvl w:val="1"/>
          <w:numId w:val="91"/>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采用先进的云计算技术，实现系统的云化部署，确保系统资源充足，避免卡顿和宕机现象。</w:t>
      </w:r>
    </w:p>
    <w:p w14:paraId="0C4195A2">
      <w:pPr>
        <w:numPr>
          <w:ilvl w:val="1"/>
          <w:numId w:val="91"/>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加强系统的安全防护，如使用防火墙、入侵检测系统、数据加密等技术手段，防止数据泄露和非法访问。</w:t>
      </w:r>
    </w:p>
    <w:p w14:paraId="4B162870">
      <w:pPr>
        <w:numPr>
          <w:ilvl w:val="1"/>
          <w:numId w:val="91"/>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定期进行系统维护和升级，及时修复漏洞，提升系统的稳定性和安全性。</w:t>
      </w:r>
    </w:p>
    <w:p w14:paraId="2C1A408F">
      <w:pPr>
        <w:numPr>
          <w:ilvl w:val="0"/>
          <w:numId w:val="91"/>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数据备份与恢复</w:t>
      </w:r>
    </w:p>
    <w:p w14:paraId="062B68B2">
      <w:pPr>
        <w:numPr>
          <w:ilvl w:val="1"/>
          <w:numId w:val="91"/>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建立完善的数据备份机制，定期对系统数据进行备份，确保数据的安全性和可恢复性。</w:t>
      </w:r>
    </w:p>
    <w:p w14:paraId="4A5C37B9">
      <w:pPr>
        <w:numPr>
          <w:ilvl w:val="1"/>
          <w:numId w:val="91"/>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制定数据恢复计划，在发生数据丢失或损坏时，能够迅速恢复系统正常运行。</w:t>
      </w:r>
    </w:p>
    <w:p w14:paraId="4ED2A3D9">
      <w:pPr>
        <w:pStyle w:val="6"/>
        <w:numPr>
          <w:ilvl w:val="2"/>
          <w:numId w:val="39"/>
        </w:numPr>
        <w:spacing w:before="260" w:after="260" w:line="416" w:lineRule="auto"/>
        <w:jc w:val="both"/>
        <w:rPr>
          <w:rFonts w:hint="eastAsia" w:ascii="宋体" w:hAnsi="宋体" w:cstheme="majorBidi"/>
          <w:szCs w:val="24"/>
        </w:rPr>
      </w:pPr>
      <w:bookmarkStart w:id="293" w:name="_Toc180265682"/>
      <w:r>
        <w:rPr>
          <w:rFonts w:hint="eastAsia" w:ascii="宋体" w:hAnsi="宋体" w:cstheme="majorBidi"/>
          <w:szCs w:val="24"/>
        </w:rPr>
        <w:t>运维管理保障</w:t>
      </w:r>
      <w:bookmarkEnd w:id="293"/>
    </w:p>
    <w:p w14:paraId="01E4AE67">
      <w:pPr>
        <w:numPr>
          <w:ilvl w:val="0"/>
          <w:numId w:val="92"/>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运维团队建设</w:t>
      </w:r>
    </w:p>
    <w:p w14:paraId="3D034E7B">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组建专业的运维团队，负责系统的日常运维和故障处理。</w:t>
      </w:r>
    </w:p>
    <w:p w14:paraId="42E68CD8">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定期对运维人员进行培训和考核，提升运维水平和服务质量。</w:t>
      </w:r>
    </w:p>
    <w:p w14:paraId="21B601E1">
      <w:pPr>
        <w:numPr>
          <w:ilvl w:val="0"/>
          <w:numId w:val="92"/>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运维流程规范</w:t>
      </w:r>
    </w:p>
    <w:p w14:paraId="5E72CC2F">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制定详细的运维流程规范，包括系统监控、故障排查、应急响应等流程。</w:t>
      </w:r>
    </w:p>
    <w:p w14:paraId="751010CC">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落实每日运维管理要求，重点关注影响系统运行的重要指标，如库表空间、磁盘空间等。</w:t>
      </w:r>
    </w:p>
    <w:p w14:paraId="04614744">
      <w:pPr>
        <w:numPr>
          <w:ilvl w:val="0"/>
          <w:numId w:val="92"/>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保密与审批</w:t>
      </w:r>
    </w:p>
    <w:p w14:paraId="22F7B793">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落实系统等保要求，与运维单位及运维人员签订保密协议。</w:t>
      </w:r>
    </w:p>
    <w:p w14:paraId="144A3AE7">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业务人员须通过烟草总公司代码仓管理业务系统源码，确保代码安全和数据安全。</w:t>
      </w:r>
    </w:p>
    <w:p w14:paraId="7EC261BE">
      <w:pPr>
        <w:numPr>
          <w:ilvl w:val="1"/>
          <w:numId w:val="92"/>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对新开发上线的系统，严格按照烟草总公司信息化项目建设流程进行开发建设、部署、测试。</w:t>
      </w:r>
    </w:p>
    <w:p w14:paraId="022CAE36">
      <w:pPr>
        <w:pStyle w:val="6"/>
        <w:numPr>
          <w:ilvl w:val="2"/>
          <w:numId w:val="39"/>
        </w:numPr>
        <w:spacing w:before="260" w:after="260" w:line="416" w:lineRule="auto"/>
        <w:jc w:val="both"/>
        <w:rPr>
          <w:rFonts w:hint="eastAsia" w:ascii="宋体" w:hAnsi="宋体" w:cstheme="majorBidi"/>
          <w:szCs w:val="24"/>
        </w:rPr>
      </w:pPr>
      <w:bookmarkStart w:id="294" w:name="_Toc180265683"/>
      <w:r>
        <w:rPr>
          <w:rFonts w:hint="eastAsia" w:ascii="宋体" w:hAnsi="宋体" w:cstheme="majorBidi"/>
          <w:szCs w:val="24"/>
        </w:rPr>
        <w:t>风险防控保障</w:t>
      </w:r>
      <w:bookmarkEnd w:id="294"/>
    </w:p>
    <w:p w14:paraId="07240E95">
      <w:pPr>
        <w:numPr>
          <w:ilvl w:val="0"/>
          <w:numId w:val="93"/>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风险识别与预警</w:t>
      </w:r>
    </w:p>
    <w:p w14:paraId="0D50301E">
      <w:pPr>
        <w:numPr>
          <w:ilvl w:val="1"/>
          <w:numId w:val="93"/>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通过数据清洗、挖掘、分析、可视化等技术手段，对采购数据进行量化分析，发现潜在风险。</w:t>
      </w:r>
    </w:p>
    <w:p w14:paraId="5852AC08">
      <w:pPr>
        <w:numPr>
          <w:ilvl w:val="1"/>
          <w:numId w:val="93"/>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自定义风险触发点指标，实现风险点智能实时预警，如采购预算合理性预警、供应商履约风险预警等。</w:t>
      </w:r>
    </w:p>
    <w:p w14:paraId="769E81E1">
      <w:pPr>
        <w:numPr>
          <w:ilvl w:val="0"/>
          <w:numId w:val="93"/>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应急响应机制</w:t>
      </w:r>
    </w:p>
    <w:p w14:paraId="39E978EB">
      <w:pPr>
        <w:numPr>
          <w:ilvl w:val="1"/>
          <w:numId w:val="93"/>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制定详细的应急管理方案，梳理各种应急事项，分类制定应急响应流程。</w:t>
      </w:r>
    </w:p>
    <w:p w14:paraId="4CD0A3AA">
      <w:pPr>
        <w:numPr>
          <w:ilvl w:val="1"/>
          <w:numId w:val="93"/>
        </w:numPr>
        <w:snapToGrid w:val="0"/>
        <w:spacing w:line="360" w:lineRule="auto"/>
        <w:contextualSpacing/>
        <w:rPr>
          <w:rFonts w:hint="eastAsia" w:ascii="宋体" w:hAnsi="宋体" w:eastAsia="宋体" w:cs="宋体"/>
          <w:szCs w:val="21"/>
        </w:rPr>
      </w:pPr>
      <w:r>
        <w:rPr>
          <w:rFonts w:hint="eastAsia" w:ascii="宋体" w:hAnsi="宋体" w:eastAsia="宋体" w:cs="宋体"/>
          <w:szCs w:val="21"/>
        </w:rPr>
        <w:t>定期进行应急演练，提升应急响应能力和处理效率。</w:t>
      </w:r>
    </w:p>
    <w:p w14:paraId="7B2397DB">
      <w:pPr>
        <w:pStyle w:val="5"/>
        <w:numPr>
          <w:ilvl w:val="1"/>
          <w:numId w:val="39"/>
        </w:numPr>
        <w:spacing w:before="260" w:after="260"/>
        <w:jc w:val="both"/>
        <w:rPr>
          <w:rFonts w:hint="eastAsia" w:ascii="宋体" w:hAnsi="宋体"/>
          <w:szCs w:val="28"/>
        </w:rPr>
      </w:pPr>
      <w:r>
        <w:rPr>
          <w:rFonts w:hint="eastAsia" w:ascii="宋体" w:hAnsi="宋体"/>
          <w:szCs w:val="28"/>
        </w:rPr>
        <w:t xml:space="preserve"> </w:t>
      </w:r>
      <w:bookmarkStart w:id="295" w:name="_Toc180265684"/>
      <w:r>
        <w:rPr>
          <w:rFonts w:hint="eastAsia" w:ascii="宋体" w:hAnsi="宋体"/>
          <w:szCs w:val="28"/>
        </w:rPr>
        <w:t>风险分析和控制方案</w:t>
      </w:r>
      <w:bookmarkEnd w:id="295"/>
    </w:p>
    <w:p w14:paraId="1F85AA5E">
      <w:pPr>
        <w:pStyle w:val="6"/>
        <w:numPr>
          <w:ilvl w:val="2"/>
          <w:numId w:val="39"/>
        </w:numPr>
        <w:spacing w:before="260" w:after="260" w:line="416" w:lineRule="auto"/>
        <w:jc w:val="both"/>
        <w:rPr>
          <w:rFonts w:hint="eastAsia" w:ascii="宋体" w:hAnsi="宋体" w:cstheme="majorBidi"/>
          <w:szCs w:val="24"/>
        </w:rPr>
      </w:pPr>
      <w:bookmarkStart w:id="296" w:name="_Toc180265685"/>
      <w:r>
        <w:rPr>
          <w:rFonts w:hint="eastAsia" w:ascii="宋体" w:hAnsi="宋体" w:cstheme="majorBidi"/>
          <w:szCs w:val="24"/>
        </w:rPr>
        <w:t>风险分析</w:t>
      </w:r>
      <w:bookmarkEnd w:id="296"/>
    </w:p>
    <w:p w14:paraId="65E58AB9">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软件项目风险是指在</w:t>
      </w:r>
      <w:r>
        <w:rPr>
          <w:rFonts w:hint="eastAsia" w:ascii="宋体" w:hAnsi="宋体" w:eastAsia="宋体" w:cs="Times New Roman"/>
          <w:kern w:val="0"/>
          <w:szCs w:val="21"/>
          <w:lang w:bidi="en-US"/>
        </w:rPr>
        <w:t>项目</w:t>
      </w:r>
      <w:r>
        <w:rPr>
          <w:rFonts w:ascii="宋体" w:hAnsi="宋体" w:eastAsia="宋体" w:cs="Times New Roman"/>
          <w:kern w:val="0"/>
          <w:szCs w:val="21"/>
          <w:lang w:val="zh-CN" w:bidi="en-US"/>
        </w:rPr>
        <w:t>开发</w:t>
      </w:r>
      <w:r>
        <w:rPr>
          <w:rFonts w:hint="eastAsia" w:ascii="宋体" w:hAnsi="宋体" w:eastAsia="宋体" w:cs="Times New Roman"/>
          <w:kern w:val="0"/>
          <w:szCs w:val="21"/>
          <w:lang w:bidi="en-US"/>
        </w:rPr>
        <w:t>实施</w:t>
      </w:r>
      <w:r>
        <w:rPr>
          <w:rFonts w:ascii="宋体" w:hAnsi="宋体" w:eastAsia="宋体" w:cs="Times New Roman"/>
          <w:kern w:val="0"/>
          <w:szCs w:val="21"/>
          <w:lang w:val="zh-CN" w:bidi="en-US"/>
        </w:rPr>
        <w:t>过程中</w:t>
      </w:r>
      <w:r>
        <w:rPr>
          <w:rFonts w:hint="eastAsia" w:ascii="宋体" w:hAnsi="宋体" w:eastAsia="宋体" w:cs="Times New Roman"/>
          <w:kern w:val="0"/>
          <w:szCs w:val="21"/>
          <w:lang w:bidi="en-US"/>
        </w:rPr>
        <w:t>可能会出现</w:t>
      </w:r>
      <w:r>
        <w:rPr>
          <w:rFonts w:ascii="宋体" w:hAnsi="宋体" w:eastAsia="宋体" w:cs="Times New Roman"/>
          <w:kern w:val="0"/>
          <w:szCs w:val="21"/>
          <w:lang w:val="zh-CN" w:bidi="en-US"/>
        </w:rPr>
        <w:t>的预算</w:t>
      </w:r>
      <w:r>
        <w:rPr>
          <w:rFonts w:hint="eastAsia" w:ascii="宋体" w:hAnsi="宋体" w:eastAsia="宋体" w:cs="Times New Roman"/>
          <w:kern w:val="0"/>
          <w:szCs w:val="21"/>
          <w:lang w:val="zh-CN" w:bidi="en-US"/>
        </w:rPr>
        <w:t>、</w:t>
      </w:r>
      <w:r>
        <w:rPr>
          <w:rFonts w:ascii="宋体" w:hAnsi="宋体" w:eastAsia="宋体" w:cs="Times New Roman"/>
          <w:kern w:val="0"/>
          <w:szCs w:val="21"/>
          <w:lang w:val="zh-CN" w:bidi="en-US"/>
        </w:rPr>
        <w:t>进度</w:t>
      </w:r>
      <w:r>
        <w:rPr>
          <w:rFonts w:hint="eastAsia" w:ascii="宋体" w:hAnsi="宋体" w:eastAsia="宋体" w:cs="Times New Roman"/>
          <w:kern w:val="0"/>
          <w:szCs w:val="21"/>
          <w:lang w:val="zh-CN" w:bidi="en-US"/>
        </w:rPr>
        <w:t>、</w:t>
      </w:r>
      <w:r>
        <w:rPr>
          <w:rFonts w:hint="eastAsia" w:ascii="宋体" w:hAnsi="宋体" w:eastAsia="宋体" w:cs="Times New Roman"/>
          <w:kern w:val="0"/>
          <w:szCs w:val="21"/>
          <w:lang w:bidi="en-US"/>
        </w:rPr>
        <w:t>边界、质量、安全</w:t>
      </w:r>
      <w:r>
        <w:rPr>
          <w:rFonts w:ascii="宋体" w:hAnsi="宋体" w:eastAsia="宋体" w:cs="Times New Roman"/>
          <w:kern w:val="0"/>
          <w:szCs w:val="21"/>
          <w:lang w:val="zh-CN" w:bidi="en-US"/>
        </w:rPr>
        <w:t>等方面的问题以及</w:t>
      </w:r>
      <w:r>
        <w:rPr>
          <w:rFonts w:hint="eastAsia" w:ascii="宋体" w:hAnsi="宋体" w:eastAsia="宋体" w:cs="Times New Roman"/>
          <w:kern w:val="0"/>
          <w:szCs w:val="21"/>
          <w:lang w:bidi="en-US"/>
        </w:rPr>
        <w:t>这些问题得不到及时解决会给项目实施带来的不利影响</w:t>
      </w:r>
      <w:r>
        <w:rPr>
          <w:rFonts w:ascii="宋体" w:hAnsi="宋体" w:eastAsia="宋体" w:cs="Times New Roman"/>
          <w:kern w:val="0"/>
          <w:szCs w:val="21"/>
          <w:lang w:val="zh-CN" w:bidi="en-US"/>
        </w:rPr>
        <w:t>。如果项目风险</w:t>
      </w:r>
      <w:r>
        <w:rPr>
          <w:rFonts w:hint="eastAsia" w:ascii="宋体" w:hAnsi="宋体" w:eastAsia="宋体" w:cs="Times New Roman"/>
          <w:kern w:val="0"/>
          <w:szCs w:val="21"/>
          <w:lang w:bidi="en-US"/>
        </w:rPr>
        <w:t>没有得到有效控制就会</w:t>
      </w:r>
      <w:r>
        <w:rPr>
          <w:rFonts w:ascii="宋体" w:hAnsi="宋体" w:eastAsia="宋体" w:cs="Times New Roman"/>
          <w:kern w:val="0"/>
          <w:szCs w:val="21"/>
          <w:lang w:val="zh-CN" w:bidi="en-US"/>
        </w:rPr>
        <w:t>变成</w:t>
      </w:r>
      <w:r>
        <w:rPr>
          <w:rFonts w:hint="eastAsia" w:ascii="宋体" w:hAnsi="宋体" w:eastAsia="宋体" w:cs="Times New Roman"/>
          <w:kern w:val="0"/>
          <w:szCs w:val="21"/>
          <w:lang w:bidi="en-US"/>
        </w:rPr>
        <w:t>问题</w:t>
      </w:r>
      <w:r>
        <w:rPr>
          <w:rFonts w:ascii="宋体" w:hAnsi="宋体" w:eastAsia="宋体" w:cs="Times New Roman"/>
          <w:kern w:val="0"/>
          <w:szCs w:val="21"/>
          <w:lang w:val="zh-CN" w:bidi="en-US"/>
        </w:rPr>
        <w:t>，</w:t>
      </w:r>
      <w:r>
        <w:rPr>
          <w:rFonts w:hint="eastAsia" w:ascii="宋体" w:hAnsi="宋体" w:eastAsia="宋体" w:cs="Times New Roman"/>
          <w:kern w:val="0"/>
          <w:szCs w:val="21"/>
          <w:lang w:bidi="en-US"/>
        </w:rPr>
        <w:t>从而</w:t>
      </w:r>
      <w:r>
        <w:rPr>
          <w:rFonts w:ascii="宋体" w:hAnsi="宋体" w:eastAsia="宋体" w:cs="Times New Roman"/>
          <w:kern w:val="0"/>
          <w:szCs w:val="21"/>
          <w:lang w:val="zh-CN" w:bidi="en-US"/>
        </w:rPr>
        <w:t>影响项目的进度，增加项目的成本，甚至使软件项目不能</w:t>
      </w:r>
      <w:r>
        <w:rPr>
          <w:rFonts w:hint="eastAsia" w:ascii="宋体" w:hAnsi="宋体" w:eastAsia="宋体" w:cs="Times New Roman"/>
          <w:kern w:val="0"/>
          <w:szCs w:val="21"/>
          <w:lang w:bidi="en-US"/>
        </w:rPr>
        <w:t>如期竣工交付</w:t>
      </w:r>
      <w:r>
        <w:rPr>
          <w:rFonts w:ascii="宋体" w:hAnsi="宋体" w:eastAsia="宋体" w:cs="Times New Roman"/>
          <w:kern w:val="0"/>
          <w:szCs w:val="21"/>
          <w:lang w:val="zh-CN" w:bidi="en-US"/>
        </w:rPr>
        <w:t>。如果对项目进行</w:t>
      </w:r>
      <w:r>
        <w:rPr>
          <w:rFonts w:hint="eastAsia" w:ascii="宋体" w:hAnsi="宋体" w:eastAsia="宋体" w:cs="Times New Roman"/>
          <w:kern w:val="0"/>
          <w:szCs w:val="21"/>
          <w:lang w:bidi="en-US"/>
        </w:rPr>
        <w:t>科学</w:t>
      </w:r>
      <w:r>
        <w:rPr>
          <w:rFonts w:ascii="宋体" w:hAnsi="宋体" w:eastAsia="宋体" w:cs="Times New Roman"/>
          <w:kern w:val="0"/>
          <w:szCs w:val="21"/>
          <w:lang w:val="zh-CN" w:bidi="en-US"/>
        </w:rPr>
        <w:t>风险管理，</w:t>
      </w:r>
      <w:r>
        <w:rPr>
          <w:rFonts w:hint="eastAsia" w:ascii="宋体" w:hAnsi="宋体" w:eastAsia="宋体" w:cs="Times New Roman"/>
          <w:kern w:val="0"/>
          <w:szCs w:val="21"/>
          <w:lang w:bidi="en-US"/>
        </w:rPr>
        <w:t>制定完善的风险应对措施，</w:t>
      </w:r>
      <w:r>
        <w:rPr>
          <w:rFonts w:ascii="宋体" w:hAnsi="宋体" w:eastAsia="宋体" w:cs="Times New Roman"/>
          <w:kern w:val="0"/>
          <w:szCs w:val="21"/>
          <w:lang w:val="zh-CN" w:bidi="en-US"/>
        </w:rPr>
        <w:t>就可以最大限度的减少风险</w:t>
      </w:r>
      <w:r>
        <w:rPr>
          <w:rFonts w:hint="eastAsia" w:ascii="宋体" w:hAnsi="宋体" w:eastAsia="宋体" w:cs="Times New Roman"/>
          <w:kern w:val="0"/>
          <w:szCs w:val="21"/>
          <w:lang w:bidi="en-US"/>
        </w:rPr>
        <w:t>转变为问题</w:t>
      </w:r>
      <w:r>
        <w:rPr>
          <w:rFonts w:ascii="宋体" w:hAnsi="宋体" w:eastAsia="宋体" w:cs="Times New Roman"/>
          <w:kern w:val="0"/>
          <w:szCs w:val="21"/>
          <w:lang w:val="zh-CN" w:bidi="en-US"/>
        </w:rPr>
        <w:t>的</w:t>
      </w:r>
      <w:r>
        <w:rPr>
          <w:rFonts w:hint="eastAsia" w:ascii="宋体" w:hAnsi="宋体" w:eastAsia="宋体" w:cs="Times New Roman"/>
          <w:kern w:val="0"/>
          <w:szCs w:val="21"/>
          <w:lang w:bidi="en-US"/>
        </w:rPr>
        <w:t>概率</w:t>
      </w:r>
      <w:r>
        <w:rPr>
          <w:rFonts w:ascii="宋体" w:hAnsi="宋体" w:eastAsia="宋体" w:cs="Times New Roman"/>
          <w:kern w:val="0"/>
          <w:szCs w:val="21"/>
          <w:lang w:val="zh-CN" w:bidi="en-US"/>
        </w:rPr>
        <w:t>。</w:t>
      </w:r>
    </w:p>
    <w:p w14:paraId="3207CC5A">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项目风险</w:t>
      </w:r>
      <w:r>
        <w:rPr>
          <w:rFonts w:hint="eastAsia" w:ascii="宋体" w:hAnsi="宋体" w:eastAsia="宋体" w:cs="Times New Roman"/>
          <w:kern w:val="0"/>
          <w:szCs w:val="21"/>
          <w:lang w:val="zh-CN" w:bidi="en-US"/>
        </w:rPr>
        <w:t>管理</w:t>
      </w:r>
      <w:r>
        <w:rPr>
          <w:rFonts w:ascii="宋体" w:hAnsi="宋体" w:eastAsia="宋体" w:cs="Times New Roman"/>
          <w:kern w:val="0"/>
          <w:szCs w:val="21"/>
          <w:lang w:val="zh-CN" w:bidi="en-US"/>
        </w:rPr>
        <w:t>是指为了最好的达到项目的目标，识别、分配、应对项目生命周期内风险的科学与艺术。项目风险管理的目标是使潜在机会或回报最大化，使潜在风险最小化。风险管理涉及的主要过程包括：</w:t>
      </w:r>
      <w:r>
        <w:rPr>
          <w:rFonts w:hint="eastAsia" w:ascii="宋体" w:hAnsi="宋体" w:eastAsia="宋体" w:cs="Times New Roman"/>
          <w:kern w:val="0"/>
          <w:szCs w:val="21"/>
          <w:lang w:bidi="en-US"/>
        </w:rPr>
        <w:t>依据风险控制方案进行</w:t>
      </w:r>
      <w:r>
        <w:rPr>
          <w:rFonts w:ascii="宋体" w:hAnsi="宋体" w:eastAsia="宋体" w:cs="Times New Roman"/>
          <w:kern w:val="0"/>
          <w:szCs w:val="21"/>
          <w:lang w:val="zh-CN" w:bidi="en-US"/>
        </w:rPr>
        <w:t>风险识别，风险量化，风险应对计划制定和风险监控</w:t>
      </w:r>
      <w:r>
        <w:rPr>
          <w:rFonts w:hint="eastAsia" w:ascii="宋体" w:hAnsi="宋体" w:eastAsia="宋体" w:cs="Times New Roman"/>
          <w:kern w:val="0"/>
          <w:szCs w:val="21"/>
          <w:lang w:val="zh-CN" w:bidi="en-US"/>
        </w:rPr>
        <w:t>。在项目的生命周期内，循环执行风险识别、风险分析、风险减缓和风险跟踪，直到项目的所有风险都被识别与解决为止。</w:t>
      </w:r>
    </w:p>
    <w:p w14:paraId="703756CF">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每一个软件</w:t>
      </w:r>
      <w:r>
        <w:rPr>
          <w:rFonts w:hint="eastAsia" w:ascii="宋体" w:hAnsi="宋体" w:eastAsia="宋体" w:cs="Times New Roman"/>
          <w:kern w:val="0"/>
          <w:szCs w:val="21"/>
          <w:lang w:bidi="en-US"/>
        </w:rPr>
        <w:t>工程</w:t>
      </w:r>
      <w:r>
        <w:rPr>
          <w:rFonts w:hint="eastAsia" w:ascii="宋体" w:hAnsi="宋体" w:eastAsia="宋体" w:cs="Times New Roman"/>
          <w:kern w:val="0"/>
          <w:szCs w:val="21"/>
          <w:lang w:val="zh-CN" w:bidi="en-US"/>
        </w:rPr>
        <w:t>项目都不可避免的受到领域背景、应用环境、开发环境等各方面的因素影响，而有些因素的出现可能会对</w:t>
      </w:r>
      <w:r>
        <w:rPr>
          <w:rFonts w:hint="eastAsia" w:ascii="宋体" w:hAnsi="宋体" w:eastAsia="宋体" w:cs="Times New Roman"/>
          <w:kern w:val="0"/>
          <w:szCs w:val="21"/>
          <w:lang w:bidi="en-US"/>
        </w:rPr>
        <w:t>软件</w:t>
      </w:r>
      <w:r>
        <w:rPr>
          <w:rFonts w:hint="eastAsia" w:ascii="宋体" w:hAnsi="宋体" w:eastAsia="宋体" w:cs="Times New Roman"/>
          <w:kern w:val="0"/>
          <w:szCs w:val="21"/>
          <w:lang w:val="zh-CN" w:bidi="en-US"/>
        </w:rPr>
        <w:t>工程的实施</w:t>
      </w:r>
      <w:r>
        <w:rPr>
          <w:rFonts w:hint="eastAsia" w:ascii="宋体" w:hAnsi="宋体" w:eastAsia="宋体" w:cs="Times New Roman"/>
          <w:kern w:val="0"/>
          <w:szCs w:val="21"/>
          <w:lang w:bidi="en-US"/>
        </w:rPr>
        <w:t>带来</w:t>
      </w:r>
      <w:r>
        <w:rPr>
          <w:rFonts w:hint="eastAsia" w:ascii="宋体" w:hAnsi="宋体" w:eastAsia="宋体" w:cs="Times New Roman"/>
          <w:kern w:val="0"/>
          <w:szCs w:val="21"/>
          <w:lang w:val="zh-CN" w:bidi="en-US"/>
        </w:rPr>
        <w:t>损失或影响，造成</w:t>
      </w:r>
      <w:r>
        <w:rPr>
          <w:rFonts w:hint="eastAsia" w:ascii="宋体" w:hAnsi="宋体" w:eastAsia="宋体" w:cs="Times New Roman"/>
          <w:kern w:val="0"/>
          <w:szCs w:val="21"/>
          <w:lang w:bidi="en-US"/>
        </w:rPr>
        <w:t>诸如</w:t>
      </w:r>
      <w:r>
        <w:rPr>
          <w:rFonts w:hint="eastAsia" w:ascii="宋体" w:hAnsi="宋体" w:eastAsia="宋体" w:cs="Times New Roman"/>
          <w:kern w:val="0"/>
          <w:szCs w:val="21"/>
          <w:lang w:val="zh-CN" w:bidi="en-US"/>
        </w:rPr>
        <w:t>工程延期、软件质量不</w:t>
      </w:r>
      <w:r>
        <w:rPr>
          <w:rFonts w:hint="eastAsia" w:ascii="宋体" w:hAnsi="宋体" w:eastAsia="宋体" w:cs="Times New Roman"/>
          <w:kern w:val="0"/>
          <w:szCs w:val="21"/>
          <w:lang w:bidi="en-US"/>
        </w:rPr>
        <w:t>合格</w:t>
      </w:r>
      <w:r>
        <w:rPr>
          <w:rFonts w:hint="eastAsia" w:ascii="宋体" w:hAnsi="宋体" w:eastAsia="宋体" w:cs="Times New Roman"/>
          <w:kern w:val="0"/>
          <w:szCs w:val="21"/>
          <w:lang w:val="zh-CN" w:bidi="en-US"/>
        </w:rPr>
        <w:t>、费用超支等</w:t>
      </w:r>
      <w:r>
        <w:rPr>
          <w:rFonts w:hint="eastAsia" w:ascii="宋体" w:hAnsi="宋体" w:eastAsia="宋体" w:cs="Times New Roman"/>
          <w:kern w:val="0"/>
          <w:szCs w:val="21"/>
          <w:lang w:bidi="en-US"/>
        </w:rPr>
        <w:t>问题</w:t>
      </w:r>
      <w:r>
        <w:rPr>
          <w:rFonts w:hint="eastAsia" w:ascii="宋体" w:hAnsi="宋体" w:eastAsia="宋体" w:cs="Times New Roman"/>
          <w:kern w:val="0"/>
          <w:szCs w:val="21"/>
          <w:lang w:val="zh-CN" w:bidi="en-US"/>
        </w:rPr>
        <w:t>，更严重的可能会导致整个项目的失败。为了保证项目的成功并尽最大可能保证项目的整体质量，有必要在项目的开发过程中，对各种可能出现的风险进行</w:t>
      </w:r>
      <w:r>
        <w:rPr>
          <w:rFonts w:hint="eastAsia" w:ascii="宋体" w:hAnsi="宋体" w:eastAsia="宋体" w:cs="Times New Roman"/>
          <w:kern w:val="0"/>
          <w:szCs w:val="21"/>
          <w:lang w:bidi="en-US"/>
        </w:rPr>
        <w:t>识别和</w:t>
      </w:r>
      <w:r>
        <w:rPr>
          <w:rFonts w:hint="eastAsia" w:ascii="宋体" w:hAnsi="宋体" w:eastAsia="宋体" w:cs="Times New Roman"/>
          <w:kern w:val="0"/>
          <w:szCs w:val="21"/>
          <w:lang w:val="zh-CN" w:bidi="en-US"/>
        </w:rPr>
        <w:t>分析，并</w:t>
      </w:r>
      <w:r>
        <w:rPr>
          <w:rFonts w:hint="eastAsia" w:ascii="宋体" w:hAnsi="宋体" w:eastAsia="宋体" w:cs="Times New Roman"/>
          <w:kern w:val="0"/>
          <w:szCs w:val="21"/>
          <w:lang w:bidi="en-US"/>
        </w:rPr>
        <w:t>制定好</w:t>
      </w:r>
      <w:r>
        <w:rPr>
          <w:rFonts w:hint="eastAsia" w:ascii="宋体" w:hAnsi="宋体" w:eastAsia="宋体" w:cs="Times New Roman"/>
          <w:kern w:val="0"/>
          <w:szCs w:val="21"/>
          <w:lang w:val="zh-CN" w:bidi="en-US"/>
        </w:rPr>
        <w:t>相应的</w:t>
      </w:r>
      <w:r>
        <w:rPr>
          <w:rFonts w:hint="eastAsia" w:ascii="宋体" w:hAnsi="宋体" w:eastAsia="宋体" w:cs="Times New Roman"/>
          <w:kern w:val="0"/>
          <w:szCs w:val="21"/>
          <w:lang w:bidi="en-US"/>
        </w:rPr>
        <w:t>应对预案</w:t>
      </w:r>
      <w:r>
        <w:rPr>
          <w:rFonts w:hint="eastAsia" w:ascii="宋体" w:hAnsi="宋体" w:eastAsia="宋体" w:cs="Times New Roman"/>
          <w:kern w:val="0"/>
          <w:szCs w:val="21"/>
          <w:lang w:val="zh-CN" w:bidi="en-US"/>
        </w:rPr>
        <w:t>，</w:t>
      </w:r>
      <w:r>
        <w:rPr>
          <w:rFonts w:hint="eastAsia" w:ascii="宋体" w:hAnsi="宋体" w:eastAsia="宋体" w:cs="Times New Roman"/>
          <w:kern w:val="0"/>
          <w:szCs w:val="21"/>
          <w:lang w:bidi="en-US"/>
        </w:rPr>
        <w:t>避免风险转化为问题给业主方</w:t>
      </w:r>
      <w:r>
        <w:rPr>
          <w:rFonts w:hint="eastAsia" w:ascii="宋体" w:hAnsi="宋体" w:eastAsia="宋体" w:cs="Times New Roman"/>
          <w:kern w:val="0"/>
          <w:szCs w:val="21"/>
          <w:lang w:val="zh-CN" w:bidi="en-US"/>
        </w:rPr>
        <w:t>造成</w:t>
      </w:r>
      <w:r>
        <w:rPr>
          <w:rFonts w:hint="eastAsia" w:ascii="宋体" w:hAnsi="宋体" w:eastAsia="宋体" w:cs="Times New Roman"/>
          <w:kern w:val="0"/>
          <w:szCs w:val="21"/>
          <w:lang w:bidi="en-US"/>
        </w:rPr>
        <w:t>重大</w:t>
      </w:r>
      <w:r>
        <w:rPr>
          <w:rFonts w:hint="eastAsia" w:ascii="宋体" w:hAnsi="宋体" w:eastAsia="宋体" w:cs="Times New Roman"/>
          <w:kern w:val="0"/>
          <w:szCs w:val="21"/>
          <w:lang w:val="zh-CN" w:bidi="en-US"/>
        </w:rPr>
        <w:t>损失。</w:t>
      </w:r>
    </w:p>
    <w:p w14:paraId="160A334B">
      <w:pPr>
        <w:pStyle w:val="6"/>
        <w:numPr>
          <w:ilvl w:val="2"/>
          <w:numId w:val="39"/>
        </w:numPr>
        <w:spacing w:before="260" w:after="260" w:line="416" w:lineRule="auto"/>
        <w:jc w:val="both"/>
        <w:rPr>
          <w:rFonts w:hint="eastAsia" w:ascii="宋体" w:hAnsi="宋体" w:cstheme="majorBidi"/>
          <w:szCs w:val="24"/>
        </w:rPr>
      </w:pPr>
      <w:bookmarkStart w:id="297" w:name="_Toc180265686"/>
      <w:r>
        <w:rPr>
          <w:rFonts w:hint="eastAsia" w:ascii="宋体" w:hAnsi="宋体" w:cstheme="majorBidi"/>
          <w:szCs w:val="24"/>
        </w:rPr>
        <w:t>风险控制方案</w:t>
      </w:r>
      <w:bookmarkEnd w:id="297"/>
    </w:p>
    <w:p w14:paraId="205E93E6">
      <w:pPr>
        <w:numPr>
          <w:ilvl w:val="0"/>
          <w:numId w:val="94"/>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制定原则</w:t>
      </w:r>
    </w:p>
    <w:p w14:paraId="675C9540">
      <w:pPr>
        <w:spacing w:before="50" w:after="50" w:line="360" w:lineRule="auto"/>
        <w:ind w:firstLine="420" w:firstLineChars="200"/>
        <w:contextualSpacing/>
        <w:jc w:val="left"/>
        <w:rPr>
          <w:rFonts w:hint="eastAsia" w:ascii="宋体" w:hAnsi="宋体" w:eastAsia="宋体" w:cs="Times New Roman"/>
          <w:kern w:val="0"/>
          <w:szCs w:val="21"/>
          <w:lang w:val="zh-CN" w:eastAsia="en-US" w:bidi="en-US"/>
        </w:rPr>
      </w:pPr>
      <w:r>
        <w:rPr>
          <w:rFonts w:ascii="宋体" w:hAnsi="宋体" w:eastAsia="宋体" w:cs="Times New Roman"/>
          <w:kern w:val="0"/>
          <w:szCs w:val="21"/>
          <w:lang w:val="zh-CN" w:bidi="en-US"/>
        </w:rPr>
        <w:t>在全面分析评估风险因素的基础上，制定有效的</w:t>
      </w:r>
      <w:r>
        <w:rPr>
          <w:rFonts w:hint="eastAsia" w:ascii="宋体" w:hAnsi="宋体" w:eastAsia="宋体" w:cs="Times New Roman"/>
          <w:kern w:val="0"/>
          <w:szCs w:val="21"/>
          <w:lang w:bidi="en-US"/>
        </w:rPr>
        <w:t>风险控制</w:t>
      </w:r>
      <w:r>
        <w:rPr>
          <w:rFonts w:ascii="宋体" w:hAnsi="宋体" w:eastAsia="宋体" w:cs="Times New Roman"/>
          <w:kern w:val="0"/>
          <w:szCs w:val="21"/>
          <w:lang w:val="zh-CN" w:bidi="en-US"/>
        </w:rPr>
        <w:t>方案是风险管理工作的成败之关键，它直接决定</w:t>
      </w:r>
      <w:r>
        <w:rPr>
          <w:rFonts w:hint="eastAsia" w:ascii="宋体" w:hAnsi="宋体" w:eastAsia="宋体" w:cs="Times New Roman"/>
          <w:kern w:val="0"/>
          <w:szCs w:val="21"/>
          <w:lang w:bidi="en-US"/>
        </w:rPr>
        <w:t>项目风险</w:t>
      </w:r>
      <w:r>
        <w:rPr>
          <w:rFonts w:ascii="宋体" w:hAnsi="宋体" w:eastAsia="宋体" w:cs="Times New Roman"/>
          <w:kern w:val="0"/>
          <w:szCs w:val="21"/>
          <w:lang w:val="zh-CN" w:bidi="en-US"/>
        </w:rPr>
        <w:t>管理的效率和效果。因此，详实、全面、有效成为方案的基本要求，其内容应包括：风险管理方案的制定原则和框架、风险管理的措施、风险管理的工作程序等。</w:t>
      </w:r>
      <w:r>
        <w:rPr>
          <w:rFonts w:hint="eastAsia" w:ascii="宋体" w:hAnsi="宋体" w:eastAsia="宋体" w:cs="Times New Roman"/>
          <w:kern w:val="0"/>
          <w:szCs w:val="21"/>
          <w:lang w:val="zh-CN" w:eastAsia="en-US" w:bidi="en-US"/>
        </w:rPr>
        <w:t>遵循以下几方面的原则：</w:t>
      </w:r>
    </w:p>
    <w:p w14:paraId="65D6A904">
      <w:pPr>
        <w:numPr>
          <w:ilvl w:val="0"/>
          <w:numId w:val="95"/>
        </w:numPr>
        <w:spacing w:line="360" w:lineRule="auto"/>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可行、适用、有效性原则</w:t>
      </w:r>
    </w:p>
    <w:p w14:paraId="771EE673">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管理方案首先应针对已识别的风险源，制定具有可操作的管理措施，适用有效的管理措施能大大提高管理的效率和效果。</w:t>
      </w:r>
    </w:p>
    <w:p w14:paraId="777BCE79">
      <w:pPr>
        <w:numPr>
          <w:ilvl w:val="0"/>
          <w:numId w:val="96"/>
        </w:numPr>
        <w:spacing w:line="360" w:lineRule="auto"/>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经济、合理、先进性原则</w:t>
      </w:r>
    </w:p>
    <w:p w14:paraId="63ACEC2B">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管理方案涉及的多项工作和措施应力求管理成本的节约，管理信息流畅、方式简捷、手段先进才能显示出高超的风险管理水平。</w:t>
      </w:r>
    </w:p>
    <w:p w14:paraId="7BED2355">
      <w:pPr>
        <w:numPr>
          <w:ilvl w:val="0"/>
          <w:numId w:val="97"/>
        </w:numPr>
        <w:spacing w:line="360" w:lineRule="auto"/>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主动、及时、全过程原则</w:t>
      </w:r>
    </w:p>
    <w:p w14:paraId="53715B6E">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对于风险管理，应遵循主动控制、事先控制的管理思想，根据不断发展变化的环境条件和不断出现的新情况、新问题，及时采取应对措施，调整管理方案，并将这一原则贯彻项目全过程，才能充分体现风险管理的特点和优势。</w:t>
      </w:r>
    </w:p>
    <w:p w14:paraId="3ECD6600">
      <w:pPr>
        <w:numPr>
          <w:ilvl w:val="0"/>
          <w:numId w:val="98"/>
        </w:numPr>
        <w:spacing w:line="360" w:lineRule="auto"/>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综合、系统、全方位原则</w:t>
      </w:r>
    </w:p>
    <w:p w14:paraId="68CEDC13">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风险管理是一项系统性、综合性极强的工作，不仅其产生的原因复杂，而且后果影响面广，所需处理措施综合性强。 例如项目的多目标特征（投资、进度、质量、安全、合同变更和索赔、生产成本、利税等目标）；因此，要全面彻底的降低乃至消除风险因素的影响，必须采取综合治理原则，动员各方力量，科学分配风险责任，建立风险利益的共同体和项目全方位风险管理体系，才能将风险管理的工作落到实处。</w:t>
      </w:r>
    </w:p>
    <w:p w14:paraId="62DDA914">
      <w:pPr>
        <w:numPr>
          <w:ilvl w:val="0"/>
          <w:numId w:val="94"/>
        </w:numPr>
        <w:snapToGrid w:val="0"/>
        <w:spacing w:line="360" w:lineRule="auto"/>
        <w:contextualSpacing/>
        <w:rPr>
          <w:rFonts w:hint="eastAsia" w:ascii="宋体" w:hAnsi="宋体" w:eastAsia="宋体" w:cs="宋体"/>
          <w:b/>
          <w:bCs/>
          <w:szCs w:val="21"/>
        </w:rPr>
      </w:pPr>
      <w:bookmarkStart w:id="298" w:name="_Toc216233794"/>
      <w:bookmarkStart w:id="299" w:name="_Toc319760183"/>
      <w:bookmarkStart w:id="300" w:name="_Toc200530367"/>
      <w:bookmarkStart w:id="301" w:name="_Toc197690325"/>
      <w:bookmarkStart w:id="302" w:name="_Toc127171068"/>
      <w:bookmarkStart w:id="303" w:name="_Toc302723203"/>
      <w:bookmarkStart w:id="304" w:name="_Toc211599022"/>
      <w:bookmarkStart w:id="305" w:name="_Toc140122481"/>
      <w:bookmarkStart w:id="306" w:name="_Toc326928326"/>
      <w:r>
        <w:rPr>
          <w:rFonts w:hint="eastAsia" w:ascii="宋体" w:hAnsi="宋体" w:eastAsia="宋体" w:cs="宋体"/>
          <w:b/>
          <w:bCs/>
          <w:szCs w:val="21"/>
        </w:rPr>
        <w:t>风险识别及应对计划</w:t>
      </w:r>
    </w:p>
    <w:tbl>
      <w:tblPr>
        <w:tblStyle w:val="40"/>
        <w:tblW w:w="0" w:type="auto"/>
        <w:tblInd w:w="0" w:type="dxa"/>
        <w:tblLayout w:type="autofit"/>
        <w:tblCellMar>
          <w:top w:w="0" w:type="dxa"/>
          <w:left w:w="108" w:type="dxa"/>
          <w:bottom w:w="0" w:type="dxa"/>
          <w:right w:w="108" w:type="dxa"/>
        </w:tblCellMar>
      </w:tblPr>
      <w:tblGrid>
        <w:gridCol w:w="1305"/>
        <w:gridCol w:w="1430"/>
        <w:gridCol w:w="5787"/>
      </w:tblGrid>
      <w:tr w14:paraId="1B98529C">
        <w:tblPrEx>
          <w:tblCellMar>
            <w:top w:w="0" w:type="dxa"/>
            <w:left w:w="108" w:type="dxa"/>
            <w:bottom w:w="0" w:type="dxa"/>
            <w:right w:w="108" w:type="dxa"/>
          </w:tblCellMar>
        </w:tblPrEx>
        <w:tc>
          <w:tcPr>
            <w:tcW w:w="1436" w:type="dxa"/>
            <w:vAlign w:val="center"/>
          </w:tcPr>
          <w:p w14:paraId="6CAC5ED9">
            <w:pPr>
              <w:snapToGrid w:val="0"/>
              <w:contextualSpacing/>
              <w:jc w:val="center"/>
              <w:rPr>
                <w:rFonts w:hint="eastAsia" w:ascii="宋体" w:hAnsi="宋体" w:eastAsia="宋体" w:cs="宋体"/>
                <w:b/>
                <w:bCs/>
                <w:szCs w:val="21"/>
              </w:rPr>
            </w:pPr>
            <w:r>
              <w:rPr>
                <w:rFonts w:hint="eastAsia" w:ascii="宋体" w:hAnsi="宋体" w:eastAsia="宋体" w:cs="宋体"/>
                <w:b/>
                <w:bCs/>
                <w:szCs w:val="21"/>
              </w:rPr>
              <w:t>风险分类</w:t>
            </w:r>
          </w:p>
        </w:tc>
        <w:tc>
          <w:tcPr>
            <w:tcW w:w="1580" w:type="dxa"/>
            <w:vAlign w:val="center"/>
          </w:tcPr>
          <w:p w14:paraId="2BBF8AF7">
            <w:pPr>
              <w:snapToGrid w:val="0"/>
              <w:contextualSpacing/>
              <w:jc w:val="center"/>
              <w:rPr>
                <w:rFonts w:hint="eastAsia" w:ascii="宋体" w:hAnsi="宋体" w:eastAsia="宋体" w:cs="宋体"/>
                <w:b/>
                <w:bCs/>
                <w:szCs w:val="21"/>
              </w:rPr>
            </w:pPr>
            <w:r>
              <w:rPr>
                <w:rFonts w:hint="eastAsia" w:ascii="宋体" w:hAnsi="宋体" w:eastAsia="宋体" w:cs="宋体"/>
                <w:b/>
                <w:bCs/>
                <w:szCs w:val="21"/>
              </w:rPr>
              <w:t>风险项</w:t>
            </w:r>
          </w:p>
        </w:tc>
        <w:tc>
          <w:tcPr>
            <w:tcW w:w="6554" w:type="dxa"/>
            <w:vAlign w:val="center"/>
          </w:tcPr>
          <w:p w14:paraId="6E43015E">
            <w:pPr>
              <w:snapToGrid w:val="0"/>
              <w:contextualSpacing/>
              <w:jc w:val="center"/>
              <w:rPr>
                <w:rFonts w:hint="eastAsia" w:ascii="宋体" w:hAnsi="宋体" w:eastAsia="宋体" w:cs="宋体"/>
                <w:b/>
                <w:bCs/>
                <w:szCs w:val="21"/>
              </w:rPr>
            </w:pPr>
            <w:r>
              <w:rPr>
                <w:rFonts w:hint="eastAsia" w:ascii="宋体" w:hAnsi="宋体" w:eastAsia="宋体" w:cs="宋体"/>
                <w:b/>
                <w:bCs/>
                <w:szCs w:val="21"/>
              </w:rPr>
              <w:t>风险分析及应对措施</w:t>
            </w:r>
          </w:p>
        </w:tc>
      </w:tr>
      <w:tr w14:paraId="16124FF4">
        <w:tblPrEx>
          <w:tblCellMar>
            <w:top w:w="0" w:type="dxa"/>
            <w:left w:w="108" w:type="dxa"/>
            <w:bottom w:w="0" w:type="dxa"/>
            <w:right w:w="108" w:type="dxa"/>
          </w:tblCellMar>
        </w:tblPrEx>
        <w:tc>
          <w:tcPr>
            <w:tcW w:w="1436" w:type="dxa"/>
            <w:vMerge w:val="restart"/>
            <w:vAlign w:val="center"/>
          </w:tcPr>
          <w:p w14:paraId="3DA5EE08">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b/>
                <w:bCs/>
                <w:szCs w:val="21"/>
              </w:rPr>
              <w:t>技术风险</w:t>
            </w:r>
          </w:p>
        </w:tc>
        <w:tc>
          <w:tcPr>
            <w:tcW w:w="1580" w:type="dxa"/>
            <w:vAlign w:val="center"/>
          </w:tcPr>
          <w:p w14:paraId="21A98E10">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szCs w:val="21"/>
              </w:rPr>
              <w:t>系统安全性</w:t>
            </w:r>
          </w:p>
        </w:tc>
        <w:tc>
          <w:tcPr>
            <w:tcW w:w="6554" w:type="dxa"/>
            <w:vAlign w:val="center"/>
          </w:tcPr>
          <w:p w14:paraId="00BBB789">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电子采购系统涉及大量敏感数据和交易信息，如被黑客攻击或数据泄露，将造成重大损失。</w:t>
            </w:r>
          </w:p>
          <w:p w14:paraId="3C7CAD54">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应对措施：</w:t>
            </w:r>
            <w:r>
              <w:rPr>
                <w:rFonts w:hint="eastAsia" w:ascii="宋体" w:hAnsi="宋体" w:eastAsia="宋体" w:cs="宋体"/>
                <w:szCs w:val="21"/>
              </w:rPr>
              <w:t>加强系统安全防护，采用先进的加密技术、防火墙、入侵检测系统等技术手段，确保系统数据的安全性和完整性。定期进行系统安全检查和漏洞扫描，及时发现并修复安全隐患。</w:t>
            </w:r>
          </w:p>
        </w:tc>
      </w:tr>
      <w:tr w14:paraId="0A4A697A">
        <w:tblPrEx>
          <w:tblCellMar>
            <w:top w:w="0" w:type="dxa"/>
            <w:left w:w="108" w:type="dxa"/>
            <w:bottom w:w="0" w:type="dxa"/>
            <w:right w:w="108" w:type="dxa"/>
          </w:tblCellMar>
        </w:tblPrEx>
        <w:tc>
          <w:tcPr>
            <w:tcW w:w="1436" w:type="dxa"/>
            <w:vMerge w:val="continue"/>
            <w:vAlign w:val="center"/>
          </w:tcPr>
          <w:p w14:paraId="5791F9D0">
            <w:pPr>
              <w:snapToGrid w:val="0"/>
              <w:spacing w:line="360" w:lineRule="auto"/>
              <w:contextualSpacing/>
              <w:jc w:val="center"/>
              <w:rPr>
                <w:rFonts w:hint="eastAsia" w:ascii="宋体" w:hAnsi="宋体" w:eastAsia="宋体" w:cs="宋体"/>
                <w:b/>
                <w:bCs/>
                <w:szCs w:val="21"/>
              </w:rPr>
            </w:pPr>
          </w:p>
        </w:tc>
        <w:tc>
          <w:tcPr>
            <w:tcW w:w="1580" w:type="dxa"/>
            <w:vAlign w:val="center"/>
          </w:tcPr>
          <w:p w14:paraId="162986EB">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szCs w:val="21"/>
              </w:rPr>
              <w:t>技术兼容性</w:t>
            </w:r>
          </w:p>
        </w:tc>
        <w:tc>
          <w:tcPr>
            <w:tcW w:w="6554" w:type="dxa"/>
            <w:vAlign w:val="center"/>
          </w:tcPr>
          <w:p w14:paraId="52299D7E">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新系统需与现有IT架构、业务流程等无缝对接，否则可能导致运行不畅或数据丢失。</w:t>
            </w:r>
          </w:p>
          <w:p w14:paraId="218BC67D">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应对措施：</w:t>
            </w:r>
            <w:r>
              <w:rPr>
                <w:rFonts w:hint="eastAsia" w:ascii="宋体" w:hAnsi="宋体" w:eastAsia="宋体" w:cs="宋体"/>
                <w:szCs w:val="21"/>
              </w:rPr>
              <w:t>在系统设计阶段，充分考虑与现有IT架构、业务流程等的兼容性。通过详细的需求分析和系统测试，确保新系统能够无缝对接现有系统，实现数据的平滑迁移和业务的连续运行。</w:t>
            </w:r>
          </w:p>
        </w:tc>
      </w:tr>
      <w:tr w14:paraId="48D08F84">
        <w:tblPrEx>
          <w:tblCellMar>
            <w:top w:w="0" w:type="dxa"/>
            <w:left w:w="108" w:type="dxa"/>
            <w:bottom w:w="0" w:type="dxa"/>
            <w:right w:w="108" w:type="dxa"/>
          </w:tblCellMar>
        </w:tblPrEx>
        <w:tc>
          <w:tcPr>
            <w:tcW w:w="1436" w:type="dxa"/>
            <w:vMerge w:val="continue"/>
            <w:vAlign w:val="center"/>
          </w:tcPr>
          <w:p w14:paraId="63BD2C68">
            <w:pPr>
              <w:snapToGrid w:val="0"/>
              <w:spacing w:line="360" w:lineRule="auto"/>
              <w:contextualSpacing/>
              <w:jc w:val="center"/>
              <w:rPr>
                <w:rFonts w:hint="eastAsia" w:ascii="宋体" w:hAnsi="宋体" w:eastAsia="宋体" w:cs="宋体"/>
                <w:b/>
                <w:bCs/>
                <w:szCs w:val="21"/>
              </w:rPr>
            </w:pPr>
          </w:p>
        </w:tc>
        <w:tc>
          <w:tcPr>
            <w:tcW w:w="1580" w:type="dxa"/>
            <w:vAlign w:val="center"/>
          </w:tcPr>
          <w:p w14:paraId="6B5D8FBC">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szCs w:val="21"/>
              </w:rPr>
              <w:t>技术更新迭代</w:t>
            </w:r>
          </w:p>
        </w:tc>
        <w:tc>
          <w:tcPr>
            <w:tcW w:w="6554" w:type="dxa"/>
            <w:vAlign w:val="center"/>
          </w:tcPr>
          <w:p w14:paraId="7F600618">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随着技术的发展，现有系统可能面临技术过时、无法满足未来业务需求的风险。</w:t>
            </w:r>
          </w:p>
          <w:p w14:paraId="21D6CF04">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应对措施：</w:t>
            </w:r>
            <w:r>
              <w:rPr>
                <w:rFonts w:hint="eastAsia" w:ascii="宋体" w:hAnsi="宋体" w:eastAsia="宋体" w:cs="宋体"/>
                <w:szCs w:val="21"/>
              </w:rPr>
              <w:t>关注技术发展动态：保持对新技术发展的关注，及时评估新技术对系统的影响。根据业务发展需求和技术发展趋势，制定系统升级和更新计划，确保系统的持续更新和优化。</w:t>
            </w:r>
          </w:p>
        </w:tc>
      </w:tr>
      <w:tr w14:paraId="192F88F5">
        <w:tblPrEx>
          <w:tblCellMar>
            <w:top w:w="0" w:type="dxa"/>
            <w:left w:w="108" w:type="dxa"/>
            <w:bottom w:w="0" w:type="dxa"/>
            <w:right w:w="108" w:type="dxa"/>
          </w:tblCellMar>
        </w:tblPrEx>
        <w:tc>
          <w:tcPr>
            <w:tcW w:w="1436" w:type="dxa"/>
            <w:vMerge w:val="restart"/>
            <w:vAlign w:val="center"/>
          </w:tcPr>
          <w:p w14:paraId="041E843D">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b/>
                <w:bCs/>
                <w:szCs w:val="21"/>
              </w:rPr>
              <w:t>业务风险</w:t>
            </w:r>
          </w:p>
        </w:tc>
        <w:tc>
          <w:tcPr>
            <w:tcW w:w="1580" w:type="dxa"/>
            <w:vAlign w:val="center"/>
          </w:tcPr>
          <w:p w14:paraId="21C3BE00">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szCs w:val="21"/>
              </w:rPr>
              <w:t>需求变更</w:t>
            </w:r>
          </w:p>
        </w:tc>
        <w:tc>
          <w:tcPr>
            <w:tcW w:w="6554" w:type="dxa"/>
            <w:vAlign w:val="center"/>
          </w:tcPr>
          <w:p w14:paraId="6D5CD56C">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业务需求可能随着市场环境、政策法规等因素的变化而发生变化，导致系统需要频繁调整。</w:t>
            </w:r>
          </w:p>
          <w:p w14:paraId="1D747EC2">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应对措施：</w:t>
            </w:r>
            <w:r>
              <w:rPr>
                <w:rFonts w:hint="eastAsia" w:ascii="宋体" w:hAnsi="宋体" w:eastAsia="宋体" w:cs="宋体"/>
                <w:szCs w:val="21"/>
              </w:rPr>
              <w:t>在项目启动阶段，与业务部门充分沟通，明确需求范围和变更流程。建立需求变更管理机制，对需求变更进行严格的审批和控制，确保需求变更的合理性和必要性。同时，加强与供应商的沟通与合作，确保供应商能够准确理解并满足业务需求。</w:t>
            </w:r>
          </w:p>
        </w:tc>
      </w:tr>
      <w:tr w14:paraId="5D0541A3">
        <w:tblPrEx>
          <w:tblCellMar>
            <w:top w:w="0" w:type="dxa"/>
            <w:left w:w="108" w:type="dxa"/>
            <w:bottom w:w="0" w:type="dxa"/>
            <w:right w:w="108" w:type="dxa"/>
          </w:tblCellMar>
        </w:tblPrEx>
        <w:tc>
          <w:tcPr>
            <w:tcW w:w="1436" w:type="dxa"/>
            <w:vMerge w:val="continue"/>
            <w:vAlign w:val="center"/>
          </w:tcPr>
          <w:p w14:paraId="4FA5E67C">
            <w:pPr>
              <w:snapToGrid w:val="0"/>
              <w:spacing w:line="360" w:lineRule="auto"/>
              <w:contextualSpacing/>
              <w:jc w:val="center"/>
              <w:rPr>
                <w:rFonts w:hint="eastAsia" w:ascii="宋体" w:hAnsi="宋体" w:eastAsia="宋体" w:cs="宋体"/>
                <w:b/>
                <w:bCs/>
                <w:szCs w:val="21"/>
              </w:rPr>
            </w:pPr>
          </w:p>
        </w:tc>
        <w:tc>
          <w:tcPr>
            <w:tcW w:w="1580" w:type="dxa"/>
            <w:vAlign w:val="center"/>
          </w:tcPr>
          <w:p w14:paraId="2A8807D4">
            <w:pPr>
              <w:snapToGrid w:val="0"/>
              <w:spacing w:line="360" w:lineRule="auto"/>
              <w:contextualSpacing/>
              <w:jc w:val="center"/>
              <w:rPr>
                <w:rFonts w:hint="eastAsia" w:ascii="宋体" w:hAnsi="宋体" w:eastAsia="宋体" w:cs="宋体"/>
                <w:b/>
                <w:bCs/>
                <w:szCs w:val="21"/>
              </w:rPr>
            </w:pPr>
            <w:r>
              <w:rPr>
                <w:rFonts w:hint="eastAsia" w:ascii="宋体" w:hAnsi="宋体" w:eastAsia="宋体" w:cs="宋体"/>
                <w:szCs w:val="21"/>
              </w:rPr>
              <w:t>代理机构管理</w:t>
            </w:r>
          </w:p>
        </w:tc>
        <w:tc>
          <w:tcPr>
            <w:tcW w:w="6554" w:type="dxa"/>
            <w:vAlign w:val="center"/>
          </w:tcPr>
          <w:p w14:paraId="3FA10F41">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代理机构的选择、评估、合作等环节存在风险，如代理机构信誉不佳、项目组织问题频发，都会给整个系统的正常运营造成不利影响。</w:t>
            </w:r>
          </w:p>
          <w:p w14:paraId="20D31625">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应对措施：</w:t>
            </w:r>
            <w:r>
              <w:rPr>
                <w:rFonts w:hint="eastAsia" w:ascii="宋体" w:hAnsi="宋体" w:eastAsia="宋体" w:cs="宋体"/>
                <w:szCs w:val="21"/>
              </w:rPr>
              <w:t>建立代理机构评估体系，对代理机构的信誉、资质、稳定性等进行全面评估。制定代理机构选择标准和流程，确保选择合格的代理机构进行合作。同时，定期对代理机构进行跟踪调查，及时了解代理机构的经营状况和市场动态，发现潜在风险并采取相应的防范措施。</w:t>
            </w:r>
          </w:p>
        </w:tc>
      </w:tr>
      <w:tr w14:paraId="37D665AB">
        <w:tblPrEx>
          <w:tblCellMar>
            <w:top w:w="0" w:type="dxa"/>
            <w:left w:w="108" w:type="dxa"/>
            <w:bottom w:w="0" w:type="dxa"/>
            <w:right w:w="108" w:type="dxa"/>
          </w:tblCellMar>
        </w:tblPrEx>
        <w:tc>
          <w:tcPr>
            <w:tcW w:w="1436" w:type="dxa"/>
            <w:vMerge w:val="continue"/>
            <w:vAlign w:val="center"/>
          </w:tcPr>
          <w:p w14:paraId="2DB3ECE6">
            <w:pPr>
              <w:snapToGrid w:val="0"/>
              <w:spacing w:line="360" w:lineRule="auto"/>
              <w:contextualSpacing/>
              <w:jc w:val="center"/>
              <w:rPr>
                <w:rFonts w:hint="eastAsia" w:ascii="宋体" w:hAnsi="宋体" w:eastAsia="宋体" w:cs="宋体"/>
                <w:b/>
                <w:bCs/>
                <w:szCs w:val="21"/>
              </w:rPr>
            </w:pPr>
          </w:p>
        </w:tc>
        <w:tc>
          <w:tcPr>
            <w:tcW w:w="1580" w:type="dxa"/>
            <w:vAlign w:val="center"/>
          </w:tcPr>
          <w:p w14:paraId="6A93EF7F">
            <w:pPr>
              <w:snapToGrid w:val="0"/>
              <w:spacing w:line="360" w:lineRule="auto"/>
              <w:contextualSpacing/>
              <w:jc w:val="center"/>
              <w:rPr>
                <w:rFonts w:hint="eastAsia" w:ascii="宋体" w:hAnsi="宋体" w:eastAsia="宋体" w:cs="宋体"/>
                <w:szCs w:val="21"/>
              </w:rPr>
            </w:pPr>
            <w:r>
              <w:rPr>
                <w:rFonts w:hint="eastAsia" w:ascii="宋体" w:hAnsi="宋体" w:eastAsia="宋体" w:cs="宋体"/>
                <w:szCs w:val="21"/>
              </w:rPr>
              <w:t>合同管理</w:t>
            </w:r>
          </w:p>
        </w:tc>
        <w:tc>
          <w:tcPr>
            <w:tcW w:w="6554" w:type="dxa"/>
            <w:vAlign w:val="center"/>
          </w:tcPr>
          <w:p w14:paraId="4857C0F7">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开发建设合同条款不明确、违约责任不清晰等可能导致法律纠纷和经济损失。</w:t>
            </w:r>
          </w:p>
          <w:p w14:paraId="699297CC">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应对措施：</w:t>
            </w:r>
            <w:r>
              <w:rPr>
                <w:rFonts w:hint="eastAsia" w:ascii="宋体" w:hAnsi="宋体" w:eastAsia="宋体" w:cs="宋体"/>
                <w:szCs w:val="21"/>
              </w:rPr>
              <w:t>完善本次项目开发建设合同管理：明确合同条款，确保合同内容详细、明确，包括组织、质量、违约责任等。加强合同审查，由法务部门或专业律师对合同进行审查，防止合同陷阱和法律风险。同时，建立合同执行跟踪机制，对合同履行情况进行实时监控和评估，确保合同按时、按质、按量履行。</w:t>
            </w:r>
          </w:p>
        </w:tc>
      </w:tr>
      <w:tr w14:paraId="184A58B5">
        <w:tblPrEx>
          <w:tblCellMar>
            <w:top w:w="0" w:type="dxa"/>
            <w:left w:w="108" w:type="dxa"/>
            <w:bottom w:w="0" w:type="dxa"/>
            <w:right w:w="108" w:type="dxa"/>
          </w:tblCellMar>
        </w:tblPrEx>
        <w:tc>
          <w:tcPr>
            <w:tcW w:w="1436" w:type="dxa"/>
            <w:vMerge w:val="restart"/>
            <w:vAlign w:val="center"/>
          </w:tcPr>
          <w:p w14:paraId="370734ED">
            <w:pPr>
              <w:snapToGrid w:val="0"/>
              <w:spacing w:line="360" w:lineRule="auto"/>
              <w:contextualSpacing/>
              <w:rPr>
                <w:rFonts w:hint="eastAsia" w:ascii="宋体" w:hAnsi="宋体" w:eastAsia="宋体" w:cs="宋体"/>
                <w:b/>
                <w:bCs/>
                <w:szCs w:val="21"/>
              </w:rPr>
            </w:pPr>
          </w:p>
          <w:p w14:paraId="2A863FD7">
            <w:p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管理风险</w:t>
            </w:r>
          </w:p>
          <w:p w14:paraId="7B4BE97A">
            <w:pPr>
              <w:snapToGrid w:val="0"/>
              <w:spacing w:line="360" w:lineRule="auto"/>
              <w:contextualSpacing/>
              <w:jc w:val="center"/>
              <w:rPr>
                <w:rFonts w:hint="eastAsia" w:ascii="宋体" w:hAnsi="宋体" w:eastAsia="宋体" w:cs="宋体"/>
                <w:b/>
                <w:bCs/>
                <w:szCs w:val="21"/>
              </w:rPr>
            </w:pPr>
          </w:p>
        </w:tc>
        <w:tc>
          <w:tcPr>
            <w:tcW w:w="1580" w:type="dxa"/>
            <w:vAlign w:val="center"/>
          </w:tcPr>
          <w:p w14:paraId="2A48ED60">
            <w:pPr>
              <w:snapToGrid w:val="0"/>
              <w:spacing w:line="360" w:lineRule="auto"/>
              <w:contextualSpacing/>
              <w:jc w:val="center"/>
              <w:rPr>
                <w:rFonts w:hint="eastAsia" w:ascii="宋体" w:hAnsi="宋体" w:eastAsia="宋体" w:cs="宋体"/>
                <w:szCs w:val="21"/>
              </w:rPr>
            </w:pPr>
            <w:r>
              <w:rPr>
                <w:rFonts w:hint="eastAsia" w:ascii="宋体" w:hAnsi="宋体" w:eastAsia="宋体" w:cs="宋体"/>
                <w:szCs w:val="21"/>
              </w:rPr>
              <w:t>项目进度</w:t>
            </w:r>
          </w:p>
        </w:tc>
        <w:tc>
          <w:tcPr>
            <w:tcW w:w="6554" w:type="dxa"/>
            <w:vAlign w:val="center"/>
          </w:tcPr>
          <w:p w14:paraId="4AC73FAF">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项目进度延误可能导致项目成本增加、业务中断等风险。</w:t>
            </w:r>
          </w:p>
          <w:p w14:paraId="58E3052C">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应对措施：</w:t>
            </w:r>
            <w:r>
              <w:rPr>
                <w:rFonts w:hint="eastAsia" w:ascii="宋体" w:hAnsi="宋体" w:eastAsia="宋体" w:cs="宋体"/>
                <w:szCs w:val="21"/>
              </w:rPr>
              <w:t>根据项目目标、建设内容和资源配置因素，制定详细的项目计划，明确各阶段的任务和时间节点。加强项目监控和评估，及时发现并解决影响项目进度的问题，确保项目按计划顺利推进。</w:t>
            </w:r>
          </w:p>
        </w:tc>
      </w:tr>
      <w:tr w14:paraId="648660C9">
        <w:tblPrEx>
          <w:tblCellMar>
            <w:top w:w="0" w:type="dxa"/>
            <w:left w:w="108" w:type="dxa"/>
            <w:bottom w:w="0" w:type="dxa"/>
            <w:right w:w="108" w:type="dxa"/>
          </w:tblCellMar>
        </w:tblPrEx>
        <w:tc>
          <w:tcPr>
            <w:tcW w:w="1436" w:type="dxa"/>
            <w:vMerge w:val="continue"/>
            <w:vAlign w:val="center"/>
          </w:tcPr>
          <w:p w14:paraId="7739C48F">
            <w:pPr>
              <w:snapToGrid w:val="0"/>
              <w:spacing w:line="360" w:lineRule="auto"/>
              <w:contextualSpacing/>
              <w:jc w:val="center"/>
              <w:rPr>
                <w:rFonts w:hint="eastAsia" w:ascii="宋体" w:hAnsi="宋体" w:eastAsia="宋体" w:cs="宋体"/>
                <w:b/>
                <w:bCs/>
                <w:szCs w:val="21"/>
              </w:rPr>
            </w:pPr>
          </w:p>
        </w:tc>
        <w:tc>
          <w:tcPr>
            <w:tcW w:w="1580" w:type="dxa"/>
            <w:vAlign w:val="center"/>
          </w:tcPr>
          <w:p w14:paraId="7E36939D">
            <w:pPr>
              <w:snapToGrid w:val="0"/>
              <w:spacing w:line="360" w:lineRule="auto"/>
              <w:contextualSpacing/>
              <w:jc w:val="center"/>
              <w:rPr>
                <w:rFonts w:hint="eastAsia" w:ascii="宋体" w:hAnsi="宋体" w:eastAsia="宋体" w:cs="宋体"/>
                <w:szCs w:val="21"/>
              </w:rPr>
            </w:pPr>
            <w:r>
              <w:rPr>
                <w:rFonts w:hint="eastAsia" w:ascii="宋体" w:hAnsi="宋体" w:eastAsia="宋体" w:cs="宋体"/>
                <w:szCs w:val="21"/>
              </w:rPr>
              <w:t>沟通协调</w:t>
            </w:r>
          </w:p>
        </w:tc>
        <w:tc>
          <w:tcPr>
            <w:tcW w:w="6554" w:type="dxa"/>
            <w:vAlign w:val="center"/>
          </w:tcPr>
          <w:p w14:paraId="0EC9DD02">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项目涉及多个部门和单位的协作，可能存在沟通不畅、协调困难等问题。</w:t>
            </w:r>
          </w:p>
          <w:p w14:paraId="713049A6">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应对措施：</w:t>
            </w:r>
            <w:r>
              <w:rPr>
                <w:rFonts w:hint="eastAsia" w:ascii="宋体" w:hAnsi="宋体" w:eastAsia="宋体" w:cs="宋体"/>
                <w:szCs w:val="21"/>
              </w:rPr>
              <w:t>建立有效的沟通机制，确保项目组成员之间、项目团队之间、甲乙双方以及第三方合作供应商之间的信息沟通的畅通和有效。</w:t>
            </w:r>
          </w:p>
        </w:tc>
      </w:tr>
      <w:tr w14:paraId="4F84EF40">
        <w:tblPrEx>
          <w:tblCellMar>
            <w:top w:w="0" w:type="dxa"/>
            <w:left w:w="108" w:type="dxa"/>
            <w:bottom w:w="0" w:type="dxa"/>
            <w:right w:w="108" w:type="dxa"/>
          </w:tblCellMar>
        </w:tblPrEx>
        <w:tc>
          <w:tcPr>
            <w:tcW w:w="1436" w:type="dxa"/>
            <w:vMerge w:val="continue"/>
            <w:vAlign w:val="center"/>
          </w:tcPr>
          <w:p w14:paraId="123BE60D">
            <w:pPr>
              <w:snapToGrid w:val="0"/>
              <w:spacing w:line="360" w:lineRule="auto"/>
              <w:contextualSpacing/>
              <w:jc w:val="center"/>
              <w:rPr>
                <w:rFonts w:hint="eastAsia" w:ascii="宋体" w:hAnsi="宋体" w:eastAsia="宋体" w:cs="宋体"/>
                <w:b/>
                <w:bCs/>
                <w:szCs w:val="21"/>
              </w:rPr>
            </w:pPr>
          </w:p>
        </w:tc>
        <w:tc>
          <w:tcPr>
            <w:tcW w:w="1580" w:type="dxa"/>
            <w:vAlign w:val="center"/>
          </w:tcPr>
          <w:p w14:paraId="1EF52AD6">
            <w:pPr>
              <w:snapToGrid w:val="0"/>
              <w:spacing w:line="360" w:lineRule="auto"/>
              <w:contextualSpacing/>
              <w:jc w:val="center"/>
              <w:rPr>
                <w:rFonts w:hint="eastAsia" w:ascii="宋体" w:hAnsi="宋体" w:eastAsia="宋体" w:cs="宋体"/>
                <w:szCs w:val="21"/>
              </w:rPr>
            </w:pPr>
            <w:r>
              <w:rPr>
                <w:rFonts w:hint="eastAsia" w:ascii="宋体" w:hAnsi="宋体" w:eastAsia="宋体" w:cs="宋体"/>
                <w:szCs w:val="21"/>
              </w:rPr>
              <w:t>人员操作</w:t>
            </w:r>
          </w:p>
        </w:tc>
        <w:tc>
          <w:tcPr>
            <w:tcW w:w="6554" w:type="dxa"/>
            <w:vAlign w:val="center"/>
          </w:tcPr>
          <w:p w14:paraId="3E790A5E">
            <w:pPr>
              <w:snapToGrid w:val="0"/>
              <w:spacing w:line="360" w:lineRule="auto"/>
              <w:contextualSpacing/>
              <w:rPr>
                <w:rFonts w:hint="eastAsia" w:ascii="宋体" w:hAnsi="宋体" w:eastAsia="宋体" w:cs="宋体"/>
                <w:szCs w:val="21"/>
              </w:rPr>
            </w:pPr>
            <w:r>
              <w:rPr>
                <w:rFonts w:hint="eastAsia" w:ascii="宋体" w:hAnsi="宋体" w:eastAsia="宋体" w:cs="宋体"/>
                <w:b/>
                <w:bCs/>
                <w:szCs w:val="21"/>
              </w:rPr>
              <w:t>风险分析：</w:t>
            </w:r>
            <w:r>
              <w:rPr>
                <w:rFonts w:hint="eastAsia" w:ascii="宋体" w:hAnsi="宋体" w:eastAsia="宋体" w:cs="宋体"/>
                <w:szCs w:val="21"/>
              </w:rPr>
              <w:t>项目组人员可能存在操作失误、违规操作等风险，影响系统的正常运行和项目效率。</w:t>
            </w:r>
          </w:p>
          <w:p w14:paraId="448F7B95">
            <w:pPr>
              <w:snapToGrid w:val="0"/>
              <w:spacing w:line="360" w:lineRule="auto"/>
              <w:contextualSpacing/>
              <w:rPr>
                <w:rFonts w:hint="eastAsia" w:ascii="宋体" w:hAnsi="宋体" w:eastAsia="宋体" w:cs="宋体"/>
                <w:b/>
                <w:bCs/>
                <w:szCs w:val="21"/>
              </w:rPr>
            </w:pPr>
            <w:r>
              <w:rPr>
                <w:rFonts w:hint="eastAsia" w:ascii="宋体" w:hAnsi="宋体" w:eastAsia="宋体" w:cs="宋体"/>
                <w:szCs w:val="21"/>
              </w:rPr>
              <w:t>应对措施：定期对项目组人员进行业务知识和法律法规培训，提高人员的专业素质和法律意识。同时，建立完善的激励机制和监管机制，对项目组人员的行为进行规范和监督。通过绩效考核、奖惩制度等手段，激发项目组人员的工作积极性和责任心，确保项目的顺利进行。</w:t>
            </w:r>
          </w:p>
        </w:tc>
      </w:tr>
    </w:tbl>
    <w:p w14:paraId="39DB4836">
      <w:pPr>
        <w:snapToGrid w:val="0"/>
        <w:spacing w:line="360" w:lineRule="auto"/>
        <w:contextualSpacing/>
        <w:rPr>
          <w:rFonts w:hint="eastAsia" w:ascii="宋体" w:hAnsi="宋体" w:eastAsia="宋体" w:cs="宋体"/>
          <w:b/>
          <w:bCs/>
          <w:szCs w:val="21"/>
        </w:rPr>
      </w:pPr>
    </w:p>
    <w:p w14:paraId="2C6E10EA">
      <w:pPr>
        <w:numPr>
          <w:ilvl w:val="0"/>
          <w:numId w:val="94"/>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风险量化</w:t>
      </w:r>
    </w:p>
    <w:p w14:paraId="158BBDEC">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对风险量化分析我们关注三个参数：</w:t>
      </w:r>
    </w:p>
    <w:p w14:paraId="2D01C334">
      <w:pPr>
        <w:numPr>
          <w:ilvl w:val="0"/>
          <w:numId w:val="99"/>
        </w:numPr>
        <w:spacing w:line="360" w:lineRule="auto"/>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风险严重性：指风险对项目造成的危害程度。</w:t>
      </w:r>
    </w:p>
    <w:p w14:paraId="37AA6BC5">
      <w:pPr>
        <w:numPr>
          <w:ilvl w:val="0"/>
          <w:numId w:val="99"/>
        </w:numPr>
        <w:spacing w:line="360" w:lineRule="auto"/>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风险可能性：指风险发生的几率。</w:t>
      </w:r>
    </w:p>
    <w:p w14:paraId="1FF54227">
      <w:pPr>
        <w:numPr>
          <w:ilvl w:val="0"/>
          <w:numId w:val="99"/>
        </w:numPr>
        <w:spacing w:line="360" w:lineRule="auto"/>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风险系数：是风险严重性和风险可能性的乘积。</w:t>
      </w:r>
    </w:p>
    <w:p w14:paraId="1EF7A6FD">
      <w:pPr>
        <w:spacing w:line="360" w:lineRule="auto"/>
        <w:ind w:left="480"/>
        <w:jc w:val="left"/>
        <w:rPr>
          <w:rFonts w:hint="eastAsia" w:ascii="宋体" w:hAnsi="宋体" w:eastAsia="宋体" w:cs="Times New Roman"/>
          <w:kern w:val="0"/>
          <w:szCs w:val="21"/>
          <w:lang w:bidi="en-US"/>
        </w:rPr>
      </w:pPr>
      <w:r>
        <w:rPr>
          <w:rFonts w:hint="eastAsia" w:ascii="宋体" w:hAnsi="宋体" w:eastAsia="宋体" w:cs="Times New Roman"/>
          <w:kern w:val="0"/>
          <w:szCs w:val="21"/>
          <w:lang w:bidi="en-US"/>
        </w:rPr>
        <w:t>针对本项目，建议的风险量化评价指标如下：</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1450"/>
        <w:gridCol w:w="1091"/>
        <w:gridCol w:w="4861"/>
      </w:tblGrid>
      <w:tr w14:paraId="6390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7" w:type="pct"/>
            <w:tcBorders>
              <w:bottom w:val="single" w:color="auto" w:sz="4" w:space="0"/>
            </w:tcBorders>
            <w:shd w:val="clear" w:color="auto" w:fill="D9D9D9"/>
          </w:tcPr>
          <w:p w14:paraId="1DCE0311">
            <w:pPr>
              <w:spacing w:line="360" w:lineRule="auto"/>
              <w:jc w:val="left"/>
              <w:rPr>
                <w:rFonts w:hint="eastAsia" w:ascii="宋体" w:hAnsi="宋体" w:eastAsia="宋体" w:cs="Times New Roman"/>
                <w:szCs w:val="21"/>
              </w:rPr>
            </w:pPr>
            <w:r>
              <w:rPr>
                <w:rFonts w:hint="eastAsia" w:ascii="宋体" w:hAnsi="宋体" w:eastAsia="宋体" w:cs="Times New Roman"/>
                <w:szCs w:val="21"/>
              </w:rPr>
              <w:t>参数</w:t>
            </w:r>
          </w:p>
        </w:tc>
        <w:tc>
          <w:tcPr>
            <w:tcW w:w="851" w:type="pct"/>
            <w:shd w:val="clear" w:color="auto" w:fill="D9D9D9"/>
          </w:tcPr>
          <w:p w14:paraId="03585DC6">
            <w:pPr>
              <w:spacing w:line="360" w:lineRule="auto"/>
              <w:jc w:val="left"/>
              <w:rPr>
                <w:rFonts w:hint="eastAsia" w:ascii="宋体" w:hAnsi="宋体" w:eastAsia="宋体" w:cs="Times New Roman"/>
                <w:szCs w:val="21"/>
              </w:rPr>
            </w:pPr>
            <w:r>
              <w:rPr>
                <w:rFonts w:hint="eastAsia" w:ascii="宋体" w:hAnsi="宋体" w:eastAsia="宋体" w:cs="Times New Roman"/>
                <w:szCs w:val="21"/>
              </w:rPr>
              <w:t>等级</w:t>
            </w:r>
          </w:p>
        </w:tc>
        <w:tc>
          <w:tcPr>
            <w:tcW w:w="640" w:type="pct"/>
            <w:shd w:val="clear" w:color="auto" w:fill="D9D9D9"/>
          </w:tcPr>
          <w:p w14:paraId="70122A0D">
            <w:pPr>
              <w:spacing w:line="360" w:lineRule="auto"/>
              <w:jc w:val="left"/>
              <w:rPr>
                <w:rFonts w:hint="eastAsia" w:ascii="宋体" w:hAnsi="宋体" w:eastAsia="宋体" w:cs="Times New Roman"/>
                <w:szCs w:val="21"/>
              </w:rPr>
            </w:pPr>
            <w:r>
              <w:rPr>
                <w:rFonts w:hint="eastAsia" w:ascii="宋体" w:hAnsi="宋体" w:eastAsia="宋体" w:cs="Times New Roman"/>
                <w:szCs w:val="21"/>
              </w:rPr>
              <w:t>值</w:t>
            </w:r>
          </w:p>
        </w:tc>
        <w:tc>
          <w:tcPr>
            <w:tcW w:w="2852" w:type="pct"/>
            <w:shd w:val="clear" w:color="auto" w:fill="D9D9D9"/>
          </w:tcPr>
          <w:p w14:paraId="03E42C9D">
            <w:pPr>
              <w:spacing w:line="360" w:lineRule="auto"/>
              <w:jc w:val="left"/>
              <w:rPr>
                <w:rFonts w:hint="eastAsia" w:ascii="宋体" w:hAnsi="宋体" w:eastAsia="宋体" w:cs="Times New Roman"/>
                <w:szCs w:val="21"/>
              </w:rPr>
            </w:pPr>
            <w:r>
              <w:rPr>
                <w:rFonts w:hint="eastAsia" w:ascii="宋体" w:hAnsi="宋体" w:eastAsia="宋体" w:cs="Times New Roman"/>
                <w:szCs w:val="21"/>
              </w:rPr>
              <w:t>描述</w:t>
            </w:r>
          </w:p>
        </w:tc>
      </w:tr>
      <w:tr w14:paraId="1D5A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7" w:type="pct"/>
            <w:vMerge w:val="restart"/>
            <w:shd w:val="clear" w:color="auto" w:fill="D9D9D9"/>
          </w:tcPr>
          <w:p w14:paraId="2C602A18">
            <w:pPr>
              <w:spacing w:line="360" w:lineRule="auto"/>
              <w:jc w:val="left"/>
              <w:rPr>
                <w:rFonts w:hint="eastAsia" w:ascii="宋体" w:hAnsi="宋体" w:eastAsia="宋体" w:cs="Times New Roman"/>
                <w:szCs w:val="21"/>
              </w:rPr>
            </w:pPr>
          </w:p>
          <w:p w14:paraId="003BA5BA">
            <w:pPr>
              <w:spacing w:line="360" w:lineRule="auto"/>
              <w:jc w:val="left"/>
              <w:rPr>
                <w:rFonts w:hint="eastAsia" w:ascii="宋体" w:hAnsi="宋体" w:eastAsia="宋体" w:cs="Times New Roman"/>
                <w:szCs w:val="21"/>
              </w:rPr>
            </w:pPr>
            <w:r>
              <w:rPr>
                <w:rFonts w:hint="eastAsia" w:ascii="宋体" w:hAnsi="宋体" w:eastAsia="宋体" w:cs="Times New Roman"/>
                <w:szCs w:val="21"/>
              </w:rPr>
              <w:t>风险</w:t>
            </w:r>
          </w:p>
          <w:p w14:paraId="0B517D3B">
            <w:pPr>
              <w:spacing w:line="360" w:lineRule="auto"/>
              <w:jc w:val="left"/>
              <w:rPr>
                <w:rFonts w:hint="eastAsia" w:ascii="宋体" w:hAnsi="宋体" w:eastAsia="宋体" w:cs="Times New Roman"/>
                <w:szCs w:val="21"/>
              </w:rPr>
            </w:pPr>
            <w:r>
              <w:rPr>
                <w:rFonts w:hint="eastAsia" w:ascii="宋体" w:hAnsi="宋体" w:eastAsia="宋体" w:cs="Times New Roman"/>
                <w:szCs w:val="21"/>
              </w:rPr>
              <w:t>严重性</w:t>
            </w:r>
          </w:p>
        </w:tc>
        <w:tc>
          <w:tcPr>
            <w:tcW w:w="851" w:type="pct"/>
          </w:tcPr>
          <w:p w14:paraId="503DFDCD">
            <w:pPr>
              <w:spacing w:line="360" w:lineRule="auto"/>
              <w:jc w:val="left"/>
              <w:rPr>
                <w:rFonts w:hint="eastAsia" w:ascii="宋体" w:hAnsi="宋体" w:eastAsia="宋体" w:cs="Times New Roman"/>
                <w:szCs w:val="21"/>
              </w:rPr>
            </w:pPr>
            <w:r>
              <w:rPr>
                <w:rFonts w:hint="eastAsia" w:ascii="宋体" w:hAnsi="宋体" w:eastAsia="宋体" w:cs="Times New Roman"/>
                <w:szCs w:val="21"/>
              </w:rPr>
              <w:t>很高</w:t>
            </w:r>
          </w:p>
        </w:tc>
        <w:tc>
          <w:tcPr>
            <w:tcW w:w="640" w:type="pct"/>
          </w:tcPr>
          <w:p w14:paraId="753E809F">
            <w:pPr>
              <w:spacing w:line="360" w:lineRule="auto"/>
              <w:jc w:val="left"/>
              <w:rPr>
                <w:rFonts w:hint="eastAsia" w:ascii="宋体" w:hAnsi="宋体" w:eastAsia="宋体" w:cs="Times New Roman"/>
                <w:szCs w:val="21"/>
              </w:rPr>
            </w:pPr>
            <w:r>
              <w:rPr>
                <w:rFonts w:hint="eastAsia" w:ascii="宋体" w:hAnsi="宋体" w:eastAsia="宋体" w:cs="Times New Roman"/>
                <w:szCs w:val="21"/>
              </w:rPr>
              <w:t>5</w:t>
            </w:r>
          </w:p>
        </w:tc>
        <w:tc>
          <w:tcPr>
            <w:tcW w:w="2852" w:type="pct"/>
          </w:tcPr>
          <w:p w14:paraId="79D93889">
            <w:pPr>
              <w:spacing w:line="360" w:lineRule="auto"/>
              <w:jc w:val="left"/>
              <w:rPr>
                <w:rFonts w:hint="eastAsia" w:ascii="宋体" w:hAnsi="宋体" w:eastAsia="宋体" w:cs="Times New Roman"/>
                <w:szCs w:val="21"/>
              </w:rPr>
            </w:pPr>
            <w:r>
              <w:rPr>
                <w:rFonts w:hint="eastAsia" w:ascii="宋体" w:hAnsi="宋体" w:eastAsia="宋体" w:cs="Times New Roman"/>
                <w:szCs w:val="21"/>
              </w:rPr>
              <w:t>进度延误大于</w:t>
            </w:r>
            <w:r>
              <w:rPr>
                <w:rFonts w:ascii="宋体" w:hAnsi="宋体" w:eastAsia="宋体" w:cs="Times New Roman"/>
                <w:szCs w:val="21"/>
              </w:rPr>
              <w:t>30%</w:t>
            </w:r>
            <w:r>
              <w:rPr>
                <w:rFonts w:hint="eastAsia" w:ascii="宋体" w:hAnsi="宋体" w:eastAsia="宋体" w:cs="Times New Roman"/>
                <w:szCs w:val="21"/>
              </w:rPr>
              <w:t>，费用超支大于</w:t>
            </w:r>
            <w:r>
              <w:rPr>
                <w:rFonts w:ascii="宋体" w:hAnsi="宋体" w:eastAsia="宋体" w:cs="Times New Roman"/>
                <w:szCs w:val="21"/>
              </w:rPr>
              <w:t>30%</w:t>
            </w:r>
            <w:r>
              <w:rPr>
                <w:rFonts w:hint="eastAsia" w:ascii="宋体" w:hAnsi="宋体" w:eastAsia="宋体" w:cs="Times New Roman"/>
                <w:szCs w:val="21"/>
              </w:rPr>
              <w:t>。</w:t>
            </w:r>
          </w:p>
        </w:tc>
      </w:tr>
      <w:tr w14:paraId="70F4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7" w:type="pct"/>
            <w:vMerge w:val="continue"/>
            <w:shd w:val="clear" w:color="auto" w:fill="D9D9D9"/>
          </w:tcPr>
          <w:p w14:paraId="441550C5">
            <w:pPr>
              <w:spacing w:line="360" w:lineRule="auto"/>
              <w:jc w:val="left"/>
              <w:rPr>
                <w:rFonts w:hint="eastAsia" w:ascii="宋体" w:hAnsi="宋体" w:eastAsia="宋体" w:cs="Times New Roman"/>
                <w:szCs w:val="21"/>
              </w:rPr>
            </w:pPr>
          </w:p>
        </w:tc>
        <w:tc>
          <w:tcPr>
            <w:tcW w:w="851" w:type="pct"/>
          </w:tcPr>
          <w:p w14:paraId="00C876FA">
            <w:pPr>
              <w:spacing w:line="360" w:lineRule="auto"/>
              <w:jc w:val="left"/>
              <w:rPr>
                <w:rFonts w:hint="eastAsia" w:ascii="宋体" w:hAnsi="宋体" w:eastAsia="宋体" w:cs="Times New Roman"/>
                <w:szCs w:val="21"/>
              </w:rPr>
            </w:pPr>
            <w:r>
              <w:rPr>
                <w:rFonts w:hint="eastAsia" w:ascii="宋体" w:hAnsi="宋体" w:eastAsia="宋体" w:cs="Times New Roman"/>
                <w:szCs w:val="21"/>
              </w:rPr>
              <w:t>比较高</w:t>
            </w:r>
          </w:p>
        </w:tc>
        <w:tc>
          <w:tcPr>
            <w:tcW w:w="640" w:type="pct"/>
          </w:tcPr>
          <w:p w14:paraId="25890D65">
            <w:pPr>
              <w:spacing w:line="360" w:lineRule="auto"/>
              <w:jc w:val="left"/>
              <w:rPr>
                <w:rFonts w:hint="eastAsia" w:ascii="宋体" w:hAnsi="宋体" w:eastAsia="宋体" w:cs="Times New Roman"/>
                <w:szCs w:val="21"/>
              </w:rPr>
            </w:pPr>
            <w:r>
              <w:rPr>
                <w:rFonts w:hint="eastAsia" w:ascii="宋体" w:hAnsi="宋体" w:eastAsia="宋体" w:cs="Times New Roman"/>
                <w:szCs w:val="21"/>
              </w:rPr>
              <w:t>4</w:t>
            </w:r>
          </w:p>
        </w:tc>
        <w:tc>
          <w:tcPr>
            <w:tcW w:w="2852" w:type="pct"/>
          </w:tcPr>
          <w:p w14:paraId="15D3947E">
            <w:pPr>
              <w:spacing w:line="360" w:lineRule="auto"/>
              <w:jc w:val="left"/>
              <w:rPr>
                <w:rFonts w:hint="eastAsia" w:ascii="宋体" w:hAnsi="宋体" w:eastAsia="宋体" w:cs="Times New Roman"/>
                <w:szCs w:val="21"/>
              </w:rPr>
            </w:pPr>
            <w:r>
              <w:rPr>
                <w:rFonts w:hint="eastAsia" w:ascii="宋体" w:hAnsi="宋体" w:eastAsia="宋体" w:cs="Times New Roman"/>
                <w:szCs w:val="21"/>
              </w:rPr>
              <w:t>进度延误</w:t>
            </w:r>
            <w:r>
              <w:rPr>
                <w:rFonts w:ascii="宋体" w:hAnsi="宋体" w:eastAsia="宋体" w:cs="Times New Roman"/>
                <w:szCs w:val="21"/>
              </w:rPr>
              <w:t>20%~30%</w:t>
            </w:r>
            <w:r>
              <w:rPr>
                <w:rFonts w:hint="eastAsia" w:ascii="宋体" w:hAnsi="宋体" w:eastAsia="宋体" w:cs="Times New Roman"/>
                <w:szCs w:val="21"/>
              </w:rPr>
              <w:t>，费用超支</w:t>
            </w:r>
            <w:r>
              <w:rPr>
                <w:rFonts w:ascii="宋体" w:hAnsi="宋体" w:eastAsia="宋体" w:cs="Times New Roman"/>
                <w:szCs w:val="21"/>
              </w:rPr>
              <w:t>20%~30%</w:t>
            </w:r>
            <w:r>
              <w:rPr>
                <w:rFonts w:hint="eastAsia" w:ascii="宋体" w:hAnsi="宋体" w:eastAsia="宋体" w:cs="Times New Roman"/>
                <w:szCs w:val="21"/>
              </w:rPr>
              <w:t>。</w:t>
            </w:r>
          </w:p>
        </w:tc>
      </w:tr>
      <w:tr w14:paraId="24DE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7" w:type="pct"/>
            <w:vMerge w:val="continue"/>
            <w:shd w:val="clear" w:color="auto" w:fill="D9D9D9"/>
          </w:tcPr>
          <w:p w14:paraId="68F84F05">
            <w:pPr>
              <w:spacing w:line="360" w:lineRule="auto"/>
              <w:jc w:val="left"/>
              <w:rPr>
                <w:rFonts w:hint="eastAsia" w:ascii="宋体" w:hAnsi="宋体" w:eastAsia="宋体" w:cs="Times New Roman"/>
                <w:szCs w:val="21"/>
              </w:rPr>
            </w:pPr>
          </w:p>
        </w:tc>
        <w:tc>
          <w:tcPr>
            <w:tcW w:w="851" w:type="pct"/>
          </w:tcPr>
          <w:p w14:paraId="18FC5C18">
            <w:pPr>
              <w:spacing w:line="360" w:lineRule="auto"/>
              <w:jc w:val="left"/>
              <w:rPr>
                <w:rFonts w:hint="eastAsia" w:ascii="宋体" w:hAnsi="宋体" w:eastAsia="宋体" w:cs="Times New Roman"/>
                <w:szCs w:val="21"/>
              </w:rPr>
            </w:pPr>
            <w:r>
              <w:rPr>
                <w:rFonts w:hint="eastAsia" w:ascii="宋体" w:hAnsi="宋体" w:eastAsia="宋体" w:cs="Times New Roman"/>
                <w:szCs w:val="21"/>
              </w:rPr>
              <w:t>中等</w:t>
            </w:r>
          </w:p>
        </w:tc>
        <w:tc>
          <w:tcPr>
            <w:tcW w:w="640" w:type="pct"/>
          </w:tcPr>
          <w:p w14:paraId="2465C010">
            <w:pPr>
              <w:spacing w:line="360" w:lineRule="auto"/>
              <w:jc w:val="left"/>
              <w:rPr>
                <w:rFonts w:hint="eastAsia" w:ascii="宋体" w:hAnsi="宋体" w:eastAsia="宋体" w:cs="Times New Roman"/>
                <w:szCs w:val="21"/>
              </w:rPr>
            </w:pPr>
            <w:r>
              <w:rPr>
                <w:rFonts w:hint="eastAsia" w:ascii="宋体" w:hAnsi="宋体" w:eastAsia="宋体" w:cs="Times New Roman"/>
                <w:szCs w:val="21"/>
              </w:rPr>
              <w:t>3</w:t>
            </w:r>
          </w:p>
        </w:tc>
        <w:tc>
          <w:tcPr>
            <w:tcW w:w="2852" w:type="pct"/>
          </w:tcPr>
          <w:p w14:paraId="6E85FA41">
            <w:pPr>
              <w:spacing w:line="360" w:lineRule="auto"/>
              <w:jc w:val="left"/>
              <w:rPr>
                <w:rFonts w:hint="eastAsia" w:ascii="宋体" w:hAnsi="宋体" w:eastAsia="宋体" w:cs="Times New Roman"/>
                <w:szCs w:val="21"/>
              </w:rPr>
            </w:pPr>
            <w:r>
              <w:rPr>
                <w:rFonts w:hint="eastAsia" w:ascii="宋体" w:hAnsi="宋体" w:eastAsia="宋体" w:cs="Times New Roman"/>
                <w:szCs w:val="21"/>
              </w:rPr>
              <w:t>进度延误低于20</w:t>
            </w:r>
            <w:r>
              <w:rPr>
                <w:rFonts w:ascii="宋体" w:hAnsi="宋体" w:eastAsia="宋体" w:cs="Times New Roman"/>
                <w:szCs w:val="21"/>
              </w:rPr>
              <w:t>%</w:t>
            </w:r>
            <w:r>
              <w:rPr>
                <w:rFonts w:hint="eastAsia" w:ascii="宋体" w:hAnsi="宋体" w:eastAsia="宋体" w:cs="Times New Roman"/>
                <w:szCs w:val="21"/>
              </w:rPr>
              <w:t>，费用超支低于20</w:t>
            </w:r>
            <w:r>
              <w:rPr>
                <w:rFonts w:ascii="宋体" w:hAnsi="宋体" w:eastAsia="宋体" w:cs="Times New Roman"/>
                <w:szCs w:val="21"/>
              </w:rPr>
              <w:t>%</w:t>
            </w:r>
            <w:r>
              <w:rPr>
                <w:rFonts w:hint="eastAsia" w:ascii="宋体" w:hAnsi="宋体" w:eastAsia="宋体" w:cs="Times New Roman"/>
                <w:szCs w:val="21"/>
              </w:rPr>
              <w:t>。</w:t>
            </w:r>
          </w:p>
        </w:tc>
      </w:tr>
      <w:tr w14:paraId="2BCF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7" w:type="pct"/>
            <w:vMerge w:val="continue"/>
            <w:shd w:val="clear" w:color="auto" w:fill="D9D9D9"/>
          </w:tcPr>
          <w:p w14:paraId="0793CA05">
            <w:pPr>
              <w:spacing w:line="360" w:lineRule="auto"/>
              <w:jc w:val="left"/>
              <w:rPr>
                <w:rFonts w:hint="eastAsia" w:ascii="宋体" w:hAnsi="宋体" w:eastAsia="宋体" w:cs="Times New Roman"/>
                <w:szCs w:val="21"/>
              </w:rPr>
            </w:pPr>
          </w:p>
        </w:tc>
        <w:tc>
          <w:tcPr>
            <w:tcW w:w="851" w:type="pct"/>
          </w:tcPr>
          <w:p w14:paraId="4BB9E301">
            <w:pPr>
              <w:spacing w:line="360" w:lineRule="auto"/>
              <w:jc w:val="left"/>
              <w:rPr>
                <w:rFonts w:hint="eastAsia" w:ascii="宋体" w:hAnsi="宋体" w:eastAsia="宋体" w:cs="Times New Roman"/>
                <w:szCs w:val="21"/>
              </w:rPr>
            </w:pPr>
            <w:r>
              <w:rPr>
                <w:rFonts w:hint="eastAsia" w:ascii="宋体" w:hAnsi="宋体" w:eastAsia="宋体" w:cs="Times New Roman"/>
                <w:szCs w:val="21"/>
              </w:rPr>
              <w:t>比较低</w:t>
            </w:r>
          </w:p>
        </w:tc>
        <w:tc>
          <w:tcPr>
            <w:tcW w:w="640" w:type="pct"/>
          </w:tcPr>
          <w:p w14:paraId="35467841">
            <w:pPr>
              <w:spacing w:line="360" w:lineRule="auto"/>
              <w:jc w:val="left"/>
              <w:rPr>
                <w:rFonts w:hint="eastAsia" w:ascii="宋体" w:hAnsi="宋体" w:eastAsia="宋体" w:cs="Times New Roman"/>
                <w:szCs w:val="21"/>
              </w:rPr>
            </w:pPr>
            <w:r>
              <w:rPr>
                <w:rFonts w:hint="eastAsia" w:ascii="宋体" w:hAnsi="宋体" w:eastAsia="宋体" w:cs="Times New Roman"/>
                <w:szCs w:val="21"/>
              </w:rPr>
              <w:t>2</w:t>
            </w:r>
          </w:p>
        </w:tc>
        <w:tc>
          <w:tcPr>
            <w:tcW w:w="2852" w:type="pct"/>
          </w:tcPr>
          <w:p w14:paraId="6B8015C0">
            <w:pPr>
              <w:spacing w:line="360" w:lineRule="auto"/>
              <w:jc w:val="left"/>
              <w:rPr>
                <w:rFonts w:hint="eastAsia" w:ascii="宋体" w:hAnsi="宋体" w:eastAsia="宋体" w:cs="Times New Roman"/>
                <w:szCs w:val="21"/>
              </w:rPr>
            </w:pPr>
            <w:r>
              <w:rPr>
                <w:rFonts w:hint="eastAsia" w:ascii="宋体" w:hAnsi="宋体" w:eastAsia="宋体" w:cs="Times New Roman"/>
                <w:szCs w:val="21"/>
              </w:rPr>
              <w:t>进度延误低于10</w:t>
            </w:r>
            <w:r>
              <w:rPr>
                <w:rFonts w:ascii="宋体" w:hAnsi="宋体" w:eastAsia="宋体" w:cs="Times New Roman"/>
                <w:szCs w:val="21"/>
              </w:rPr>
              <w:t>%</w:t>
            </w:r>
            <w:r>
              <w:rPr>
                <w:rFonts w:hint="eastAsia" w:ascii="宋体" w:hAnsi="宋体" w:eastAsia="宋体" w:cs="Times New Roman"/>
                <w:szCs w:val="21"/>
              </w:rPr>
              <w:t>，费用超支低于10</w:t>
            </w:r>
            <w:r>
              <w:rPr>
                <w:rFonts w:ascii="宋体" w:hAnsi="宋体" w:eastAsia="宋体" w:cs="Times New Roman"/>
                <w:szCs w:val="21"/>
              </w:rPr>
              <w:t>%</w:t>
            </w:r>
            <w:r>
              <w:rPr>
                <w:rFonts w:hint="eastAsia" w:ascii="宋体" w:hAnsi="宋体" w:eastAsia="宋体" w:cs="Times New Roman"/>
                <w:szCs w:val="21"/>
              </w:rPr>
              <w:t>。</w:t>
            </w:r>
          </w:p>
        </w:tc>
      </w:tr>
      <w:tr w14:paraId="06FD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7" w:type="pct"/>
            <w:vMerge w:val="continue"/>
            <w:shd w:val="clear" w:color="auto" w:fill="D9D9D9"/>
          </w:tcPr>
          <w:p w14:paraId="4BB69287">
            <w:pPr>
              <w:spacing w:line="360" w:lineRule="auto"/>
              <w:jc w:val="left"/>
              <w:rPr>
                <w:rFonts w:hint="eastAsia" w:ascii="宋体" w:hAnsi="宋体" w:eastAsia="宋体" w:cs="Times New Roman"/>
                <w:szCs w:val="21"/>
              </w:rPr>
            </w:pPr>
          </w:p>
        </w:tc>
        <w:tc>
          <w:tcPr>
            <w:tcW w:w="851" w:type="pct"/>
          </w:tcPr>
          <w:p w14:paraId="36203330">
            <w:pPr>
              <w:spacing w:line="360" w:lineRule="auto"/>
              <w:jc w:val="left"/>
              <w:rPr>
                <w:rFonts w:hint="eastAsia" w:ascii="宋体" w:hAnsi="宋体" w:eastAsia="宋体" w:cs="Times New Roman"/>
                <w:szCs w:val="21"/>
              </w:rPr>
            </w:pPr>
            <w:r>
              <w:rPr>
                <w:rFonts w:hint="eastAsia" w:ascii="宋体" w:hAnsi="宋体" w:eastAsia="宋体" w:cs="Times New Roman"/>
                <w:szCs w:val="21"/>
              </w:rPr>
              <w:t>很低</w:t>
            </w:r>
          </w:p>
        </w:tc>
        <w:tc>
          <w:tcPr>
            <w:tcW w:w="640" w:type="pct"/>
          </w:tcPr>
          <w:p w14:paraId="0C5892BB">
            <w:pPr>
              <w:spacing w:line="360" w:lineRule="auto"/>
              <w:jc w:val="left"/>
              <w:rPr>
                <w:rFonts w:hint="eastAsia" w:ascii="宋体" w:hAnsi="宋体" w:eastAsia="宋体" w:cs="Times New Roman"/>
                <w:szCs w:val="21"/>
              </w:rPr>
            </w:pPr>
            <w:r>
              <w:rPr>
                <w:rFonts w:hint="eastAsia" w:ascii="宋体" w:hAnsi="宋体" w:eastAsia="宋体" w:cs="Times New Roman"/>
                <w:szCs w:val="21"/>
              </w:rPr>
              <w:t>1</w:t>
            </w:r>
          </w:p>
        </w:tc>
        <w:tc>
          <w:tcPr>
            <w:tcW w:w="2852" w:type="pct"/>
          </w:tcPr>
          <w:p w14:paraId="3D01BEB0">
            <w:pPr>
              <w:spacing w:line="360" w:lineRule="auto"/>
              <w:jc w:val="left"/>
              <w:rPr>
                <w:rFonts w:hint="eastAsia" w:ascii="宋体" w:hAnsi="宋体" w:eastAsia="宋体" w:cs="Times New Roman"/>
                <w:szCs w:val="21"/>
              </w:rPr>
            </w:pPr>
            <w:r>
              <w:rPr>
                <w:rFonts w:hint="eastAsia" w:ascii="宋体" w:hAnsi="宋体" w:eastAsia="宋体" w:cs="Times New Roman"/>
                <w:szCs w:val="21"/>
              </w:rPr>
              <w:t>进度延误低于5</w:t>
            </w:r>
            <w:r>
              <w:rPr>
                <w:rFonts w:ascii="宋体" w:hAnsi="宋体" w:eastAsia="宋体" w:cs="Times New Roman"/>
                <w:szCs w:val="21"/>
              </w:rPr>
              <w:t>%</w:t>
            </w:r>
            <w:r>
              <w:rPr>
                <w:rFonts w:hint="eastAsia" w:ascii="宋体" w:hAnsi="宋体" w:eastAsia="宋体" w:cs="Times New Roman"/>
                <w:szCs w:val="21"/>
              </w:rPr>
              <w:t>，费用超支低于5</w:t>
            </w:r>
            <w:r>
              <w:rPr>
                <w:rFonts w:ascii="宋体" w:hAnsi="宋体" w:eastAsia="宋体" w:cs="Times New Roman"/>
                <w:szCs w:val="21"/>
              </w:rPr>
              <w:t>%</w:t>
            </w:r>
            <w:r>
              <w:rPr>
                <w:rFonts w:hint="eastAsia" w:ascii="宋体" w:hAnsi="宋体" w:eastAsia="宋体" w:cs="Times New Roman"/>
                <w:szCs w:val="21"/>
              </w:rPr>
              <w:t>。</w:t>
            </w:r>
          </w:p>
        </w:tc>
      </w:tr>
    </w:tbl>
    <w:p w14:paraId="3E7E7034">
      <w:pPr>
        <w:spacing w:line="360" w:lineRule="auto"/>
        <w:jc w:val="center"/>
        <w:rPr>
          <w:rFonts w:hint="eastAsia" w:ascii="宋体" w:hAnsi="宋体" w:eastAsia="宋体" w:cs="Times New Roman"/>
          <w:kern w:val="0"/>
          <w:szCs w:val="21"/>
          <w:lang w:val="zh-CN" w:eastAsia="en-US" w:bidi="en-US"/>
        </w:rPr>
      </w:pPr>
      <w:r>
        <w:rPr>
          <w:rFonts w:hint="eastAsia" w:ascii="宋体" w:hAnsi="宋体" w:eastAsia="宋体" w:cs="Times New Roman"/>
          <w:kern w:val="0"/>
          <w:szCs w:val="21"/>
          <w:lang w:val="zh-CN" w:eastAsia="en-US" w:bidi="en-US"/>
        </w:rPr>
        <w:t>风险严重性等级划分</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1454"/>
        <w:gridCol w:w="1093"/>
        <w:gridCol w:w="4852"/>
      </w:tblGrid>
      <w:tr w14:paraId="7309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pct"/>
            <w:tcBorders>
              <w:bottom w:val="single" w:color="auto" w:sz="4" w:space="0"/>
            </w:tcBorders>
            <w:shd w:val="clear" w:color="auto" w:fill="D9D9D9"/>
          </w:tcPr>
          <w:p w14:paraId="13A357E1">
            <w:pPr>
              <w:spacing w:line="360" w:lineRule="auto"/>
              <w:jc w:val="left"/>
              <w:rPr>
                <w:rFonts w:hint="eastAsia" w:ascii="宋体" w:hAnsi="宋体" w:eastAsia="宋体" w:cs="Times New Roman"/>
                <w:szCs w:val="21"/>
              </w:rPr>
            </w:pPr>
            <w:r>
              <w:rPr>
                <w:rFonts w:hint="eastAsia" w:ascii="宋体" w:hAnsi="宋体" w:eastAsia="宋体" w:cs="Times New Roman"/>
                <w:szCs w:val="21"/>
              </w:rPr>
              <w:t>参数</w:t>
            </w:r>
          </w:p>
        </w:tc>
        <w:tc>
          <w:tcPr>
            <w:tcW w:w="853" w:type="pct"/>
            <w:shd w:val="clear" w:color="auto" w:fill="D9D9D9"/>
          </w:tcPr>
          <w:p w14:paraId="7C6F162C">
            <w:pPr>
              <w:spacing w:line="360" w:lineRule="auto"/>
              <w:jc w:val="left"/>
              <w:rPr>
                <w:rFonts w:hint="eastAsia" w:ascii="宋体" w:hAnsi="宋体" w:eastAsia="宋体" w:cs="Times New Roman"/>
                <w:szCs w:val="21"/>
              </w:rPr>
            </w:pPr>
            <w:r>
              <w:rPr>
                <w:rFonts w:hint="eastAsia" w:ascii="宋体" w:hAnsi="宋体" w:eastAsia="宋体" w:cs="Times New Roman"/>
                <w:szCs w:val="21"/>
              </w:rPr>
              <w:t>等级</w:t>
            </w:r>
          </w:p>
        </w:tc>
        <w:tc>
          <w:tcPr>
            <w:tcW w:w="641" w:type="pct"/>
            <w:shd w:val="clear" w:color="auto" w:fill="D9D9D9"/>
          </w:tcPr>
          <w:p w14:paraId="4CB2821B">
            <w:pPr>
              <w:spacing w:line="360" w:lineRule="auto"/>
              <w:jc w:val="left"/>
              <w:rPr>
                <w:rFonts w:hint="eastAsia" w:ascii="宋体" w:hAnsi="宋体" w:eastAsia="宋体" w:cs="Times New Roman"/>
                <w:szCs w:val="21"/>
              </w:rPr>
            </w:pPr>
            <w:r>
              <w:rPr>
                <w:rFonts w:hint="eastAsia" w:ascii="宋体" w:hAnsi="宋体" w:eastAsia="宋体" w:cs="Times New Roman"/>
                <w:szCs w:val="21"/>
              </w:rPr>
              <w:t>值</w:t>
            </w:r>
          </w:p>
        </w:tc>
        <w:tc>
          <w:tcPr>
            <w:tcW w:w="2846" w:type="pct"/>
            <w:shd w:val="clear" w:color="auto" w:fill="D9D9D9"/>
          </w:tcPr>
          <w:p w14:paraId="773623D7">
            <w:pPr>
              <w:spacing w:line="360" w:lineRule="auto"/>
              <w:jc w:val="left"/>
              <w:rPr>
                <w:rFonts w:hint="eastAsia" w:ascii="宋体" w:hAnsi="宋体" w:eastAsia="宋体" w:cs="Times New Roman"/>
                <w:szCs w:val="21"/>
              </w:rPr>
            </w:pPr>
            <w:r>
              <w:rPr>
                <w:rFonts w:hint="eastAsia" w:ascii="宋体" w:hAnsi="宋体" w:eastAsia="宋体" w:cs="Times New Roman"/>
                <w:szCs w:val="21"/>
              </w:rPr>
              <w:t>描述</w:t>
            </w:r>
          </w:p>
        </w:tc>
      </w:tr>
      <w:tr w14:paraId="3F60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9" w:type="pct"/>
            <w:vMerge w:val="restart"/>
            <w:shd w:val="clear" w:color="auto" w:fill="D9D9D9"/>
          </w:tcPr>
          <w:p w14:paraId="5EF21E3C">
            <w:pPr>
              <w:spacing w:line="360" w:lineRule="auto"/>
              <w:jc w:val="left"/>
              <w:rPr>
                <w:rFonts w:hint="eastAsia" w:ascii="宋体" w:hAnsi="宋体" w:eastAsia="宋体" w:cs="Times New Roman"/>
                <w:szCs w:val="21"/>
              </w:rPr>
            </w:pPr>
          </w:p>
          <w:p w14:paraId="097ED504">
            <w:pPr>
              <w:spacing w:line="360" w:lineRule="auto"/>
              <w:jc w:val="left"/>
              <w:rPr>
                <w:rFonts w:hint="eastAsia" w:ascii="宋体" w:hAnsi="宋体" w:eastAsia="宋体" w:cs="Times New Roman"/>
                <w:szCs w:val="21"/>
              </w:rPr>
            </w:pPr>
            <w:r>
              <w:rPr>
                <w:rFonts w:hint="eastAsia" w:ascii="宋体" w:hAnsi="宋体" w:eastAsia="宋体" w:cs="Times New Roman"/>
                <w:szCs w:val="21"/>
              </w:rPr>
              <w:t>风险</w:t>
            </w:r>
          </w:p>
          <w:p w14:paraId="61BEBF89">
            <w:pPr>
              <w:spacing w:line="360" w:lineRule="auto"/>
              <w:jc w:val="left"/>
              <w:rPr>
                <w:rFonts w:hint="eastAsia" w:ascii="宋体" w:hAnsi="宋体" w:eastAsia="宋体" w:cs="Times New Roman"/>
                <w:szCs w:val="21"/>
              </w:rPr>
            </w:pPr>
            <w:r>
              <w:rPr>
                <w:rFonts w:hint="eastAsia" w:ascii="宋体" w:hAnsi="宋体" w:eastAsia="宋体" w:cs="Times New Roman"/>
                <w:szCs w:val="21"/>
              </w:rPr>
              <w:t>可能性</w:t>
            </w:r>
          </w:p>
        </w:tc>
        <w:tc>
          <w:tcPr>
            <w:tcW w:w="853" w:type="pct"/>
          </w:tcPr>
          <w:p w14:paraId="6DC6D6BD">
            <w:pPr>
              <w:spacing w:line="360" w:lineRule="auto"/>
              <w:jc w:val="left"/>
              <w:rPr>
                <w:rFonts w:hint="eastAsia" w:ascii="宋体" w:hAnsi="宋体" w:eastAsia="宋体" w:cs="Times New Roman"/>
                <w:szCs w:val="21"/>
              </w:rPr>
            </w:pPr>
            <w:r>
              <w:rPr>
                <w:rFonts w:hint="eastAsia" w:ascii="宋体" w:hAnsi="宋体" w:eastAsia="宋体" w:cs="Times New Roman"/>
                <w:szCs w:val="21"/>
              </w:rPr>
              <w:t>很高</w:t>
            </w:r>
          </w:p>
        </w:tc>
        <w:tc>
          <w:tcPr>
            <w:tcW w:w="641" w:type="pct"/>
          </w:tcPr>
          <w:p w14:paraId="0029070D">
            <w:pPr>
              <w:spacing w:line="360" w:lineRule="auto"/>
              <w:jc w:val="left"/>
              <w:rPr>
                <w:rFonts w:hint="eastAsia" w:ascii="宋体" w:hAnsi="宋体" w:eastAsia="宋体" w:cs="Times New Roman"/>
                <w:szCs w:val="21"/>
              </w:rPr>
            </w:pPr>
            <w:r>
              <w:rPr>
                <w:rFonts w:hint="eastAsia" w:ascii="宋体" w:hAnsi="宋体" w:eastAsia="宋体" w:cs="Times New Roman"/>
                <w:szCs w:val="21"/>
              </w:rPr>
              <w:t>5</w:t>
            </w:r>
          </w:p>
        </w:tc>
        <w:tc>
          <w:tcPr>
            <w:tcW w:w="2846" w:type="pct"/>
          </w:tcPr>
          <w:p w14:paraId="410030E6">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风险发生的几率为</w:t>
            </w:r>
            <w:r>
              <w:rPr>
                <w:rFonts w:ascii="宋体" w:hAnsi="宋体" w:eastAsia="宋体" w:cs="Times New Roman"/>
                <w:szCs w:val="21"/>
              </w:rPr>
              <w:t>1.0 ~ 0.8</w:t>
            </w:r>
          </w:p>
        </w:tc>
      </w:tr>
      <w:tr w14:paraId="6C9E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9" w:type="pct"/>
            <w:vMerge w:val="continue"/>
            <w:shd w:val="clear" w:color="auto" w:fill="D9D9D9"/>
          </w:tcPr>
          <w:p w14:paraId="7E413BBD">
            <w:pPr>
              <w:spacing w:line="360" w:lineRule="auto"/>
              <w:jc w:val="left"/>
              <w:rPr>
                <w:rFonts w:hint="eastAsia" w:ascii="宋体" w:hAnsi="宋体" w:eastAsia="宋体" w:cs="Times New Roman"/>
                <w:szCs w:val="21"/>
              </w:rPr>
            </w:pPr>
          </w:p>
        </w:tc>
        <w:tc>
          <w:tcPr>
            <w:tcW w:w="853" w:type="pct"/>
          </w:tcPr>
          <w:p w14:paraId="279DAFF5">
            <w:pPr>
              <w:spacing w:line="360" w:lineRule="auto"/>
              <w:jc w:val="left"/>
              <w:rPr>
                <w:rFonts w:hint="eastAsia" w:ascii="宋体" w:hAnsi="宋体" w:eastAsia="宋体" w:cs="Times New Roman"/>
                <w:szCs w:val="21"/>
              </w:rPr>
            </w:pPr>
            <w:r>
              <w:rPr>
                <w:rFonts w:hint="eastAsia" w:ascii="宋体" w:hAnsi="宋体" w:eastAsia="宋体" w:cs="Times New Roman"/>
                <w:szCs w:val="21"/>
              </w:rPr>
              <w:t>比较高</w:t>
            </w:r>
          </w:p>
        </w:tc>
        <w:tc>
          <w:tcPr>
            <w:tcW w:w="641" w:type="pct"/>
          </w:tcPr>
          <w:p w14:paraId="67740BDD">
            <w:pPr>
              <w:spacing w:line="360" w:lineRule="auto"/>
              <w:jc w:val="left"/>
              <w:rPr>
                <w:rFonts w:hint="eastAsia" w:ascii="宋体" w:hAnsi="宋体" w:eastAsia="宋体" w:cs="Times New Roman"/>
                <w:szCs w:val="21"/>
              </w:rPr>
            </w:pPr>
            <w:r>
              <w:rPr>
                <w:rFonts w:hint="eastAsia" w:ascii="宋体" w:hAnsi="宋体" w:eastAsia="宋体" w:cs="Times New Roman"/>
                <w:szCs w:val="21"/>
              </w:rPr>
              <w:t>4</w:t>
            </w:r>
          </w:p>
        </w:tc>
        <w:tc>
          <w:tcPr>
            <w:tcW w:w="2846" w:type="pct"/>
          </w:tcPr>
          <w:p w14:paraId="69F81086">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风险发生的几率为</w:t>
            </w:r>
            <w:r>
              <w:rPr>
                <w:rFonts w:ascii="宋体" w:hAnsi="宋体" w:eastAsia="宋体" w:cs="Times New Roman"/>
                <w:szCs w:val="21"/>
              </w:rPr>
              <w:t>0.8 ~ 0.6</w:t>
            </w:r>
          </w:p>
        </w:tc>
      </w:tr>
      <w:tr w14:paraId="5DEE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9" w:type="pct"/>
            <w:vMerge w:val="continue"/>
            <w:shd w:val="clear" w:color="auto" w:fill="D9D9D9"/>
          </w:tcPr>
          <w:p w14:paraId="23166DF0">
            <w:pPr>
              <w:spacing w:line="360" w:lineRule="auto"/>
              <w:jc w:val="left"/>
              <w:rPr>
                <w:rFonts w:hint="eastAsia" w:ascii="宋体" w:hAnsi="宋体" w:eastAsia="宋体" w:cs="Times New Roman"/>
                <w:szCs w:val="21"/>
              </w:rPr>
            </w:pPr>
          </w:p>
        </w:tc>
        <w:tc>
          <w:tcPr>
            <w:tcW w:w="853" w:type="pct"/>
          </w:tcPr>
          <w:p w14:paraId="2E8443F7">
            <w:pPr>
              <w:spacing w:line="360" w:lineRule="auto"/>
              <w:jc w:val="left"/>
              <w:rPr>
                <w:rFonts w:hint="eastAsia" w:ascii="宋体" w:hAnsi="宋体" w:eastAsia="宋体" w:cs="Times New Roman"/>
                <w:szCs w:val="21"/>
              </w:rPr>
            </w:pPr>
            <w:r>
              <w:rPr>
                <w:rFonts w:hint="eastAsia" w:ascii="宋体" w:hAnsi="宋体" w:eastAsia="宋体" w:cs="Times New Roman"/>
                <w:szCs w:val="21"/>
              </w:rPr>
              <w:t>中等</w:t>
            </w:r>
          </w:p>
        </w:tc>
        <w:tc>
          <w:tcPr>
            <w:tcW w:w="641" w:type="pct"/>
          </w:tcPr>
          <w:p w14:paraId="233021EA">
            <w:pPr>
              <w:spacing w:line="360" w:lineRule="auto"/>
              <w:jc w:val="left"/>
              <w:rPr>
                <w:rFonts w:hint="eastAsia" w:ascii="宋体" w:hAnsi="宋体" w:eastAsia="宋体" w:cs="Times New Roman"/>
                <w:szCs w:val="21"/>
              </w:rPr>
            </w:pPr>
            <w:r>
              <w:rPr>
                <w:rFonts w:hint="eastAsia" w:ascii="宋体" w:hAnsi="宋体" w:eastAsia="宋体" w:cs="Times New Roman"/>
                <w:szCs w:val="21"/>
              </w:rPr>
              <w:t>3</w:t>
            </w:r>
          </w:p>
        </w:tc>
        <w:tc>
          <w:tcPr>
            <w:tcW w:w="2846" w:type="pct"/>
          </w:tcPr>
          <w:p w14:paraId="0891D6EB">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风险发生的几率为</w:t>
            </w:r>
            <w:r>
              <w:rPr>
                <w:rFonts w:ascii="宋体" w:hAnsi="宋体" w:eastAsia="宋体" w:cs="Times New Roman"/>
                <w:szCs w:val="21"/>
              </w:rPr>
              <w:t>0.6 ~ 0.4</w:t>
            </w:r>
          </w:p>
        </w:tc>
      </w:tr>
      <w:tr w14:paraId="45DE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9" w:type="pct"/>
            <w:vMerge w:val="continue"/>
            <w:shd w:val="clear" w:color="auto" w:fill="D9D9D9"/>
          </w:tcPr>
          <w:p w14:paraId="264C4FF7">
            <w:pPr>
              <w:spacing w:line="360" w:lineRule="auto"/>
              <w:jc w:val="left"/>
              <w:rPr>
                <w:rFonts w:hint="eastAsia" w:ascii="宋体" w:hAnsi="宋体" w:eastAsia="宋体" w:cs="Times New Roman"/>
                <w:szCs w:val="21"/>
              </w:rPr>
            </w:pPr>
          </w:p>
        </w:tc>
        <w:tc>
          <w:tcPr>
            <w:tcW w:w="853" w:type="pct"/>
          </w:tcPr>
          <w:p w14:paraId="58A47D03">
            <w:pPr>
              <w:spacing w:line="360" w:lineRule="auto"/>
              <w:jc w:val="left"/>
              <w:rPr>
                <w:rFonts w:hint="eastAsia" w:ascii="宋体" w:hAnsi="宋体" w:eastAsia="宋体" w:cs="Times New Roman"/>
                <w:szCs w:val="21"/>
              </w:rPr>
            </w:pPr>
            <w:r>
              <w:rPr>
                <w:rFonts w:hint="eastAsia" w:ascii="宋体" w:hAnsi="宋体" w:eastAsia="宋体" w:cs="Times New Roman"/>
                <w:szCs w:val="21"/>
              </w:rPr>
              <w:t>比较低</w:t>
            </w:r>
          </w:p>
        </w:tc>
        <w:tc>
          <w:tcPr>
            <w:tcW w:w="641" w:type="pct"/>
          </w:tcPr>
          <w:p w14:paraId="395CC477">
            <w:pPr>
              <w:spacing w:line="360" w:lineRule="auto"/>
              <w:jc w:val="left"/>
              <w:rPr>
                <w:rFonts w:hint="eastAsia" w:ascii="宋体" w:hAnsi="宋体" w:eastAsia="宋体" w:cs="Times New Roman"/>
                <w:szCs w:val="21"/>
              </w:rPr>
            </w:pPr>
            <w:r>
              <w:rPr>
                <w:rFonts w:hint="eastAsia" w:ascii="宋体" w:hAnsi="宋体" w:eastAsia="宋体" w:cs="Times New Roman"/>
                <w:szCs w:val="21"/>
              </w:rPr>
              <w:t>2</w:t>
            </w:r>
          </w:p>
        </w:tc>
        <w:tc>
          <w:tcPr>
            <w:tcW w:w="2846" w:type="pct"/>
          </w:tcPr>
          <w:p w14:paraId="36E9E40B">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风险发生的几率为</w:t>
            </w:r>
            <w:r>
              <w:rPr>
                <w:rFonts w:ascii="宋体" w:hAnsi="宋体" w:eastAsia="宋体" w:cs="Times New Roman"/>
                <w:szCs w:val="21"/>
              </w:rPr>
              <w:t>0.4 ~ 0.2</w:t>
            </w:r>
          </w:p>
        </w:tc>
      </w:tr>
      <w:tr w14:paraId="0FD7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59" w:type="pct"/>
            <w:vMerge w:val="continue"/>
            <w:shd w:val="clear" w:color="auto" w:fill="D9D9D9"/>
          </w:tcPr>
          <w:p w14:paraId="7E1D8095">
            <w:pPr>
              <w:spacing w:line="360" w:lineRule="auto"/>
              <w:jc w:val="left"/>
              <w:rPr>
                <w:rFonts w:hint="eastAsia" w:ascii="宋体" w:hAnsi="宋体" w:eastAsia="宋体" w:cs="Times New Roman"/>
                <w:szCs w:val="21"/>
              </w:rPr>
            </w:pPr>
          </w:p>
        </w:tc>
        <w:tc>
          <w:tcPr>
            <w:tcW w:w="853" w:type="pct"/>
          </w:tcPr>
          <w:p w14:paraId="4CDACD96">
            <w:pPr>
              <w:spacing w:line="360" w:lineRule="auto"/>
              <w:jc w:val="left"/>
              <w:rPr>
                <w:rFonts w:hint="eastAsia" w:ascii="宋体" w:hAnsi="宋体" w:eastAsia="宋体" w:cs="Times New Roman"/>
                <w:szCs w:val="21"/>
              </w:rPr>
            </w:pPr>
            <w:r>
              <w:rPr>
                <w:rFonts w:hint="eastAsia" w:ascii="宋体" w:hAnsi="宋体" w:eastAsia="宋体" w:cs="Times New Roman"/>
                <w:szCs w:val="21"/>
              </w:rPr>
              <w:t>很低</w:t>
            </w:r>
          </w:p>
        </w:tc>
        <w:tc>
          <w:tcPr>
            <w:tcW w:w="641" w:type="pct"/>
          </w:tcPr>
          <w:p w14:paraId="010DDE45">
            <w:pPr>
              <w:spacing w:line="360" w:lineRule="auto"/>
              <w:jc w:val="left"/>
              <w:rPr>
                <w:rFonts w:hint="eastAsia" w:ascii="宋体" w:hAnsi="宋体" w:eastAsia="宋体" w:cs="Times New Roman"/>
                <w:szCs w:val="21"/>
              </w:rPr>
            </w:pPr>
            <w:r>
              <w:rPr>
                <w:rFonts w:hint="eastAsia" w:ascii="宋体" w:hAnsi="宋体" w:eastAsia="宋体" w:cs="Times New Roman"/>
                <w:szCs w:val="21"/>
              </w:rPr>
              <w:t>1</w:t>
            </w:r>
          </w:p>
        </w:tc>
        <w:tc>
          <w:tcPr>
            <w:tcW w:w="2846" w:type="pct"/>
          </w:tcPr>
          <w:p w14:paraId="0C14AA54">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风险发生的几率为</w:t>
            </w:r>
            <w:r>
              <w:rPr>
                <w:rFonts w:ascii="宋体" w:hAnsi="宋体" w:eastAsia="宋体" w:cs="Times New Roman"/>
                <w:szCs w:val="21"/>
              </w:rPr>
              <w:t>0.2 ~ 0.0</w:t>
            </w:r>
          </w:p>
        </w:tc>
      </w:tr>
    </w:tbl>
    <w:p w14:paraId="464A7F96">
      <w:pPr>
        <w:spacing w:line="360" w:lineRule="auto"/>
        <w:jc w:val="center"/>
        <w:rPr>
          <w:rFonts w:hint="eastAsia" w:ascii="宋体" w:hAnsi="宋体" w:eastAsia="宋体" w:cs="Times New Roman"/>
          <w:kern w:val="0"/>
          <w:szCs w:val="21"/>
          <w:lang w:val="zh-CN" w:eastAsia="en-US" w:bidi="en-US"/>
        </w:rPr>
      </w:pPr>
      <w:r>
        <w:rPr>
          <w:rFonts w:hint="eastAsia" w:ascii="宋体" w:hAnsi="宋体" w:eastAsia="宋体" w:cs="Times New Roman"/>
          <w:kern w:val="0"/>
          <w:szCs w:val="21"/>
          <w:lang w:val="zh-CN" w:eastAsia="en-US" w:bidi="en-US"/>
        </w:rPr>
        <w:t>风险可能性等级划分</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1225"/>
        <w:gridCol w:w="1260"/>
        <w:gridCol w:w="1254"/>
        <w:gridCol w:w="1254"/>
        <w:gridCol w:w="1254"/>
        <w:gridCol w:w="1252"/>
      </w:tblGrid>
      <w:tr w14:paraId="6E5A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19" w:type="pct"/>
            <w:gridSpan w:val="2"/>
            <w:vMerge w:val="restart"/>
            <w:shd w:val="clear" w:color="auto" w:fill="D9D9D9"/>
          </w:tcPr>
          <w:p w14:paraId="330D81A3">
            <w:pPr>
              <w:spacing w:line="360" w:lineRule="auto"/>
              <w:jc w:val="left"/>
              <w:rPr>
                <w:rFonts w:hint="eastAsia" w:ascii="宋体" w:hAnsi="宋体" w:eastAsia="宋体" w:cs="Times New Roman"/>
                <w:szCs w:val="21"/>
              </w:rPr>
            </w:pPr>
            <w:r>
              <w:rPr>
                <w:rFonts w:hint="eastAsia" w:ascii="宋体" w:hAnsi="宋体" w:eastAsia="宋体" w:cs="Times New Roman"/>
                <w:szCs w:val="21"/>
              </w:rPr>
              <w:t>风险</w:t>
            </w:r>
          </w:p>
          <w:p w14:paraId="283307CF">
            <w:pPr>
              <w:spacing w:line="360" w:lineRule="auto"/>
              <w:jc w:val="left"/>
              <w:rPr>
                <w:rFonts w:hint="eastAsia" w:ascii="宋体" w:hAnsi="宋体" w:eastAsia="宋体" w:cs="Times New Roman"/>
                <w:szCs w:val="21"/>
              </w:rPr>
            </w:pPr>
            <w:r>
              <w:rPr>
                <w:rFonts w:hint="eastAsia" w:ascii="宋体" w:hAnsi="宋体" w:eastAsia="宋体" w:cs="Times New Roman"/>
                <w:szCs w:val="21"/>
              </w:rPr>
              <w:t>系数</w:t>
            </w:r>
          </w:p>
        </w:tc>
        <w:tc>
          <w:tcPr>
            <w:tcW w:w="3681" w:type="pct"/>
            <w:gridSpan w:val="5"/>
          </w:tcPr>
          <w:p w14:paraId="48BF4F83">
            <w:pPr>
              <w:spacing w:line="360" w:lineRule="auto"/>
              <w:jc w:val="left"/>
              <w:rPr>
                <w:rFonts w:hint="eastAsia" w:ascii="宋体" w:hAnsi="宋体" w:eastAsia="宋体" w:cs="Times New Roman"/>
                <w:szCs w:val="21"/>
              </w:rPr>
            </w:pPr>
            <w:r>
              <w:rPr>
                <w:rFonts w:hint="eastAsia" w:ascii="宋体" w:hAnsi="宋体" w:eastAsia="宋体" w:cs="Times New Roman"/>
                <w:szCs w:val="21"/>
              </w:rPr>
              <w:t>风险可能性</w:t>
            </w:r>
          </w:p>
        </w:tc>
      </w:tr>
      <w:tr w14:paraId="5B4F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19" w:type="pct"/>
            <w:gridSpan w:val="2"/>
            <w:vMerge w:val="continue"/>
            <w:shd w:val="clear" w:color="auto" w:fill="D9D9D9"/>
          </w:tcPr>
          <w:p w14:paraId="177FC36F">
            <w:pPr>
              <w:spacing w:line="360" w:lineRule="auto"/>
              <w:jc w:val="left"/>
              <w:rPr>
                <w:rFonts w:hint="eastAsia" w:ascii="宋体" w:hAnsi="宋体" w:eastAsia="宋体" w:cs="Times New Roman"/>
                <w:szCs w:val="21"/>
              </w:rPr>
            </w:pPr>
          </w:p>
        </w:tc>
        <w:tc>
          <w:tcPr>
            <w:tcW w:w="739" w:type="pct"/>
            <w:tcBorders>
              <w:bottom w:val="single" w:color="auto" w:sz="4" w:space="0"/>
            </w:tcBorders>
          </w:tcPr>
          <w:p w14:paraId="1B793618">
            <w:pPr>
              <w:spacing w:line="360" w:lineRule="auto"/>
              <w:jc w:val="left"/>
              <w:rPr>
                <w:rFonts w:hint="eastAsia" w:ascii="宋体" w:hAnsi="宋体" w:eastAsia="宋体" w:cs="Times New Roman"/>
                <w:szCs w:val="21"/>
              </w:rPr>
            </w:pPr>
            <w:r>
              <w:rPr>
                <w:rFonts w:hint="eastAsia" w:ascii="宋体" w:hAnsi="宋体" w:eastAsia="宋体" w:cs="Times New Roman"/>
                <w:szCs w:val="21"/>
              </w:rPr>
              <w:t>很高 5</w:t>
            </w:r>
          </w:p>
        </w:tc>
        <w:tc>
          <w:tcPr>
            <w:tcW w:w="736" w:type="pct"/>
            <w:tcBorders>
              <w:bottom w:val="single" w:color="auto" w:sz="4" w:space="0"/>
            </w:tcBorders>
          </w:tcPr>
          <w:p w14:paraId="141CF61C">
            <w:pPr>
              <w:spacing w:line="360" w:lineRule="auto"/>
              <w:jc w:val="left"/>
              <w:rPr>
                <w:rFonts w:hint="eastAsia" w:ascii="宋体" w:hAnsi="宋体" w:eastAsia="宋体" w:cs="Times New Roman"/>
                <w:szCs w:val="21"/>
              </w:rPr>
            </w:pPr>
            <w:r>
              <w:rPr>
                <w:rFonts w:hint="eastAsia" w:ascii="宋体" w:hAnsi="宋体" w:eastAsia="宋体" w:cs="Times New Roman"/>
                <w:szCs w:val="21"/>
              </w:rPr>
              <w:t>比较高 4</w:t>
            </w:r>
          </w:p>
        </w:tc>
        <w:tc>
          <w:tcPr>
            <w:tcW w:w="736" w:type="pct"/>
            <w:tcBorders>
              <w:bottom w:val="single" w:color="auto" w:sz="4" w:space="0"/>
            </w:tcBorders>
          </w:tcPr>
          <w:p w14:paraId="361A5D46">
            <w:pPr>
              <w:spacing w:line="360" w:lineRule="auto"/>
              <w:jc w:val="left"/>
              <w:rPr>
                <w:rFonts w:hint="eastAsia" w:ascii="宋体" w:hAnsi="宋体" w:eastAsia="宋体" w:cs="Times New Roman"/>
                <w:szCs w:val="21"/>
              </w:rPr>
            </w:pPr>
            <w:r>
              <w:rPr>
                <w:rFonts w:hint="eastAsia" w:ascii="宋体" w:hAnsi="宋体" w:eastAsia="宋体" w:cs="Times New Roman"/>
                <w:szCs w:val="21"/>
              </w:rPr>
              <w:t>中等 3</w:t>
            </w:r>
          </w:p>
        </w:tc>
        <w:tc>
          <w:tcPr>
            <w:tcW w:w="736" w:type="pct"/>
            <w:tcBorders>
              <w:bottom w:val="single" w:color="auto" w:sz="4" w:space="0"/>
            </w:tcBorders>
          </w:tcPr>
          <w:p w14:paraId="2C791CC0">
            <w:pPr>
              <w:spacing w:line="360" w:lineRule="auto"/>
              <w:jc w:val="left"/>
              <w:rPr>
                <w:rFonts w:hint="eastAsia" w:ascii="宋体" w:hAnsi="宋体" w:eastAsia="宋体" w:cs="Times New Roman"/>
                <w:szCs w:val="21"/>
              </w:rPr>
            </w:pPr>
            <w:r>
              <w:rPr>
                <w:rFonts w:hint="eastAsia" w:ascii="宋体" w:hAnsi="宋体" w:eastAsia="宋体" w:cs="Times New Roman"/>
                <w:szCs w:val="21"/>
              </w:rPr>
              <w:t>比较低 2</w:t>
            </w:r>
          </w:p>
        </w:tc>
        <w:tc>
          <w:tcPr>
            <w:tcW w:w="736" w:type="pct"/>
            <w:tcBorders>
              <w:bottom w:val="single" w:color="auto" w:sz="4" w:space="0"/>
            </w:tcBorders>
          </w:tcPr>
          <w:p w14:paraId="3D50AED1">
            <w:pPr>
              <w:spacing w:line="360" w:lineRule="auto"/>
              <w:jc w:val="left"/>
              <w:rPr>
                <w:rFonts w:hint="eastAsia" w:ascii="宋体" w:hAnsi="宋体" w:eastAsia="宋体" w:cs="Times New Roman"/>
                <w:szCs w:val="21"/>
              </w:rPr>
            </w:pPr>
            <w:r>
              <w:rPr>
                <w:rFonts w:hint="eastAsia" w:ascii="宋体" w:hAnsi="宋体" w:eastAsia="宋体" w:cs="Times New Roman"/>
                <w:szCs w:val="21"/>
              </w:rPr>
              <w:t>很低 1</w:t>
            </w:r>
          </w:p>
        </w:tc>
      </w:tr>
      <w:tr w14:paraId="3B2F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0" w:type="pct"/>
            <w:vMerge w:val="restart"/>
          </w:tcPr>
          <w:p w14:paraId="0F9D0B6C">
            <w:pPr>
              <w:spacing w:line="360" w:lineRule="auto"/>
              <w:jc w:val="left"/>
              <w:rPr>
                <w:rFonts w:hint="eastAsia" w:ascii="宋体" w:hAnsi="宋体" w:eastAsia="宋体" w:cs="Times New Roman"/>
                <w:szCs w:val="21"/>
              </w:rPr>
            </w:pPr>
          </w:p>
          <w:p w14:paraId="16CBDFB1">
            <w:pPr>
              <w:spacing w:line="360" w:lineRule="auto"/>
              <w:jc w:val="left"/>
              <w:rPr>
                <w:rFonts w:hint="eastAsia" w:ascii="宋体" w:hAnsi="宋体" w:eastAsia="宋体" w:cs="Times New Roman"/>
                <w:szCs w:val="21"/>
              </w:rPr>
            </w:pPr>
            <w:r>
              <w:rPr>
                <w:rFonts w:hint="eastAsia" w:ascii="宋体" w:hAnsi="宋体" w:eastAsia="宋体" w:cs="Times New Roman"/>
                <w:szCs w:val="21"/>
              </w:rPr>
              <w:t>风险</w:t>
            </w:r>
          </w:p>
          <w:p w14:paraId="26513848">
            <w:pPr>
              <w:spacing w:line="360" w:lineRule="auto"/>
              <w:jc w:val="left"/>
              <w:rPr>
                <w:rFonts w:hint="eastAsia" w:ascii="宋体" w:hAnsi="宋体" w:eastAsia="宋体" w:cs="Times New Roman"/>
                <w:szCs w:val="21"/>
              </w:rPr>
            </w:pPr>
            <w:r>
              <w:rPr>
                <w:rFonts w:hint="eastAsia" w:ascii="宋体" w:hAnsi="宋体" w:eastAsia="宋体" w:cs="Times New Roman"/>
                <w:szCs w:val="21"/>
              </w:rPr>
              <w:t>严重性</w:t>
            </w:r>
          </w:p>
        </w:tc>
        <w:tc>
          <w:tcPr>
            <w:tcW w:w="719" w:type="pct"/>
          </w:tcPr>
          <w:p w14:paraId="14E8F7BA">
            <w:pPr>
              <w:spacing w:line="360" w:lineRule="auto"/>
              <w:jc w:val="left"/>
              <w:rPr>
                <w:rFonts w:hint="eastAsia" w:ascii="宋体" w:hAnsi="宋体" w:eastAsia="宋体" w:cs="Times New Roman"/>
                <w:szCs w:val="21"/>
              </w:rPr>
            </w:pPr>
            <w:r>
              <w:rPr>
                <w:rFonts w:hint="eastAsia" w:ascii="宋体" w:hAnsi="宋体" w:eastAsia="宋体" w:cs="Times New Roman"/>
                <w:szCs w:val="21"/>
              </w:rPr>
              <w:t>很高</w:t>
            </w:r>
            <w:r>
              <w:rPr>
                <w:rFonts w:ascii="宋体" w:hAnsi="宋体" w:eastAsia="宋体" w:cs="Times New Roman"/>
                <w:szCs w:val="21"/>
              </w:rPr>
              <w:t xml:space="preserve">   5</w:t>
            </w:r>
          </w:p>
        </w:tc>
        <w:tc>
          <w:tcPr>
            <w:tcW w:w="739" w:type="pct"/>
            <w:shd w:val="clear" w:color="auto" w:fill="D9D9D9"/>
          </w:tcPr>
          <w:p w14:paraId="48745EAE">
            <w:pPr>
              <w:spacing w:line="360" w:lineRule="auto"/>
              <w:jc w:val="left"/>
              <w:rPr>
                <w:rFonts w:hint="eastAsia" w:ascii="宋体" w:hAnsi="宋体" w:eastAsia="宋体" w:cs="Times New Roman"/>
                <w:szCs w:val="21"/>
              </w:rPr>
            </w:pPr>
            <w:r>
              <w:rPr>
                <w:rFonts w:hint="eastAsia" w:ascii="宋体" w:hAnsi="宋体" w:eastAsia="宋体" w:cs="Times New Roman"/>
                <w:szCs w:val="21"/>
              </w:rPr>
              <w:t>25</w:t>
            </w:r>
          </w:p>
        </w:tc>
        <w:tc>
          <w:tcPr>
            <w:tcW w:w="736" w:type="pct"/>
            <w:shd w:val="clear" w:color="auto" w:fill="D9D9D9"/>
          </w:tcPr>
          <w:p w14:paraId="33611752">
            <w:pPr>
              <w:spacing w:line="360" w:lineRule="auto"/>
              <w:jc w:val="left"/>
              <w:rPr>
                <w:rFonts w:hint="eastAsia" w:ascii="宋体" w:hAnsi="宋体" w:eastAsia="宋体" w:cs="Times New Roman"/>
                <w:szCs w:val="21"/>
              </w:rPr>
            </w:pPr>
            <w:r>
              <w:rPr>
                <w:rFonts w:hint="eastAsia" w:ascii="宋体" w:hAnsi="宋体" w:eastAsia="宋体" w:cs="Times New Roman"/>
                <w:szCs w:val="21"/>
              </w:rPr>
              <w:t>20</w:t>
            </w:r>
          </w:p>
        </w:tc>
        <w:tc>
          <w:tcPr>
            <w:tcW w:w="736" w:type="pct"/>
            <w:shd w:val="clear" w:color="auto" w:fill="D9D9D9"/>
          </w:tcPr>
          <w:p w14:paraId="2EC88406">
            <w:pPr>
              <w:spacing w:line="360" w:lineRule="auto"/>
              <w:jc w:val="left"/>
              <w:rPr>
                <w:rFonts w:hint="eastAsia" w:ascii="宋体" w:hAnsi="宋体" w:eastAsia="宋体" w:cs="Times New Roman"/>
                <w:szCs w:val="21"/>
              </w:rPr>
            </w:pPr>
            <w:r>
              <w:rPr>
                <w:rFonts w:hint="eastAsia" w:ascii="宋体" w:hAnsi="宋体" w:eastAsia="宋体" w:cs="Times New Roman"/>
                <w:szCs w:val="21"/>
              </w:rPr>
              <w:t>15</w:t>
            </w:r>
          </w:p>
        </w:tc>
        <w:tc>
          <w:tcPr>
            <w:tcW w:w="736" w:type="pct"/>
            <w:tcBorders>
              <w:bottom w:val="single" w:color="auto" w:sz="4" w:space="0"/>
            </w:tcBorders>
            <w:shd w:val="clear" w:color="auto" w:fill="D9D9D9"/>
          </w:tcPr>
          <w:p w14:paraId="5D7DAED9">
            <w:pPr>
              <w:spacing w:line="360" w:lineRule="auto"/>
              <w:jc w:val="left"/>
              <w:rPr>
                <w:rFonts w:hint="eastAsia" w:ascii="宋体" w:hAnsi="宋体" w:eastAsia="宋体" w:cs="Times New Roman"/>
                <w:szCs w:val="21"/>
              </w:rPr>
            </w:pPr>
            <w:r>
              <w:rPr>
                <w:rFonts w:hint="eastAsia" w:ascii="宋体" w:hAnsi="宋体" w:eastAsia="宋体" w:cs="Times New Roman"/>
                <w:szCs w:val="21"/>
              </w:rPr>
              <w:t>10</w:t>
            </w:r>
          </w:p>
        </w:tc>
        <w:tc>
          <w:tcPr>
            <w:tcW w:w="736" w:type="pct"/>
          </w:tcPr>
          <w:p w14:paraId="39A99E6A">
            <w:pPr>
              <w:spacing w:line="360" w:lineRule="auto"/>
              <w:jc w:val="left"/>
              <w:rPr>
                <w:rFonts w:hint="eastAsia" w:ascii="宋体" w:hAnsi="宋体" w:eastAsia="宋体" w:cs="Times New Roman"/>
                <w:szCs w:val="21"/>
              </w:rPr>
            </w:pPr>
            <w:r>
              <w:rPr>
                <w:rFonts w:hint="eastAsia" w:ascii="宋体" w:hAnsi="宋体" w:eastAsia="宋体" w:cs="Times New Roman"/>
                <w:szCs w:val="21"/>
              </w:rPr>
              <w:t>5</w:t>
            </w:r>
          </w:p>
        </w:tc>
      </w:tr>
      <w:tr w14:paraId="6C33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0" w:type="pct"/>
            <w:vMerge w:val="continue"/>
          </w:tcPr>
          <w:p w14:paraId="16D309B6">
            <w:pPr>
              <w:spacing w:line="360" w:lineRule="auto"/>
              <w:jc w:val="left"/>
              <w:rPr>
                <w:rFonts w:hint="eastAsia" w:ascii="宋体" w:hAnsi="宋体" w:eastAsia="宋体" w:cs="Times New Roman"/>
                <w:szCs w:val="21"/>
              </w:rPr>
            </w:pPr>
          </w:p>
        </w:tc>
        <w:tc>
          <w:tcPr>
            <w:tcW w:w="719" w:type="pct"/>
          </w:tcPr>
          <w:p w14:paraId="39283D52">
            <w:pPr>
              <w:spacing w:line="360" w:lineRule="auto"/>
              <w:jc w:val="left"/>
              <w:rPr>
                <w:rFonts w:hint="eastAsia" w:ascii="宋体" w:hAnsi="宋体" w:eastAsia="宋体" w:cs="Times New Roman"/>
                <w:szCs w:val="21"/>
              </w:rPr>
            </w:pPr>
            <w:r>
              <w:rPr>
                <w:rFonts w:hint="eastAsia" w:ascii="宋体" w:hAnsi="宋体" w:eastAsia="宋体" w:cs="Times New Roman"/>
                <w:szCs w:val="21"/>
              </w:rPr>
              <w:t>比较高</w:t>
            </w:r>
            <w:r>
              <w:rPr>
                <w:rFonts w:ascii="宋体" w:hAnsi="宋体" w:eastAsia="宋体" w:cs="Times New Roman"/>
                <w:szCs w:val="21"/>
              </w:rPr>
              <w:t xml:space="preserve"> 4</w:t>
            </w:r>
          </w:p>
        </w:tc>
        <w:tc>
          <w:tcPr>
            <w:tcW w:w="739" w:type="pct"/>
            <w:shd w:val="clear" w:color="auto" w:fill="D9D9D9"/>
          </w:tcPr>
          <w:p w14:paraId="57C54117">
            <w:pPr>
              <w:spacing w:line="360" w:lineRule="auto"/>
              <w:jc w:val="left"/>
              <w:rPr>
                <w:rFonts w:hint="eastAsia" w:ascii="宋体" w:hAnsi="宋体" w:eastAsia="宋体" w:cs="Times New Roman"/>
                <w:szCs w:val="21"/>
              </w:rPr>
            </w:pPr>
            <w:r>
              <w:rPr>
                <w:rFonts w:hint="eastAsia" w:ascii="宋体" w:hAnsi="宋体" w:eastAsia="宋体" w:cs="Times New Roman"/>
                <w:szCs w:val="21"/>
              </w:rPr>
              <w:t>20</w:t>
            </w:r>
          </w:p>
        </w:tc>
        <w:tc>
          <w:tcPr>
            <w:tcW w:w="736" w:type="pct"/>
            <w:tcBorders>
              <w:bottom w:val="single" w:color="auto" w:sz="4" w:space="0"/>
            </w:tcBorders>
            <w:shd w:val="clear" w:color="auto" w:fill="D9D9D9"/>
          </w:tcPr>
          <w:p w14:paraId="455EE214">
            <w:pPr>
              <w:spacing w:line="360" w:lineRule="auto"/>
              <w:jc w:val="left"/>
              <w:rPr>
                <w:rFonts w:hint="eastAsia" w:ascii="宋体" w:hAnsi="宋体" w:eastAsia="宋体" w:cs="Times New Roman"/>
                <w:szCs w:val="21"/>
              </w:rPr>
            </w:pPr>
            <w:r>
              <w:rPr>
                <w:rFonts w:hint="eastAsia" w:ascii="宋体" w:hAnsi="宋体" w:eastAsia="宋体" w:cs="Times New Roman"/>
                <w:szCs w:val="21"/>
              </w:rPr>
              <w:t>16</w:t>
            </w:r>
          </w:p>
        </w:tc>
        <w:tc>
          <w:tcPr>
            <w:tcW w:w="736" w:type="pct"/>
            <w:tcBorders>
              <w:bottom w:val="single" w:color="auto" w:sz="4" w:space="0"/>
            </w:tcBorders>
            <w:shd w:val="clear" w:color="auto" w:fill="D9D9D9"/>
          </w:tcPr>
          <w:p w14:paraId="6413E11F">
            <w:pPr>
              <w:spacing w:line="360" w:lineRule="auto"/>
              <w:jc w:val="left"/>
              <w:rPr>
                <w:rFonts w:hint="eastAsia" w:ascii="宋体" w:hAnsi="宋体" w:eastAsia="宋体" w:cs="Times New Roman"/>
                <w:szCs w:val="21"/>
              </w:rPr>
            </w:pPr>
            <w:r>
              <w:rPr>
                <w:rFonts w:hint="eastAsia" w:ascii="宋体" w:hAnsi="宋体" w:eastAsia="宋体" w:cs="Times New Roman"/>
                <w:szCs w:val="21"/>
              </w:rPr>
              <w:t>12</w:t>
            </w:r>
          </w:p>
        </w:tc>
        <w:tc>
          <w:tcPr>
            <w:tcW w:w="736" w:type="pct"/>
          </w:tcPr>
          <w:p w14:paraId="69B04384">
            <w:pPr>
              <w:spacing w:line="360" w:lineRule="auto"/>
              <w:jc w:val="left"/>
              <w:rPr>
                <w:rFonts w:hint="eastAsia" w:ascii="宋体" w:hAnsi="宋体" w:eastAsia="宋体" w:cs="Times New Roman"/>
                <w:szCs w:val="21"/>
              </w:rPr>
            </w:pPr>
            <w:r>
              <w:rPr>
                <w:rFonts w:hint="eastAsia" w:ascii="宋体" w:hAnsi="宋体" w:eastAsia="宋体" w:cs="Times New Roman"/>
                <w:szCs w:val="21"/>
              </w:rPr>
              <w:t>8</w:t>
            </w:r>
          </w:p>
        </w:tc>
        <w:tc>
          <w:tcPr>
            <w:tcW w:w="736" w:type="pct"/>
          </w:tcPr>
          <w:p w14:paraId="2A1B1651">
            <w:pPr>
              <w:spacing w:line="360" w:lineRule="auto"/>
              <w:jc w:val="left"/>
              <w:rPr>
                <w:rFonts w:hint="eastAsia" w:ascii="宋体" w:hAnsi="宋体" w:eastAsia="宋体" w:cs="Times New Roman"/>
                <w:szCs w:val="21"/>
              </w:rPr>
            </w:pPr>
            <w:r>
              <w:rPr>
                <w:rFonts w:hint="eastAsia" w:ascii="宋体" w:hAnsi="宋体" w:eastAsia="宋体" w:cs="Times New Roman"/>
                <w:szCs w:val="21"/>
              </w:rPr>
              <w:t>4</w:t>
            </w:r>
          </w:p>
        </w:tc>
      </w:tr>
      <w:tr w14:paraId="6858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0" w:type="pct"/>
            <w:vMerge w:val="continue"/>
          </w:tcPr>
          <w:p w14:paraId="1D83BC2F">
            <w:pPr>
              <w:spacing w:line="360" w:lineRule="auto"/>
              <w:jc w:val="left"/>
              <w:rPr>
                <w:rFonts w:hint="eastAsia" w:ascii="宋体" w:hAnsi="宋体" w:eastAsia="宋体" w:cs="Times New Roman"/>
                <w:szCs w:val="21"/>
              </w:rPr>
            </w:pPr>
          </w:p>
        </w:tc>
        <w:tc>
          <w:tcPr>
            <w:tcW w:w="719" w:type="pct"/>
          </w:tcPr>
          <w:p w14:paraId="61D71F87">
            <w:pPr>
              <w:spacing w:line="360" w:lineRule="auto"/>
              <w:jc w:val="left"/>
              <w:rPr>
                <w:rFonts w:hint="eastAsia" w:ascii="宋体" w:hAnsi="宋体" w:eastAsia="宋体" w:cs="Times New Roman"/>
                <w:szCs w:val="21"/>
              </w:rPr>
            </w:pPr>
            <w:r>
              <w:rPr>
                <w:rFonts w:hint="eastAsia" w:ascii="宋体" w:hAnsi="宋体" w:eastAsia="宋体" w:cs="Times New Roman"/>
                <w:szCs w:val="21"/>
              </w:rPr>
              <w:t>中等</w:t>
            </w:r>
            <w:r>
              <w:rPr>
                <w:rFonts w:ascii="宋体" w:hAnsi="宋体" w:eastAsia="宋体" w:cs="Times New Roman"/>
                <w:szCs w:val="21"/>
              </w:rPr>
              <w:t xml:space="preserve">   3</w:t>
            </w:r>
          </w:p>
        </w:tc>
        <w:tc>
          <w:tcPr>
            <w:tcW w:w="739" w:type="pct"/>
            <w:tcBorders>
              <w:bottom w:val="single" w:color="auto" w:sz="4" w:space="0"/>
            </w:tcBorders>
            <w:shd w:val="clear" w:color="auto" w:fill="D9D9D9"/>
          </w:tcPr>
          <w:p w14:paraId="14E170B0">
            <w:pPr>
              <w:spacing w:line="360" w:lineRule="auto"/>
              <w:jc w:val="left"/>
              <w:rPr>
                <w:rFonts w:hint="eastAsia" w:ascii="宋体" w:hAnsi="宋体" w:eastAsia="宋体" w:cs="Times New Roman"/>
                <w:szCs w:val="21"/>
              </w:rPr>
            </w:pPr>
            <w:r>
              <w:rPr>
                <w:rFonts w:hint="eastAsia" w:ascii="宋体" w:hAnsi="宋体" w:eastAsia="宋体" w:cs="Times New Roman"/>
                <w:szCs w:val="21"/>
              </w:rPr>
              <w:t>15</w:t>
            </w:r>
          </w:p>
        </w:tc>
        <w:tc>
          <w:tcPr>
            <w:tcW w:w="736" w:type="pct"/>
            <w:tcBorders>
              <w:bottom w:val="single" w:color="auto" w:sz="4" w:space="0"/>
            </w:tcBorders>
            <w:shd w:val="clear" w:color="auto" w:fill="D9D9D9"/>
          </w:tcPr>
          <w:p w14:paraId="27ACBFF8">
            <w:pPr>
              <w:spacing w:line="360" w:lineRule="auto"/>
              <w:jc w:val="left"/>
              <w:rPr>
                <w:rFonts w:hint="eastAsia" w:ascii="宋体" w:hAnsi="宋体" w:eastAsia="宋体" w:cs="Times New Roman"/>
                <w:szCs w:val="21"/>
              </w:rPr>
            </w:pPr>
            <w:r>
              <w:rPr>
                <w:rFonts w:hint="eastAsia" w:ascii="宋体" w:hAnsi="宋体" w:eastAsia="宋体" w:cs="Times New Roman"/>
                <w:szCs w:val="21"/>
              </w:rPr>
              <w:t>12</w:t>
            </w:r>
          </w:p>
        </w:tc>
        <w:tc>
          <w:tcPr>
            <w:tcW w:w="736" w:type="pct"/>
          </w:tcPr>
          <w:p w14:paraId="294D5121">
            <w:pPr>
              <w:spacing w:line="360" w:lineRule="auto"/>
              <w:jc w:val="left"/>
              <w:rPr>
                <w:rFonts w:hint="eastAsia" w:ascii="宋体" w:hAnsi="宋体" w:eastAsia="宋体" w:cs="Times New Roman"/>
                <w:szCs w:val="21"/>
              </w:rPr>
            </w:pPr>
            <w:r>
              <w:rPr>
                <w:rFonts w:hint="eastAsia" w:ascii="宋体" w:hAnsi="宋体" w:eastAsia="宋体" w:cs="Times New Roman"/>
                <w:szCs w:val="21"/>
              </w:rPr>
              <w:t>9</w:t>
            </w:r>
          </w:p>
        </w:tc>
        <w:tc>
          <w:tcPr>
            <w:tcW w:w="736" w:type="pct"/>
          </w:tcPr>
          <w:p w14:paraId="162E3622">
            <w:pPr>
              <w:spacing w:line="360" w:lineRule="auto"/>
              <w:jc w:val="left"/>
              <w:rPr>
                <w:rFonts w:hint="eastAsia" w:ascii="宋体" w:hAnsi="宋体" w:eastAsia="宋体" w:cs="Times New Roman"/>
                <w:szCs w:val="21"/>
              </w:rPr>
            </w:pPr>
            <w:r>
              <w:rPr>
                <w:rFonts w:hint="eastAsia" w:ascii="宋体" w:hAnsi="宋体" w:eastAsia="宋体" w:cs="Times New Roman"/>
                <w:szCs w:val="21"/>
              </w:rPr>
              <w:t>6</w:t>
            </w:r>
          </w:p>
        </w:tc>
        <w:tc>
          <w:tcPr>
            <w:tcW w:w="736" w:type="pct"/>
          </w:tcPr>
          <w:p w14:paraId="05DF7359">
            <w:pPr>
              <w:spacing w:line="360" w:lineRule="auto"/>
              <w:jc w:val="left"/>
              <w:rPr>
                <w:rFonts w:hint="eastAsia" w:ascii="宋体" w:hAnsi="宋体" w:eastAsia="宋体" w:cs="Times New Roman"/>
                <w:szCs w:val="21"/>
              </w:rPr>
            </w:pPr>
            <w:r>
              <w:rPr>
                <w:rFonts w:hint="eastAsia" w:ascii="宋体" w:hAnsi="宋体" w:eastAsia="宋体" w:cs="Times New Roman"/>
                <w:szCs w:val="21"/>
              </w:rPr>
              <w:t>3</w:t>
            </w:r>
          </w:p>
        </w:tc>
      </w:tr>
      <w:tr w14:paraId="1C31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0" w:type="pct"/>
            <w:vMerge w:val="continue"/>
          </w:tcPr>
          <w:p w14:paraId="317AB071">
            <w:pPr>
              <w:spacing w:line="360" w:lineRule="auto"/>
              <w:jc w:val="left"/>
              <w:rPr>
                <w:rFonts w:hint="eastAsia" w:ascii="宋体" w:hAnsi="宋体" w:eastAsia="宋体" w:cs="Times New Roman"/>
                <w:szCs w:val="21"/>
              </w:rPr>
            </w:pPr>
          </w:p>
        </w:tc>
        <w:tc>
          <w:tcPr>
            <w:tcW w:w="719" w:type="pct"/>
          </w:tcPr>
          <w:p w14:paraId="4ACFB67E">
            <w:pPr>
              <w:spacing w:line="360" w:lineRule="auto"/>
              <w:jc w:val="left"/>
              <w:rPr>
                <w:rFonts w:hint="eastAsia" w:ascii="宋体" w:hAnsi="宋体" w:eastAsia="宋体" w:cs="Times New Roman"/>
                <w:szCs w:val="21"/>
              </w:rPr>
            </w:pPr>
            <w:r>
              <w:rPr>
                <w:rFonts w:hint="eastAsia" w:ascii="宋体" w:hAnsi="宋体" w:eastAsia="宋体" w:cs="Times New Roman"/>
                <w:szCs w:val="21"/>
              </w:rPr>
              <w:t>比较低</w:t>
            </w:r>
            <w:r>
              <w:rPr>
                <w:rFonts w:ascii="宋体" w:hAnsi="宋体" w:eastAsia="宋体" w:cs="Times New Roman"/>
                <w:szCs w:val="21"/>
              </w:rPr>
              <w:t xml:space="preserve"> 2</w:t>
            </w:r>
          </w:p>
        </w:tc>
        <w:tc>
          <w:tcPr>
            <w:tcW w:w="739" w:type="pct"/>
            <w:tcBorders>
              <w:bottom w:val="single" w:color="auto" w:sz="4" w:space="0"/>
            </w:tcBorders>
            <w:shd w:val="clear" w:color="auto" w:fill="D9D9D9"/>
          </w:tcPr>
          <w:p w14:paraId="1D98D8A4">
            <w:pPr>
              <w:spacing w:line="360" w:lineRule="auto"/>
              <w:jc w:val="left"/>
              <w:rPr>
                <w:rFonts w:hint="eastAsia" w:ascii="宋体" w:hAnsi="宋体" w:eastAsia="宋体" w:cs="Times New Roman"/>
                <w:szCs w:val="21"/>
              </w:rPr>
            </w:pPr>
            <w:r>
              <w:rPr>
                <w:rFonts w:hint="eastAsia" w:ascii="宋体" w:hAnsi="宋体" w:eastAsia="宋体" w:cs="Times New Roman"/>
                <w:szCs w:val="21"/>
              </w:rPr>
              <w:t>10</w:t>
            </w:r>
          </w:p>
        </w:tc>
        <w:tc>
          <w:tcPr>
            <w:tcW w:w="736" w:type="pct"/>
          </w:tcPr>
          <w:p w14:paraId="0BBBCF64">
            <w:pPr>
              <w:spacing w:line="360" w:lineRule="auto"/>
              <w:jc w:val="left"/>
              <w:rPr>
                <w:rFonts w:hint="eastAsia" w:ascii="宋体" w:hAnsi="宋体" w:eastAsia="宋体" w:cs="Times New Roman"/>
                <w:szCs w:val="21"/>
              </w:rPr>
            </w:pPr>
            <w:r>
              <w:rPr>
                <w:rFonts w:hint="eastAsia" w:ascii="宋体" w:hAnsi="宋体" w:eastAsia="宋体" w:cs="Times New Roman"/>
                <w:szCs w:val="21"/>
              </w:rPr>
              <w:t>8</w:t>
            </w:r>
          </w:p>
        </w:tc>
        <w:tc>
          <w:tcPr>
            <w:tcW w:w="736" w:type="pct"/>
          </w:tcPr>
          <w:p w14:paraId="3F0FF191">
            <w:pPr>
              <w:spacing w:line="360" w:lineRule="auto"/>
              <w:jc w:val="left"/>
              <w:rPr>
                <w:rFonts w:hint="eastAsia" w:ascii="宋体" w:hAnsi="宋体" w:eastAsia="宋体" w:cs="Times New Roman"/>
                <w:szCs w:val="21"/>
              </w:rPr>
            </w:pPr>
            <w:r>
              <w:rPr>
                <w:rFonts w:hint="eastAsia" w:ascii="宋体" w:hAnsi="宋体" w:eastAsia="宋体" w:cs="Times New Roman"/>
                <w:szCs w:val="21"/>
              </w:rPr>
              <w:t>6</w:t>
            </w:r>
          </w:p>
        </w:tc>
        <w:tc>
          <w:tcPr>
            <w:tcW w:w="736" w:type="pct"/>
          </w:tcPr>
          <w:p w14:paraId="61B31107">
            <w:pPr>
              <w:spacing w:line="360" w:lineRule="auto"/>
              <w:jc w:val="left"/>
              <w:rPr>
                <w:rFonts w:hint="eastAsia" w:ascii="宋体" w:hAnsi="宋体" w:eastAsia="宋体" w:cs="Times New Roman"/>
                <w:szCs w:val="21"/>
              </w:rPr>
            </w:pPr>
            <w:r>
              <w:rPr>
                <w:rFonts w:hint="eastAsia" w:ascii="宋体" w:hAnsi="宋体" w:eastAsia="宋体" w:cs="Times New Roman"/>
                <w:szCs w:val="21"/>
              </w:rPr>
              <w:t>4</w:t>
            </w:r>
          </w:p>
        </w:tc>
        <w:tc>
          <w:tcPr>
            <w:tcW w:w="736" w:type="pct"/>
          </w:tcPr>
          <w:p w14:paraId="2DA13314">
            <w:pPr>
              <w:spacing w:line="360" w:lineRule="auto"/>
              <w:jc w:val="left"/>
              <w:rPr>
                <w:rFonts w:hint="eastAsia" w:ascii="宋体" w:hAnsi="宋体" w:eastAsia="宋体" w:cs="Times New Roman"/>
                <w:szCs w:val="21"/>
              </w:rPr>
            </w:pPr>
            <w:r>
              <w:rPr>
                <w:rFonts w:hint="eastAsia" w:ascii="宋体" w:hAnsi="宋体" w:eastAsia="宋体" w:cs="Times New Roman"/>
                <w:szCs w:val="21"/>
              </w:rPr>
              <w:t>2</w:t>
            </w:r>
          </w:p>
        </w:tc>
      </w:tr>
      <w:tr w14:paraId="0D78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0" w:type="pct"/>
            <w:vMerge w:val="continue"/>
          </w:tcPr>
          <w:p w14:paraId="2B131692">
            <w:pPr>
              <w:spacing w:line="360" w:lineRule="auto"/>
              <w:jc w:val="left"/>
              <w:rPr>
                <w:rFonts w:hint="eastAsia" w:ascii="宋体" w:hAnsi="宋体" w:eastAsia="宋体" w:cs="Times New Roman"/>
                <w:szCs w:val="21"/>
              </w:rPr>
            </w:pPr>
          </w:p>
        </w:tc>
        <w:tc>
          <w:tcPr>
            <w:tcW w:w="719" w:type="pct"/>
          </w:tcPr>
          <w:p w14:paraId="1655B24A">
            <w:pPr>
              <w:spacing w:line="360" w:lineRule="auto"/>
              <w:jc w:val="left"/>
              <w:rPr>
                <w:rFonts w:hint="eastAsia" w:ascii="宋体" w:hAnsi="宋体" w:eastAsia="宋体" w:cs="Times New Roman"/>
                <w:szCs w:val="21"/>
              </w:rPr>
            </w:pPr>
            <w:r>
              <w:rPr>
                <w:rFonts w:hint="eastAsia" w:ascii="宋体" w:hAnsi="宋体" w:eastAsia="宋体" w:cs="Times New Roman"/>
                <w:szCs w:val="21"/>
              </w:rPr>
              <w:t>很低</w:t>
            </w:r>
            <w:r>
              <w:rPr>
                <w:rFonts w:ascii="宋体" w:hAnsi="宋体" w:eastAsia="宋体" w:cs="Times New Roman"/>
                <w:szCs w:val="21"/>
              </w:rPr>
              <w:t xml:space="preserve">   1</w:t>
            </w:r>
          </w:p>
        </w:tc>
        <w:tc>
          <w:tcPr>
            <w:tcW w:w="739" w:type="pct"/>
          </w:tcPr>
          <w:p w14:paraId="70A56CCA">
            <w:pPr>
              <w:spacing w:line="360" w:lineRule="auto"/>
              <w:jc w:val="left"/>
              <w:rPr>
                <w:rFonts w:hint="eastAsia" w:ascii="宋体" w:hAnsi="宋体" w:eastAsia="宋体" w:cs="Times New Roman"/>
                <w:szCs w:val="21"/>
              </w:rPr>
            </w:pPr>
            <w:r>
              <w:rPr>
                <w:rFonts w:ascii="宋体" w:hAnsi="宋体" w:eastAsia="宋体" w:cs="Times New Roman"/>
                <w:szCs w:val="21"/>
              </w:rPr>
              <w:tab/>
            </w:r>
            <w:r>
              <w:rPr>
                <w:rFonts w:ascii="宋体" w:hAnsi="宋体" w:eastAsia="宋体" w:cs="Times New Roman"/>
                <w:szCs w:val="21"/>
              </w:rPr>
              <w:tab/>
            </w:r>
            <w:r>
              <w:rPr>
                <w:rFonts w:hint="eastAsia" w:ascii="宋体" w:hAnsi="宋体" w:eastAsia="宋体" w:cs="Times New Roman"/>
                <w:szCs w:val="21"/>
              </w:rPr>
              <w:t>5</w:t>
            </w:r>
          </w:p>
        </w:tc>
        <w:tc>
          <w:tcPr>
            <w:tcW w:w="736" w:type="pct"/>
          </w:tcPr>
          <w:p w14:paraId="154B6C29">
            <w:pPr>
              <w:spacing w:line="360" w:lineRule="auto"/>
              <w:jc w:val="left"/>
              <w:rPr>
                <w:rFonts w:hint="eastAsia" w:ascii="宋体" w:hAnsi="宋体" w:eastAsia="宋体" w:cs="Times New Roman"/>
                <w:szCs w:val="21"/>
              </w:rPr>
            </w:pPr>
            <w:r>
              <w:rPr>
                <w:rFonts w:hint="eastAsia" w:ascii="宋体" w:hAnsi="宋体" w:eastAsia="宋体" w:cs="Times New Roman"/>
                <w:szCs w:val="21"/>
              </w:rPr>
              <w:t>4</w:t>
            </w:r>
          </w:p>
        </w:tc>
        <w:tc>
          <w:tcPr>
            <w:tcW w:w="736" w:type="pct"/>
          </w:tcPr>
          <w:p w14:paraId="09810E3B">
            <w:pPr>
              <w:spacing w:line="360" w:lineRule="auto"/>
              <w:jc w:val="left"/>
              <w:rPr>
                <w:rFonts w:hint="eastAsia" w:ascii="宋体" w:hAnsi="宋体" w:eastAsia="宋体" w:cs="Times New Roman"/>
                <w:szCs w:val="21"/>
              </w:rPr>
            </w:pPr>
            <w:r>
              <w:rPr>
                <w:rFonts w:hint="eastAsia" w:ascii="宋体" w:hAnsi="宋体" w:eastAsia="宋体" w:cs="Times New Roman"/>
                <w:szCs w:val="21"/>
              </w:rPr>
              <w:t>3</w:t>
            </w:r>
          </w:p>
        </w:tc>
        <w:tc>
          <w:tcPr>
            <w:tcW w:w="736" w:type="pct"/>
          </w:tcPr>
          <w:p w14:paraId="370B9CCA">
            <w:pPr>
              <w:spacing w:line="360" w:lineRule="auto"/>
              <w:jc w:val="left"/>
              <w:rPr>
                <w:rFonts w:hint="eastAsia" w:ascii="宋体" w:hAnsi="宋体" w:eastAsia="宋体" w:cs="Times New Roman"/>
                <w:szCs w:val="21"/>
              </w:rPr>
            </w:pPr>
            <w:r>
              <w:rPr>
                <w:rFonts w:hint="eastAsia" w:ascii="宋体" w:hAnsi="宋体" w:eastAsia="宋体" w:cs="Times New Roman"/>
                <w:szCs w:val="21"/>
              </w:rPr>
              <w:t>2</w:t>
            </w:r>
          </w:p>
        </w:tc>
        <w:tc>
          <w:tcPr>
            <w:tcW w:w="736" w:type="pct"/>
          </w:tcPr>
          <w:p w14:paraId="538AC36E">
            <w:pPr>
              <w:spacing w:line="360" w:lineRule="auto"/>
              <w:jc w:val="left"/>
              <w:rPr>
                <w:rFonts w:hint="eastAsia" w:ascii="宋体" w:hAnsi="宋体" w:eastAsia="宋体" w:cs="Times New Roman"/>
                <w:szCs w:val="21"/>
              </w:rPr>
            </w:pPr>
            <w:r>
              <w:rPr>
                <w:rFonts w:hint="eastAsia" w:ascii="宋体" w:hAnsi="宋体" w:eastAsia="宋体" w:cs="Times New Roman"/>
                <w:szCs w:val="21"/>
              </w:rPr>
              <w:t>1</w:t>
            </w:r>
          </w:p>
        </w:tc>
      </w:tr>
      <w:tr w14:paraId="3BA2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7"/>
          </w:tcPr>
          <w:p w14:paraId="55C32CFF">
            <w:pPr>
              <w:spacing w:line="360" w:lineRule="auto"/>
              <w:jc w:val="left"/>
              <w:rPr>
                <w:rFonts w:hint="eastAsia" w:ascii="宋体" w:hAnsi="宋体" w:eastAsia="宋体" w:cs="Times New Roman"/>
                <w:szCs w:val="21"/>
              </w:rPr>
            </w:pPr>
            <w:r>
              <w:rPr>
                <w:rFonts w:hint="eastAsia" w:ascii="宋体" w:hAnsi="宋体" w:eastAsia="宋体" w:cs="Times New Roman"/>
                <w:szCs w:val="21"/>
              </w:rPr>
              <w:t>本表灰色部分的风险系数值为10~25，应当优先处理。</w:t>
            </w:r>
          </w:p>
        </w:tc>
      </w:tr>
    </w:tbl>
    <w:p w14:paraId="56B0A8DB">
      <w:pPr>
        <w:jc w:val="center"/>
        <w:rPr>
          <w:rFonts w:hint="eastAsia" w:ascii="宋体" w:hAnsi="宋体" w:eastAsia="宋体"/>
          <w:szCs w:val="21"/>
        </w:rPr>
      </w:pPr>
    </w:p>
    <w:p w14:paraId="524AC681">
      <w:pPr>
        <w:jc w:val="center"/>
        <w:rPr>
          <w:rFonts w:hint="eastAsia" w:ascii="宋体" w:hAnsi="宋体" w:eastAsia="宋体"/>
          <w:szCs w:val="21"/>
        </w:rPr>
      </w:pPr>
    </w:p>
    <w:p w14:paraId="19AE20C0">
      <w:pPr>
        <w:numPr>
          <w:ilvl w:val="0"/>
          <w:numId w:val="94"/>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风险应对</w:t>
      </w:r>
      <w:bookmarkEnd w:id="298"/>
      <w:bookmarkEnd w:id="299"/>
      <w:bookmarkEnd w:id="300"/>
      <w:bookmarkEnd w:id="301"/>
      <w:bookmarkEnd w:id="302"/>
      <w:bookmarkEnd w:id="303"/>
      <w:bookmarkEnd w:id="304"/>
      <w:bookmarkEnd w:id="305"/>
      <w:bookmarkEnd w:id="306"/>
      <w:r>
        <w:rPr>
          <w:rFonts w:hint="eastAsia" w:ascii="宋体" w:hAnsi="宋体" w:eastAsia="宋体" w:cs="宋体"/>
          <w:b/>
          <w:bCs/>
          <w:szCs w:val="21"/>
        </w:rPr>
        <w:t>计划</w:t>
      </w:r>
    </w:p>
    <w:p w14:paraId="482B3014">
      <w:pPr>
        <w:snapToGrid w:val="0"/>
        <w:spacing w:line="360" w:lineRule="auto"/>
        <w:ind w:left="360"/>
        <w:contextualSpacing/>
        <w:rPr>
          <w:rFonts w:hint="eastAsia" w:ascii="宋体" w:hAnsi="宋体" w:eastAsia="宋体" w:cs="宋体"/>
          <w:szCs w:val="21"/>
        </w:rPr>
      </w:pPr>
      <w:r>
        <w:rPr>
          <w:rFonts w:hint="eastAsia" w:ascii="宋体" w:hAnsi="宋体" w:eastAsia="宋体" w:cs="宋体"/>
          <w:szCs w:val="21"/>
        </w:rPr>
        <w:t>按软件工程项目各阶段可能存在的风险进行分析，并制定相应的风险应对计划如下：</w:t>
      </w:r>
    </w:p>
    <w:tbl>
      <w:tblPr>
        <w:tblStyle w:val="40"/>
        <w:tblW w:w="0" w:type="auto"/>
        <w:tblInd w:w="0" w:type="dxa"/>
        <w:tblLayout w:type="autofit"/>
        <w:tblCellMar>
          <w:top w:w="0" w:type="dxa"/>
          <w:left w:w="108" w:type="dxa"/>
          <w:bottom w:w="0" w:type="dxa"/>
          <w:right w:w="108" w:type="dxa"/>
        </w:tblCellMar>
      </w:tblPr>
      <w:tblGrid>
        <w:gridCol w:w="1472"/>
        <w:gridCol w:w="3745"/>
        <w:gridCol w:w="3305"/>
      </w:tblGrid>
      <w:tr w14:paraId="7C8AD497">
        <w:tblPrEx>
          <w:tblCellMar>
            <w:top w:w="0" w:type="dxa"/>
            <w:left w:w="108" w:type="dxa"/>
            <w:bottom w:w="0" w:type="dxa"/>
            <w:right w:w="108" w:type="dxa"/>
          </w:tblCellMar>
        </w:tblPrEx>
        <w:tc>
          <w:tcPr>
            <w:tcW w:w="1632" w:type="dxa"/>
          </w:tcPr>
          <w:p w14:paraId="3BE0504C">
            <w:pPr>
              <w:snapToGrid w:val="0"/>
              <w:contextualSpacing/>
              <w:jc w:val="center"/>
              <w:rPr>
                <w:rFonts w:hint="eastAsia" w:ascii="宋体" w:hAnsi="宋体" w:eastAsia="宋体" w:cs="宋体"/>
                <w:b/>
                <w:bCs/>
                <w:szCs w:val="21"/>
              </w:rPr>
            </w:pPr>
            <w:r>
              <w:rPr>
                <w:rFonts w:hint="eastAsia" w:ascii="宋体" w:hAnsi="宋体" w:eastAsia="宋体" w:cs="宋体"/>
                <w:b/>
                <w:bCs/>
                <w:szCs w:val="21"/>
              </w:rPr>
              <w:t>项目阶段</w:t>
            </w:r>
          </w:p>
        </w:tc>
        <w:tc>
          <w:tcPr>
            <w:tcW w:w="4223" w:type="dxa"/>
          </w:tcPr>
          <w:p w14:paraId="27755611">
            <w:pPr>
              <w:snapToGrid w:val="0"/>
              <w:contextualSpacing/>
              <w:jc w:val="center"/>
              <w:rPr>
                <w:rFonts w:hint="eastAsia" w:ascii="宋体" w:hAnsi="宋体" w:eastAsia="宋体" w:cs="宋体"/>
                <w:b/>
                <w:bCs/>
                <w:szCs w:val="21"/>
              </w:rPr>
            </w:pPr>
            <w:r>
              <w:rPr>
                <w:rFonts w:hint="eastAsia" w:ascii="宋体" w:hAnsi="宋体" w:eastAsia="宋体" w:cs="宋体"/>
                <w:b/>
                <w:bCs/>
                <w:szCs w:val="21"/>
              </w:rPr>
              <w:t>可能存在的风险</w:t>
            </w:r>
          </w:p>
        </w:tc>
        <w:tc>
          <w:tcPr>
            <w:tcW w:w="3715" w:type="dxa"/>
          </w:tcPr>
          <w:p w14:paraId="5B739793">
            <w:pPr>
              <w:snapToGrid w:val="0"/>
              <w:contextualSpacing/>
              <w:jc w:val="center"/>
              <w:rPr>
                <w:rFonts w:hint="eastAsia" w:ascii="宋体" w:hAnsi="宋体" w:eastAsia="宋体" w:cs="宋体"/>
                <w:b/>
                <w:bCs/>
                <w:szCs w:val="21"/>
              </w:rPr>
            </w:pPr>
            <w:r>
              <w:rPr>
                <w:rFonts w:hint="eastAsia" w:ascii="宋体" w:hAnsi="宋体" w:eastAsia="宋体" w:cs="宋体"/>
                <w:b/>
                <w:bCs/>
                <w:szCs w:val="21"/>
              </w:rPr>
              <w:t>应对计划</w:t>
            </w:r>
          </w:p>
        </w:tc>
      </w:tr>
      <w:tr w14:paraId="6E8FA3FF">
        <w:tblPrEx>
          <w:tblCellMar>
            <w:top w:w="0" w:type="dxa"/>
            <w:left w:w="108" w:type="dxa"/>
            <w:bottom w:w="0" w:type="dxa"/>
            <w:right w:w="108" w:type="dxa"/>
          </w:tblCellMar>
        </w:tblPrEx>
        <w:tc>
          <w:tcPr>
            <w:tcW w:w="1632" w:type="dxa"/>
            <w:vMerge w:val="restart"/>
            <w:vAlign w:val="center"/>
          </w:tcPr>
          <w:p w14:paraId="750A9E29">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需求分析阶段</w:t>
            </w:r>
          </w:p>
        </w:tc>
        <w:tc>
          <w:tcPr>
            <w:tcW w:w="4223" w:type="dxa"/>
          </w:tcPr>
          <w:p w14:paraId="33628E18">
            <w:pPr>
              <w:snapToGrid w:val="0"/>
              <w:spacing w:line="360" w:lineRule="auto"/>
              <w:contextualSpacing/>
              <w:rPr>
                <w:rFonts w:hint="eastAsia" w:ascii="宋体" w:hAnsi="宋体" w:eastAsia="宋体" w:cs="宋体"/>
                <w:szCs w:val="21"/>
              </w:rPr>
            </w:pPr>
            <w:r>
              <w:rPr>
                <w:rFonts w:hint="eastAsia" w:ascii="宋体" w:hAnsi="宋体" w:eastAsia="宋体" w:cs="宋体"/>
                <w:szCs w:val="21"/>
              </w:rPr>
              <w:t>已定义的需求质量不佳，导致后续设计困难</w:t>
            </w:r>
          </w:p>
        </w:tc>
        <w:tc>
          <w:tcPr>
            <w:tcW w:w="3715" w:type="dxa"/>
          </w:tcPr>
          <w:p w14:paraId="66F20AA7">
            <w:pPr>
              <w:snapToGrid w:val="0"/>
              <w:spacing w:line="360" w:lineRule="auto"/>
              <w:contextualSpacing/>
              <w:rPr>
                <w:rFonts w:hint="eastAsia" w:ascii="宋体" w:hAnsi="宋体" w:eastAsia="宋体" w:cs="宋体"/>
                <w:szCs w:val="21"/>
              </w:rPr>
            </w:pPr>
            <w:r>
              <w:rPr>
                <w:rFonts w:hint="eastAsia" w:ascii="宋体" w:hAnsi="宋体" w:eastAsia="宋体" w:cs="宋体"/>
                <w:szCs w:val="21"/>
              </w:rPr>
              <w:t>甲方业务代表充分参与需求调研和分析工作，需求成果需领导签字确认</w:t>
            </w:r>
          </w:p>
        </w:tc>
      </w:tr>
      <w:tr w14:paraId="635EA0A9">
        <w:tblPrEx>
          <w:tblCellMar>
            <w:top w:w="0" w:type="dxa"/>
            <w:left w:w="108" w:type="dxa"/>
            <w:bottom w:w="0" w:type="dxa"/>
            <w:right w:w="108" w:type="dxa"/>
          </w:tblCellMar>
        </w:tblPrEx>
        <w:tc>
          <w:tcPr>
            <w:tcW w:w="1632" w:type="dxa"/>
            <w:vMerge w:val="continue"/>
          </w:tcPr>
          <w:p w14:paraId="17936D18">
            <w:pPr>
              <w:snapToGrid w:val="0"/>
              <w:spacing w:line="360" w:lineRule="auto"/>
              <w:contextualSpacing/>
              <w:rPr>
                <w:rFonts w:hint="eastAsia" w:ascii="宋体" w:hAnsi="宋体" w:eastAsia="宋体" w:cs="宋体"/>
                <w:szCs w:val="21"/>
              </w:rPr>
            </w:pPr>
          </w:p>
        </w:tc>
        <w:tc>
          <w:tcPr>
            <w:tcW w:w="4223" w:type="dxa"/>
            <w:shd w:val="clear" w:color="auto" w:fill="auto"/>
          </w:tcPr>
          <w:p w14:paraId="0DCCE426">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需求基线确定后，需求换在继续变化或新增</w:t>
            </w:r>
          </w:p>
        </w:tc>
        <w:tc>
          <w:tcPr>
            <w:tcW w:w="3715" w:type="dxa"/>
            <w:shd w:val="clear" w:color="auto" w:fill="auto"/>
          </w:tcPr>
          <w:p w14:paraId="085942A6">
            <w:pPr>
              <w:snapToGrid w:val="0"/>
              <w:spacing w:line="360" w:lineRule="auto"/>
              <w:contextualSpacing/>
              <w:rPr>
                <w:rFonts w:hint="eastAsia" w:ascii="宋体" w:hAnsi="宋体" w:eastAsia="宋体" w:cs="宋体"/>
                <w:szCs w:val="21"/>
              </w:rPr>
            </w:pPr>
            <w:r>
              <w:rPr>
                <w:rFonts w:hint="eastAsia" w:ascii="宋体" w:hAnsi="宋体" w:eastAsia="宋体" w:cs="宋体"/>
                <w:szCs w:val="21"/>
              </w:rPr>
              <w:t>严格执行需求变更控制流程，做好需求变更风险风险和项目计划的更新</w:t>
            </w:r>
          </w:p>
        </w:tc>
      </w:tr>
      <w:tr w14:paraId="2EE587F8">
        <w:tblPrEx>
          <w:tblCellMar>
            <w:top w:w="0" w:type="dxa"/>
            <w:left w:w="108" w:type="dxa"/>
            <w:bottom w:w="0" w:type="dxa"/>
            <w:right w:w="108" w:type="dxa"/>
          </w:tblCellMar>
        </w:tblPrEx>
        <w:tc>
          <w:tcPr>
            <w:tcW w:w="1632" w:type="dxa"/>
            <w:vMerge w:val="restart"/>
            <w:vAlign w:val="center"/>
          </w:tcPr>
          <w:p w14:paraId="404662BD">
            <w:pPr>
              <w:snapToGrid w:val="0"/>
              <w:spacing w:line="360" w:lineRule="auto"/>
              <w:contextualSpacing/>
              <w:rPr>
                <w:rFonts w:hint="eastAsia" w:ascii="宋体" w:hAnsi="宋体" w:eastAsia="宋体" w:cs="宋体"/>
                <w:szCs w:val="21"/>
              </w:rPr>
            </w:pPr>
            <w:r>
              <w:rPr>
                <w:rFonts w:hint="eastAsia" w:ascii="宋体" w:hAnsi="宋体" w:eastAsia="宋体"/>
                <w:bCs/>
                <w:szCs w:val="21"/>
              </w:rPr>
              <w:t>设计阶段</w:t>
            </w:r>
          </w:p>
        </w:tc>
        <w:tc>
          <w:tcPr>
            <w:tcW w:w="4223" w:type="dxa"/>
          </w:tcPr>
          <w:p w14:paraId="6746C35A">
            <w:pPr>
              <w:snapToGrid w:val="0"/>
              <w:spacing w:line="360" w:lineRule="auto"/>
              <w:contextualSpacing/>
              <w:rPr>
                <w:rFonts w:hint="eastAsia" w:ascii="宋体" w:hAnsi="宋体" w:eastAsia="宋体" w:cs="宋体"/>
                <w:szCs w:val="21"/>
              </w:rPr>
            </w:pPr>
            <w:r>
              <w:rPr>
                <w:rFonts w:hint="eastAsia" w:ascii="宋体" w:hAnsi="宋体" w:eastAsia="宋体" w:cs="宋体"/>
                <w:szCs w:val="21"/>
              </w:rPr>
              <w:t>技术设计缺乏弹性，不能支持业务需求变化</w:t>
            </w:r>
          </w:p>
        </w:tc>
        <w:tc>
          <w:tcPr>
            <w:tcW w:w="3715" w:type="dxa"/>
          </w:tcPr>
          <w:p w14:paraId="20C1339B">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通过设计评审来完善和控制设计质量</w:t>
            </w:r>
          </w:p>
        </w:tc>
      </w:tr>
      <w:tr w14:paraId="321CE442">
        <w:tblPrEx>
          <w:tblCellMar>
            <w:top w:w="0" w:type="dxa"/>
            <w:left w:w="108" w:type="dxa"/>
            <w:bottom w:w="0" w:type="dxa"/>
            <w:right w:w="108" w:type="dxa"/>
          </w:tblCellMar>
        </w:tblPrEx>
        <w:tc>
          <w:tcPr>
            <w:tcW w:w="1632" w:type="dxa"/>
            <w:vMerge w:val="continue"/>
          </w:tcPr>
          <w:p w14:paraId="369DF396">
            <w:pPr>
              <w:snapToGrid w:val="0"/>
              <w:spacing w:line="360" w:lineRule="auto"/>
              <w:contextualSpacing/>
              <w:rPr>
                <w:rFonts w:hint="eastAsia" w:ascii="宋体" w:hAnsi="宋体" w:eastAsia="宋体" w:cs="宋体"/>
                <w:szCs w:val="21"/>
              </w:rPr>
            </w:pPr>
          </w:p>
        </w:tc>
        <w:tc>
          <w:tcPr>
            <w:tcW w:w="4223" w:type="dxa"/>
          </w:tcPr>
          <w:p w14:paraId="649687B3">
            <w:pPr>
              <w:snapToGrid w:val="0"/>
              <w:spacing w:line="360" w:lineRule="auto"/>
              <w:contextualSpacing/>
              <w:rPr>
                <w:rFonts w:hint="eastAsia" w:ascii="宋体" w:hAnsi="宋体" w:eastAsia="宋体" w:cs="宋体"/>
                <w:szCs w:val="21"/>
              </w:rPr>
            </w:pPr>
            <w:r>
              <w:rPr>
                <w:rFonts w:hint="eastAsia" w:ascii="宋体" w:hAnsi="宋体" w:eastAsia="宋体"/>
                <w:szCs w:val="21"/>
              </w:rPr>
              <w:t>技术设计存在缺憾，无法达到技术指标要求</w:t>
            </w:r>
          </w:p>
        </w:tc>
        <w:tc>
          <w:tcPr>
            <w:tcW w:w="3715" w:type="dxa"/>
          </w:tcPr>
          <w:p w14:paraId="7DE0BF6E">
            <w:pPr>
              <w:snapToGrid w:val="0"/>
              <w:spacing w:line="360" w:lineRule="auto"/>
              <w:contextualSpacing/>
              <w:rPr>
                <w:rFonts w:hint="eastAsia" w:ascii="宋体" w:hAnsi="宋体" w:eastAsia="宋体" w:cs="宋体"/>
                <w:szCs w:val="21"/>
              </w:rPr>
            </w:pPr>
            <w:r>
              <w:rPr>
                <w:rFonts w:hint="eastAsia" w:ascii="宋体" w:hAnsi="宋体" w:eastAsia="宋体" w:cs="宋体"/>
                <w:szCs w:val="21"/>
              </w:rPr>
              <w:t>通过设计评审来完善和控制设计质量</w:t>
            </w:r>
          </w:p>
        </w:tc>
      </w:tr>
      <w:tr w14:paraId="57F5EB48">
        <w:tblPrEx>
          <w:tblCellMar>
            <w:top w:w="0" w:type="dxa"/>
            <w:left w:w="108" w:type="dxa"/>
            <w:bottom w:w="0" w:type="dxa"/>
            <w:right w:w="108" w:type="dxa"/>
          </w:tblCellMar>
        </w:tblPrEx>
        <w:tc>
          <w:tcPr>
            <w:tcW w:w="1632" w:type="dxa"/>
            <w:vMerge w:val="restart"/>
            <w:vAlign w:val="center"/>
          </w:tcPr>
          <w:p w14:paraId="196D9737">
            <w:pPr>
              <w:snapToGrid w:val="0"/>
              <w:spacing w:line="360" w:lineRule="auto"/>
              <w:contextualSpacing/>
              <w:rPr>
                <w:rFonts w:hint="eastAsia" w:ascii="宋体" w:hAnsi="宋体" w:eastAsia="宋体" w:cs="宋体"/>
                <w:szCs w:val="21"/>
              </w:rPr>
            </w:pPr>
            <w:r>
              <w:rPr>
                <w:rFonts w:hint="eastAsia" w:ascii="宋体" w:hAnsi="宋体" w:eastAsia="宋体"/>
                <w:bCs/>
                <w:szCs w:val="21"/>
              </w:rPr>
              <w:t>详细设计阶段</w:t>
            </w:r>
          </w:p>
        </w:tc>
        <w:tc>
          <w:tcPr>
            <w:tcW w:w="4223" w:type="dxa"/>
            <w:vAlign w:val="center"/>
          </w:tcPr>
          <w:p w14:paraId="1C4EC74A">
            <w:pPr>
              <w:snapToGrid w:val="0"/>
              <w:spacing w:line="360" w:lineRule="auto"/>
              <w:contextualSpacing/>
              <w:rPr>
                <w:rFonts w:hint="eastAsia" w:ascii="宋体" w:hAnsi="宋体" w:eastAsia="宋体" w:cs="宋体"/>
                <w:szCs w:val="21"/>
              </w:rPr>
            </w:pPr>
            <w:r>
              <w:rPr>
                <w:rFonts w:hint="eastAsia" w:ascii="宋体" w:hAnsi="宋体" w:eastAsia="宋体"/>
                <w:szCs w:val="21"/>
              </w:rPr>
              <w:t>详细设计偏离实际业务需求，或者遗漏重要需求</w:t>
            </w:r>
          </w:p>
        </w:tc>
        <w:tc>
          <w:tcPr>
            <w:tcW w:w="3715" w:type="dxa"/>
            <w:vAlign w:val="center"/>
          </w:tcPr>
          <w:p w14:paraId="15401F1A">
            <w:pPr>
              <w:snapToGrid w:val="0"/>
              <w:spacing w:line="360" w:lineRule="auto"/>
              <w:contextualSpacing/>
              <w:rPr>
                <w:rFonts w:hint="eastAsia" w:ascii="宋体" w:hAnsi="宋体" w:eastAsia="宋体" w:cs="宋体"/>
                <w:szCs w:val="21"/>
              </w:rPr>
            </w:pPr>
            <w:r>
              <w:rPr>
                <w:rFonts w:hint="eastAsia" w:ascii="宋体" w:hAnsi="宋体" w:eastAsia="宋体"/>
                <w:szCs w:val="21"/>
              </w:rPr>
              <w:t>建立需求跟踪矩阵，确保每个需求都在详细设计阶段得到体现</w:t>
            </w:r>
          </w:p>
        </w:tc>
      </w:tr>
      <w:tr w14:paraId="3DD54504">
        <w:tblPrEx>
          <w:tblCellMar>
            <w:top w:w="0" w:type="dxa"/>
            <w:left w:w="108" w:type="dxa"/>
            <w:bottom w:w="0" w:type="dxa"/>
            <w:right w:w="108" w:type="dxa"/>
          </w:tblCellMar>
        </w:tblPrEx>
        <w:tc>
          <w:tcPr>
            <w:tcW w:w="1632" w:type="dxa"/>
            <w:vMerge w:val="continue"/>
            <w:vAlign w:val="center"/>
          </w:tcPr>
          <w:p w14:paraId="105003E6">
            <w:pPr>
              <w:snapToGrid w:val="0"/>
              <w:spacing w:line="360" w:lineRule="auto"/>
              <w:contextualSpacing/>
              <w:rPr>
                <w:rFonts w:hint="eastAsia" w:ascii="宋体" w:hAnsi="宋体" w:eastAsia="宋体" w:cs="宋体"/>
                <w:szCs w:val="21"/>
              </w:rPr>
            </w:pPr>
          </w:p>
        </w:tc>
        <w:tc>
          <w:tcPr>
            <w:tcW w:w="4223" w:type="dxa"/>
            <w:vAlign w:val="center"/>
          </w:tcPr>
          <w:p w14:paraId="68B240C1">
            <w:pPr>
              <w:snapToGrid w:val="0"/>
              <w:spacing w:line="360" w:lineRule="auto"/>
              <w:contextualSpacing/>
              <w:rPr>
                <w:rFonts w:hint="eastAsia" w:ascii="宋体" w:hAnsi="宋体" w:eastAsia="宋体" w:cs="宋体"/>
                <w:szCs w:val="21"/>
              </w:rPr>
            </w:pPr>
            <w:r>
              <w:rPr>
                <w:rFonts w:hint="eastAsia" w:ascii="宋体" w:hAnsi="宋体" w:eastAsia="宋体"/>
                <w:szCs w:val="21"/>
              </w:rPr>
              <w:t>详细设计基准化后又出现需求的重大变更，导致详细设计不能完全实现业务需求</w:t>
            </w:r>
          </w:p>
        </w:tc>
        <w:tc>
          <w:tcPr>
            <w:tcW w:w="3715" w:type="dxa"/>
            <w:vAlign w:val="center"/>
          </w:tcPr>
          <w:p w14:paraId="196B20C8">
            <w:pPr>
              <w:snapToGrid w:val="0"/>
              <w:spacing w:line="360" w:lineRule="auto"/>
              <w:contextualSpacing/>
              <w:rPr>
                <w:rFonts w:hint="eastAsia" w:ascii="宋体" w:hAnsi="宋体" w:eastAsia="宋体" w:cs="宋体"/>
                <w:szCs w:val="21"/>
              </w:rPr>
            </w:pPr>
            <w:r>
              <w:rPr>
                <w:rFonts w:hint="eastAsia" w:ascii="宋体" w:hAnsi="宋体" w:eastAsia="宋体"/>
                <w:szCs w:val="21"/>
              </w:rPr>
              <w:t>建立详细设计变更控制流程，对发生变化的需求重新设计并评估对原先设计的影响。</w:t>
            </w:r>
          </w:p>
        </w:tc>
      </w:tr>
      <w:tr w14:paraId="3CA93867">
        <w:tblPrEx>
          <w:tblCellMar>
            <w:top w:w="0" w:type="dxa"/>
            <w:left w:w="108" w:type="dxa"/>
            <w:bottom w:w="0" w:type="dxa"/>
            <w:right w:w="108" w:type="dxa"/>
          </w:tblCellMar>
        </w:tblPrEx>
        <w:tc>
          <w:tcPr>
            <w:tcW w:w="1632" w:type="dxa"/>
            <w:vMerge w:val="restart"/>
            <w:vAlign w:val="center"/>
          </w:tcPr>
          <w:p w14:paraId="39C5724F">
            <w:pPr>
              <w:snapToGrid w:val="0"/>
              <w:spacing w:line="360" w:lineRule="auto"/>
              <w:contextualSpacing/>
              <w:rPr>
                <w:rFonts w:hint="eastAsia" w:ascii="宋体" w:hAnsi="宋体" w:eastAsia="宋体" w:cs="宋体"/>
                <w:szCs w:val="21"/>
              </w:rPr>
            </w:pPr>
            <w:r>
              <w:rPr>
                <w:rFonts w:hint="eastAsia" w:ascii="宋体" w:hAnsi="宋体" w:eastAsia="宋体"/>
                <w:bCs/>
                <w:szCs w:val="21"/>
              </w:rPr>
              <w:t>软件编码阶段</w:t>
            </w:r>
          </w:p>
        </w:tc>
        <w:tc>
          <w:tcPr>
            <w:tcW w:w="4223" w:type="dxa"/>
            <w:vAlign w:val="center"/>
          </w:tcPr>
          <w:p w14:paraId="66BF21F4">
            <w:pPr>
              <w:snapToGrid w:val="0"/>
              <w:spacing w:line="360" w:lineRule="auto"/>
              <w:contextualSpacing/>
              <w:rPr>
                <w:rFonts w:hint="eastAsia" w:ascii="宋体" w:hAnsi="宋体" w:eastAsia="宋体"/>
                <w:szCs w:val="21"/>
              </w:rPr>
            </w:pPr>
            <w:r>
              <w:rPr>
                <w:rFonts w:hint="eastAsia" w:ascii="宋体" w:hAnsi="宋体" w:eastAsia="宋体"/>
                <w:szCs w:val="21"/>
              </w:rPr>
              <w:t>源代码管理混乱，出现代码错误覆盖或丢失问题</w:t>
            </w:r>
          </w:p>
        </w:tc>
        <w:tc>
          <w:tcPr>
            <w:tcW w:w="3715" w:type="dxa"/>
            <w:vAlign w:val="center"/>
          </w:tcPr>
          <w:p w14:paraId="4D868500">
            <w:pPr>
              <w:snapToGrid w:val="0"/>
              <w:spacing w:line="360" w:lineRule="auto"/>
              <w:contextualSpacing/>
              <w:rPr>
                <w:rFonts w:hint="eastAsia" w:ascii="宋体" w:hAnsi="宋体" w:eastAsia="宋体"/>
                <w:szCs w:val="21"/>
              </w:rPr>
            </w:pPr>
            <w:r>
              <w:rPr>
                <w:rFonts w:hint="eastAsia" w:ascii="宋体" w:hAnsi="宋体" w:eastAsia="宋体"/>
                <w:szCs w:val="21"/>
              </w:rPr>
              <w:t>使用配置管理工具对源代码进行有效管理。</w:t>
            </w:r>
          </w:p>
        </w:tc>
      </w:tr>
      <w:tr w14:paraId="54C50F16">
        <w:tblPrEx>
          <w:tblCellMar>
            <w:top w:w="0" w:type="dxa"/>
            <w:left w:w="108" w:type="dxa"/>
            <w:bottom w:w="0" w:type="dxa"/>
            <w:right w:w="108" w:type="dxa"/>
          </w:tblCellMar>
        </w:tblPrEx>
        <w:tc>
          <w:tcPr>
            <w:tcW w:w="1632" w:type="dxa"/>
            <w:vMerge w:val="continue"/>
            <w:vAlign w:val="center"/>
          </w:tcPr>
          <w:p w14:paraId="42E5945F">
            <w:pPr>
              <w:snapToGrid w:val="0"/>
              <w:spacing w:line="360" w:lineRule="auto"/>
              <w:contextualSpacing/>
              <w:rPr>
                <w:rFonts w:hint="eastAsia" w:ascii="宋体" w:hAnsi="宋体" w:eastAsia="宋体" w:cs="宋体"/>
                <w:szCs w:val="21"/>
              </w:rPr>
            </w:pPr>
          </w:p>
        </w:tc>
        <w:tc>
          <w:tcPr>
            <w:tcW w:w="4223" w:type="dxa"/>
            <w:vAlign w:val="center"/>
          </w:tcPr>
          <w:p w14:paraId="7C79C8E4">
            <w:pPr>
              <w:snapToGrid w:val="0"/>
              <w:spacing w:line="360" w:lineRule="auto"/>
              <w:contextualSpacing/>
              <w:rPr>
                <w:rFonts w:hint="eastAsia" w:ascii="宋体" w:hAnsi="宋体" w:eastAsia="宋体"/>
                <w:szCs w:val="21"/>
              </w:rPr>
            </w:pPr>
            <w:r>
              <w:rPr>
                <w:rFonts w:hint="eastAsia" w:ascii="宋体" w:hAnsi="宋体" w:eastAsia="宋体"/>
                <w:szCs w:val="21"/>
              </w:rPr>
              <w:t>代码编写不严谨引入错误逻辑或导致性能安全风险</w:t>
            </w:r>
          </w:p>
        </w:tc>
        <w:tc>
          <w:tcPr>
            <w:tcW w:w="3715" w:type="dxa"/>
            <w:vAlign w:val="center"/>
          </w:tcPr>
          <w:p w14:paraId="671CBE7F">
            <w:pPr>
              <w:snapToGrid w:val="0"/>
              <w:spacing w:line="360" w:lineRule="auto"/>
              <w:contextualSpacing/>
              <w:rPr>
                <w:rFonts w:hint="eastAsia" w:ascii="宋体" w:hAnsi="宋体" w:eastAsia="宋体"/>
                <w:szCs w:val="21"/>
              </w:rPr>
            </w:pPr>
            <w:r>
              <w:rPr>
                <w:rFonts w:hint="eastAsia" w:ascii="宋体" w:hAnsi="宋体" w:eastAsia="宋体"/>
                <w:szCs w:val="21"/>
              </w:rPr>
              <w:t>提高编码技术水平，在代码提交仓库之前开展代码自查、走查和评审。</w:t>
            </w:r>
          </w:p>
        </w:tc>
      </w:tr>
      <w:tr w14:paraId="7EA26E69">
        <w:tblPrEx>
          <w:tblCellMar>
            <w:top w:w="0" w:type="dxa"/>
            <w:left w:w="108" w:type="dxa"/>
            <w:bottom w:w="0" w:type="dxa"/>
            <w:right w:w="108" w:type="dxa"/>
          </w:tblCellMar>
        </w:tblPrEx>
        <w:tc>
          <w:tcPr>
            <w:tcW w:w="1632" w:type="dxa"/>
            <w:vMerge w:val="restart"/>
            <w:vAlign w:val="center"/>
          </w:tcPr>
          <w:p w14:paraId="26E0AFFC">
            <w:pPr>
              <w:snapToGrid w:val="0"/>
              <w:spacing w:line="360" w:lineRule="auto"/>
              <w:contextualSpacing/>
              <w:rPr>
                <w:rFonts w:hint="eastAsia" w:ascii="宋体" w:hAnsi="宋体" w:eastAsia="宋体" w:cs="宋体"/>
                <w:szCs w:val="21"/>
              </w:rPr>
            </w:pPr>
            <w:r>
              <w:rPr>
                <w:rFonts w:hint="eastAsia" w:ascii="宋体" w:hAnsi="宋体" w:eastAsia="宋体"/>
                <w:bCs/>
                <w:szCs w:val="21"/>
              </w:rPr>
              <w:t>测试验收阶段</w:t>
            </w:r>
          </w:p>
        </w:tc>
        <w:tc>
          <w:tcPr>
            <w:tcW w:w="4223" w:type="dxa"/>
            <w:vAlign w:val="center"/>
          </w:tcPr>
          <w:p w14:paraId="14CC2D18">
            <w:pPr>
              <w:snapToGrid w:val="0"/>
              <w:spacing w:line="360" w:lineRule="auto"/>
              <w:contextualSpacing/>
              <w:rPr>
                <w:rFonts w:hint="eastAsia" w:ascii="宋体" w:hAnsi="宋体" w:eastAsia="宋体"/>
                <w:szCs w:val="21"/>
              </w:rPr>
            </w:pPr>
            <w:r>
              <w:rPr>
                <w:rFonts w:hint="eastAsia" w:ascii="宋体" w:hAnsi="宋体" w:eastAsia="宋体"/>
                <w:szCs w:val="21"/>
              </w:rPr>
              <w:t>测试覆盖率不够</w:t>
            </w:r>
          </w:p>
        </w:tc>
        <w:tc>
          <w:tcPr>
            <w:tcW w:w="3715" w:type="dxa"/>
            <w:vAlign w:val="center"/>
          </w:tcPr>
          <w:p w14:paraId="77EA9D53">
            <w:pPr>
              <w:snapToGrid w:val="0"/>
              <w:spacing w:line="360" w:lineRule="auto"/>
              <w:contextualSpacing/>
              <w:rPr>
                <w:rFonts w:hint="eastAsia" w:ascii="宋体" w:hAnsi="宋体" w:eastAsia="宋体"/>
                <w:szCs w:val="21"/>
              </w:rPr>
            </w:pPr>
            <w:r>
              <w:rPr>
                <w:rFonts w:hint="eastAsia" w:ascii="宋体" w:hAnsi="宋体" w:eastAsia="宋体"/>
                <w:szCs w:val="21"/>
              </w:rPr>
              <w:t>提高测试用例设计水平，引入测试覆盖度检查工具对测试覆盖率进行度量。</w:t>
            </w:r>
          </w:p>
        </w:tc>
      </w:tr>
      <w:tr w14:paraId="6C84E535">
        <w:tblPrEx>
          <w:tblCellMar>
            <w:top w:w="0" w:type="dxa"/>
            <w:left w:w="108" w:type="dxa"/>
            <w:bottom w:w="0" w:type="dxa"/>
            <w:right w:w="108" w:type="dxa"/>
          </w:tblCellMar>
        </w:tblPrEx>
        <w:tc>
          <w:tcPr>
            <w:tcW w:w="1632" w:type="dxa"/>
            <w:vMerge w:val="continue"/>
            <w:vAlign w:val="center"/>
          </w:tcPr>
          <w:p w14:paraId="3872BCB0">
            <w:pPr>
              <w:snapToGrid w:val="0"/>
              <w:spacing w:line="360" w:lineRule="auto"/>
              <w:contextualSpacing/>
              <w:rPr>
                <w:rFonts w:hint="eastAsia" w:ascii="宋体" w:hAnsi="宋体" w:eastAsia="宋体" w:cs="宋体"/>
                <w:szCs w:val="21"/>
              </w:rPr>
            </w:pPr>
          </w:p>
        </w:tc>
        <w:tc>
          <w:tcPr>
            <w:tcW w:w="4223" w:type="dxa"/>
            <w:vAlign w:val="center"/>
          </w:tcPr>
          <w:p w14:paraId="24BD803C">
            <w:pPr>
              <w:snapToGrid w:val="0"/>
              <w:spacing w:line="360" w:lineRule="auto"/>
              <w:contextualSpacing/>
              <w:rPr>
                <w:rFonts w:hint="eastAsia" w:ascii="宋体" w:hAnsi="宋体" w:eastAsia="宋体"/>
                <w:szCs w:val="21"/>
              </w:rPr>
            </w:pPr>
            <w:r>
              <w:rPr>
                <w:rFonts w:hint="eastAsia" w:ascii="宋体" w:hAnsi="宋体" w:eastAsia="宋体"/>
                <w:szCs w:val="21"/>
              </w:rPr>
              <w:t>项目前期工作占用太多时间，留给测试验收阶段的时间不够导致测试不充分</w:t>
            </w:r>
          </w:p>
        </w:tc>
        <w:tc>
          <w:tcPr>
            <w:tcW w:w="3715" w:type="dxa"/>
            <w:vAlign w:val="center"/>
          </w:tcPr>
          <w:p w14:paraId="14ED3E8A">
            <w:pPr>
              <w:snapToGrid w:val="0"/>
              <w:spacing w:line="360" w:lineRule="auto"/>
              <w:contextualSpacing/>
              <w:rPr>
                <w:rFonts w:hint="eastAsia" w:ascii="宋体" w:hAnsi="宋体" w:eastAsia="宋体"/>
                <w:szCs w:val="21"/>
              </w:rPr>
            </w:pPr>
            <w:r>
              <w:rPr>
                <w:rFonts w:hint="eastAsia" w:ascii="宋体" w:hAnsi="宋体" w:eastAsia="宋体"/>
                <w:szCs w:val="21"/>
              </w:rPr>
              <w:t>加强对项目开发进度的监控，必要时重新安排进度计划。</w:t>
            </w:r>
          </w:p>
        </w:tc>
      </w:tr>
      <w:tr w14:paraId="1BF71108">
        <w:tblPrEx>
          <w:tblCellMar>
            <w:top w:w="0" w:type="dxa"/>
            <w:left w:w="108" w:type="dxa"/>
            <w:bottom w:w="0" w:type="dxa"/>
            <w:right w:w="108" w:type="dxa"/>
          </w:tblCellMar>
        </w:tblPrEx>
        <w:tc>
          <w:tcPr>
            <w:tcW w:w="1632" w:type="dxa"/>
            <w:vMerge w:val="restart"/>
            <w:vAlign w:val="center"/>
          </w:tcPr>
          <w:p w14:paraId="415A217B">
            <w:pPr>
              <w:snapToGrid w:val="0"/>
              <w:spacing w:line="360" w:lineRule="auto"/>
              <w:contextualSpacing/>
              <w:rPr>
                <w:rFonts w:hint="eastAsia" w:ascii="宋体" w:hAnsi="宋体" w:eastAsia="宋体" w:cs="宋体"/>
                <w:szCs w:val="21"/>
              </w:rPr>
            </w:pPr>
            <w:r>
              <w:rPr>
                <w:rFonts w:hint="eastAsia" w:ascii="宋体" w:hAnsi="宋体" w:eastAsia="宋体" w:cs="宋体"/>
                <w:szCs w:val="21"/>
              </w:rPr>
              <w:t>运营培训阶段</w:t>
            </w:r>
          </w:p>
        </w:tc>
        <w:tc>
          <w:tcPr>
            <w:tcW w:w="4223" w:type="dxa"/>
            <w:vAlign w:val="center"/>
          </w:tcPr>
          <w:p w14:paraId="39C35602">
            <w:pPr>
              <w:snapToGrid w:val="0"/>
              <w:spacing w:line="360" w:lineRule="auto"/>
              <w:contextualSpacing/>
              <w:rPr>
                <w:rFonts w:hint="eastAsia" w:ascii="宋体" w:hAnsi="宋体" w:eastAsia="宋体"/>
                <w:szCs w:val="21"/>
              </w:rPr>
            </w:pPr>
            <w:r>
              <w:rPr>
                <w:rFonts w:hint="eastAsia" w:ascii="宋体" w:hAnsi="宋体" w:eastAsia="宋体"/>
                <w:szCs w:val="21"/>
              </w:rPr>
              <w:t>基础数据准备时间比预期长；数据的完整性和有效性不足</w:t>
            </w:r>
          </w:p>
        </w:tc>
        <w:tc>
          <w:tcPr>
            <w:tcW w:w="3715" w:type="dxa"/>
            <w:vAlign w:val="center"/>
          </w:tcPr>
          <w:p w14:paraId="15C75AE7">
            <w:pPr>
              <w:spacing w:line="360" w:lineRule="auto"/>
              <w:rPr>
                <w:rFonts w:hint="eastAsia" w:ascii="宋体" w:hAnsi="宋体" w:eastAsia="宋体"/>
                <w:szCs w:val="21"/>
              </w:rPr>
            </w:pPr>
            <w:r>
              <w:rPr>
                <w:rFonts w:hint="eastAsia" w:ascii="宋体" w:hAnsi="宋体" w:eastAsia="宋体"/>
                <w:szCs w:val="21"/>
              </w:rPr>
              <w:t>制定详细的数据准备方案；采取切实有效的数据录入和验证措施保证数据的完整性、有效性；</w:t>
            </w:r>
          </w:p>
        </w:tc>
      </w:tr>
      <w:tr w14:paraId="24D7B42F">
        <w:tblPrEx>
          <w:tblCellMar>
            <w:top w:w="0" w:type="dxa"/>
            <w:left w:w="108" w:type="dxa"/>
            <w:bottom w:w="0" w:type="dxa"/>
            <w:right w:w="108" w:type="dxa"/>
          </w:tblCellMar>
        </w:tblPrEx>
        <w:tc>
          <w:tcPr>
            <w:tcW w:w="1632" w:type="dxa"/>
            <w:vMerge w:val="continue"/>
            <w:vAlign w:val="center"/>
          </w:tcPr>
          <w:p w14:paraId="705533D3">
            <w:pPr>
              <w:snapToGrid w:val="0"/>
              <w:spacing w:line="360" w:lineRule="auto"/>
              <w:contextualSpacing/>
              <w:rPr>
                <w:rFonts w:hint="eastAsia" w:ascii="宋体" w:hAnsi="宋体" w:eastAsia="宋体" w:cs="宋体"/>
                <w:szCs w:val="21"/>
              </w:rPr>
            </w:pPr>
          </w:p>
        </w:tc>
        <w:tc>
          <w:tcPr>
            <w:tcW w:w="4223" w:type="dxa"/>
            <w:vAlign w:val="center"/>
          </w:tcPr>
          <w:p w14:paraId="0FB21047">
            <w:pPr>
              <w:snapToGrid w:val="0"/>
              <w:spacing w:line="360" w:lineRule="auto"/>
              <w:contextualSpacing/>
              <w:rPr>
                <w:rFonts w:hint="eastAsia" w:ascii="宋体" w:hAnsi="宋体" w:eastAsia="宋体"/>
                <w:szCs w:val="21"/>
              </w:rPr>
            </w:pPr>
            <w:r>
              <w:rPr>
                <w:rFonts w:hint="eastAsia" w:ascii="宋体" w:hAnsi="宋体" w:eastAsia="宋体"/>
                <w:szCs w:val="21"/>
              </w:rPr>
              <w:t>培训难度大、一线用户接受困难、推广进展慢</w:t>
            </w:r>
          </w:p>
        </w:tc>
        <w:tc>
          <w:tcPr>
            <w:tcW w:w="3715" w:type="dxa"/>
            <w:vAlign w:val="center"/>
          </w:tcPr>
          <w:p w14:paraId="3D27398D">
            <w:pPr>
              <w:snapToGrid w:val="0"/>
              <w:spacing w:line="360" w:lineRule="auto"/>
              <w:contextualSpacing/>
              <w:rPr>
                <w:rFonts w:hint="eastAsia" w:ascii="宋体" w:hAnsi="宋体" w:eastAsia="宋体"/>
                <w:szCs w:val="21"/>
              </w:rPr>
            </w:pPr>
            <w:r>
              <w:rPr>
                <w:rFonts w:hint="eastAsia" w:ascii="宋体" w:hAnsi="宋体" w:eastAsia="宋体"/>
                <w:szCs w:val="21"/>
              </w:rPr>
              <w:t>制定好培训推广方案，加强宣传和培训组织管理并获得用户高层的支持。</w:t>
            </w:r>
          </w:p>
        </w:tc>
      </w:tr>
    </w:tbl>
    <w:p w14:paraId="02284060">
      <w:pPr>
        <w:pStyle w:val="6"/>
        <w:numPr>
          <w:ilvl w:val="2"/>
          <w:numId w:val="39"/>
        </w:numPr>
        <w:spacing w:before="260" w:after="260" w:line="416" w:lineRule="auto"/>
        <w:jc w:val="both"/>
        <w:rPr>
          <w:rFonts w:hint="eastAsia" w:ascii="宋体" w:hAnsi="宋体" w:cstheme="majorBidi"/>
          <w:szCs w:val="24"/>
        </w:rPr>
      </w:pPr>
      <w:bookmarkStart w:id="307" w:name="_Toc180265687"/>
      <w:r>
        <w:rPr>
          <w:rFonts w:hint="eastAsia" w:ascii="宋体" w:hAnsi="宋体" w:cstheme="majorBidi"/>
          <w:szCs w:val="24"/>
        </w:rPr>
        <w:t>其他保障措施</w:t>
      </w:r>
      <w:bookmarkEnd w:id="307"/>
    </w:p>
    <w:p w14:paraId="5D3A596C">
      <w:pPr>
        <w:numPr>
          <w:ilvl w:val="0"/>
          <w:numId w:val="10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建立风险管理机制</w:t>
      </w:r>
    </w:p>
    <w:p w14:paraId="22856712">
      <w:pPr>
        <w:snapToGrid w:val="0"/>
        <w:spacing w:line="360" w:lineRule="auto"/>
        <w:ind w:firstLine="360"/>
        <w:contextualSpacing/>
        <w:rPr>
          <w:rFonts w:hint="eastAsia" w:ascii="宋体" w:hAnsi="宋体" w:eastAsia="宋体" w:cs="宋体"/>
          <w:szCs w:val="21"/>
        </w:rPr>
      </w:pPr>
      <w:r>
        <w:rPr>
          <w:rFonts w:hint="eastAsia" w:ascii="宋体" w:hAnsi="宋体" w:eastAsia="宋体" w:cs="宋体"/>
          <w:szCs w:val="21"/>
        </w:rPr>
        <w:t>制定风险管理计划，明确风险管理的目标、原则、流程和方法；制定项目风险监控措施以及风险跟踪及预警机制，对潜在风险进行实时监控和预警。同时，建立风险应对机制，对发生的风险进行及时应对和处理，确保项目的顺利进行。</w:t>
      </w:r>
    </w:p>
    <w:p w14:paraId="72CFD80E">
      <w:pPr>
        <w:numPr>
          <w:ilvl w:val="0"/>
          <w:numId w:val="10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风险监控措施</w:t>
      </w:r>
    </w:p>
    <w:p w14:paraId="2AA08BF8">
      <w:pPr>
        <w:spacing w:before="50" w:after="50" w:line="360" w:lineRule="auto"/>
        <w:ind w:firstLine="420" w:firstLineChars="200"/>
        <w:contextualSpacing/>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尽早发现风险并及时采取有效措施减缓、转换或规避风险，</w:t>
      </w:r>
      <w:r>
        <w:rPr>
          <w:rFonts w:ascii="宋体" w:hAnsi="宋体" w:eastAsia="宋体" w:cs="Times New Roman"/>
          <w:kern w:val="0"/>
          <w:szCs w:val="21"/>
          <w:lang w:val="zh-CN" w:bidi="en-US"/>
        </w:rPr>
        <w:t>主要是</w:t>
      </w:r>
      <w:r>
        <w:rPr>
          <w:rFonts w:hint="eastAsia" w:ascii="宋体" w:hAnsi="宋体" w:eastAsia="宋体" w:cs="Times New Roman"/>
          <w:kern w:val="0"/>
          <w:szCs w:val="21"/>
          <w:lang w:val="zh-CN" w:bidi="en-US"/>
        </w:rPr>
        <w:t>要</w:t>
      </w:r>
      <w:r>
        <w:rPr>
          <w:rFonts w:ascii="宋体" w:hAnsi="宋体" w:eastAsia="宋体" w:cs="Times New Roman"/>
          <w:kern w:val="0"/>
          <w:szCs w:val="21"/>
          <w:lang w:val="zh-CN" w:bidi="en-US"/>
        </w:rPr>
        <w:t>贯彻综合、系统、全方位原则和经济、合理、先进性原则，包括管理流程设计、管理制度和标准制定、人员选配、岗位职责分工，落实风险管理的责任等。还应提倡推广使用风险管理信息系统等现代管理手段和方法。</w:t>
      </w:r>
      <w:r>
        <w:rPr>
          <w:rFonts w:hint="eastAsia" w:ascii="宋体" w:hAnsi="宋体" w:eastAsia="宋体" w:cs="Times New Roman"/>
          <w:kern w:val="0"/>
          <w:szCs w:val="21"/>
          <w:lang w:val="zh-CN" w:bidi="en-US"/>
        </w:rPr>
        <w:t>主要措施有：</w:t>
      </w:r>
    </w:p>
    <w:p w14:paraId="6C267EBC">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 xml:space="preserve">建立并及时更新项目风险列表及风险排序。项目管理人员应随时关注与关键风险相关因素的变化情况，及时决定何时、采用何种风险应对措施。 </w:t>
      </w:r>
    </w:p>
    <w:p w14:paraId="1BD8E3BE">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 xml:space="preserve">风险应对审计：随时关注风险应对措施（规避、减轻、转移）实施的效果，对残余风险进行评估。 </w:t>
      </w:r>
    </w:p>
    <w:p w14:paraId="6AA5A3CC">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 xml:space="preserve">建立报告机制，及时将项目中存在的问题反映到项目经理或项目管理层。 </w:t>
      </w:r>
    </w:p>
    <w:p w14:paraId="6F89B6A7">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定期召集项目干系人召开项目会议，对风险状况进行评估，并通过各方面对项目实施的反应来发现新风险</w:t>
      </w:r>
      <w:r>
        <w:rPr>
          <w:rFonts w:hint="eastAsia" w:ascii="宋体" w:hAnsi="宋体" w:eastAsia="宋体" w:cs="Times New Roman"/>
          <w:kern w:val="0"/>
          <w:szCs w:val="21"/>
          <w:lang w:val="zh-CN" w:bidi="en-US"/>
        </w:rPr>
        <w:t>。</w:t>
      </w:r>
    </w:p>
    <w:p w14:paraId="113113F1">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制定文档标准，并建立一种机制以保证文档能及时产生</w:t>
      </w:r>
      <w:r>
        <w:rPr>
          <w:rFonts w:hint="eastAsia" w:ascii="宋体" w:hAnsi="宋体" w:eastAsia="宋体" w:cs="Times New Roman"/>
          <w:kern w:val="0"/>
          <w:szCs w:val="21"/>
          <w:lang w:val="zh-CN" w:bidi="en-US"/>
        </w:rPr>
        <w:t>。</w:t>
      </w:r>
    </w:p>
    <w:p w14:paraId="22D6ADFD">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对所有工作组织细致的评审，以使更多的人能够按计划进度完成自己的工作</w:t>
      </w:r>
      <w:r>
        <w:rPr>
          <w:rFonts w:hint="eastAsia" w:ascii="宋体" w:hAnsi="宋体" w:eastAsia="宋体" w:cs="Times New Roman"/>
          <w:kern w:val="0"/>
          <w:szCs w:val="21"/>
          <w:lang w:val="zh-CN" w:bidi="en-US"/>
        </w:rPr>
        <w:t>。</w:t>
      </w:r>
    </w:p>
    <w:p w14:paraId="20DD878C">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ascii="宋体" w:hAnsi="宋体" w:eastAsia="宋体" w:cs="Times New Roman"/>
          <w:kern w:val="0"/>
          <w:szCs w:val="21"/>
          <w:lang w:val="zh-CN" w:bidi="en-US"/>
        </w:rPr>
        <w:t>在项目里程碑处进行事件跟踪和主要风险因素跟踪，以进行风险的再评估</w:t>
      </w:r>
      <w:r>
        <w:rPr>
          <w:rFonts w:hint="eastAsia" w:ascii="宋体" w:hAnsi="宋体" w:eastAsia="宋体" w:cs="Times New Roman"/>
          <w:kern w:val="0"/>
          <w:szCs w:val="21"/>
          <w:lang w:val="zh-CN" w:bidi="en-US"/>
        </w:rPr>
        <w:t>。</w:t>
      </w:r>
    </w:p>
    <w:p w14:paraId="6DA5C805">
      <w:pPr>
        <w:numPr>
          <w:ilvl w:val="0"/>
          <w:numId w:val="101"/>
        </w:numPr>
        <w:spacing w:line="360" w:lineRule="auto"/>
        <w:ind w:firstLine="420" w:firstLineChars="200"/>
        <w:jc w:val="left"/>
        <w:rPr>
          <w:rFonts w:hint="eastAsia" w:ascii="宋体" w:hAnsi="宋体" w:eastAsia="宋体" w:cs="Times New Roman"/>
          <w:kern w:val="0"/>
          <w:szCs w:val="21"/>
          <w:lang w:val="zh-CN" w:bidi="en-US"/>
        </w:rPr>
      </w:pPr>
      <w:r>
        <w:rPr>
          <w:rFonts w:hint="eastAsia" w:ascii="宋体" w:hAnsi="宋体" w:eastAsia="宋体" w:cs="Times New Roman"/>
          <w:kern w:val="0"/>
          <w:szCs w:val="21"/>
          <w:lang w:val="zh-CN" w:bidi="en-US"/>
        </w:rPr>
        <w:t>考虑</w:t>
      </w:r>
      <w:r>
        <w:rPr>
          <w:rFonts w:ascii="宋体" w:hAnsi="宋体" w:eastAsia="宋体" w:cs="Times New Roman"/>
          <w:kern w:val="0"/>
          <w:szCs w:val="21"/>
          <w:lang w:val="zh-CN" w:bidi="en-US"/>
        </w:rPr>
        <w:t>引入第三方咨询</w:t>
      </w:r>
      <w:r>
        <w:rPr>
          <w:rFonts w:hint="eastAsia" w:ascii="宋体" w:hAnsi="宋体" w:eastAsia="宋体" w:cs="Times New Roman"/>
          <w:kern w:val="0"/>
          <w:szCs w:val="21"/>
          <w:lang w:val="zh-CN" w:bidi="en-US"/>
        </w:rPr>
        <w:t>或成立专家组</w:t>
      </w:r>
      <w:r>
        <w:rPr>
          <w:rFonts w:ascii="宋体" w:hAnsi="宋体" w:eastAsia="宋体" w:cs="Times New Roman"/>
          <w:kern w:val="0"/>
          <w:szCs w:val="21"/>
          <w:lang w:val="zh-CN" w:bidi="en-US"/>
        </w:rPr>
        <w:t>，定期对项目进行质量检查，以防范大的风险。</w:t>
      </w:r>
    </w:p>
    <w:p w14:paraId="0BF75092">
      <w:pPr>
        <w:rPr>
          <w:rFonts w:hint="eastAsia" w:ascii="宋体" w:hAnsi="宋体" w:eastAsia="宋体"/>
        </w:rPr>
      </w:pPr>
    </w:p>
    <w:p w14:paraId="29DAA21E">
      <w:pPr>
        <w:numPr>
          <w:ilvl w:val="0"/>
          <w:numId w:val="10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执行风险跟踪</w:t>
      </w:r>
    </w:p>
    <w:p w14:paraId="438A31C3">
      <w:pPr>
        <w:spacing w:line="360" w:lineRule="auto"/>
        <w:ind w:firstLine="420" w:firstLineChars="200"/>
        <w:rPr>
          <w:rFonts w:hint="eastAsia" w:ascii="宋体" w:hAnsi="宋体" w:eastAsia="宋体"/>
          <w:szCs w:val="21"/>
        </w:rPr>
      </w:pPr>
      <w:r>
        <w:rPr>
          <w:rFonts w:hint="eastAsia" w:ascii="宋体" w:hAnsi="宋体" w:eastAsia="宋体"/>
          <w:szCs w:val="21"/>
        </w:rPr>
        <w:t>风险跟踪的主要目的是跟踪风险状态的变化。项目经理执行风险缓解计划，缓解风险，降低风险发生的可能性，直到消除风险。项目经理在每周、每月的项目状态报告中报告风险的状态，相关信息应记录到《风险跟踪单及减缓日志》之中。对完成的风险减缓活动，要求记录在风险减缓活动日志中，对减缓后的风险，再次进行分析，并更改跟踪单中风险的状态；对识别到的新的风险，要求添加到风险跟踪单中；对已采取减缓措施，不可能再发生的风险，进行风险关闭，更改跟踪单中风险的状态。</w:t>
      </w:r>
    </w:p>
    <w:p w14:paraId="27A3F004">
      <w:pPr>
        <w:snapToGrid w:val="0"/>
        <w:spacing w:line="360" w:lineRule="auto"/>
        <w:ind w:firstLine="360"/>
        <w:contextualSpacing/>
        <w:rPr>
          <w:rFonts w:hint="eastAsia" w:ascii="宋体" w:hAnsi="宋体" w:eastAsia="宋体" w:cs="宋体"/>
          <w:szCs w:val="21"/>
        </w:rPr>
      </w:pPr>
      <w:r>
        <w:rPr>
          <w:rFonts w:hint="eastAsia" w:ascii="宋体" w:hAnsi="宋体" w:eastAsia="宋体"/>
          <w:szCs w:val="21"/>
        </w:rPr>
        <w:t>当风险发生时，风险应急计划被触发。需执行预定的应急措施，努力减少风险损失</w:t>
      </w:r>
    </w:p>
    <w:p w14:paraId="573B8BB0">
      <w:pPr>
        <w:numPr>
          <w:ilvl w:val="0"/>
          <w:numId w:val="100"/>
        </w:numPr>
        <w:snapToGrid w:val="0"/>
        <w:spacing w:line="360" w:lineRule="auto"/>
        <w:contextualSpacing/>
        <w:rPr>
          <w:rFonts w:hint="eastAsia" w:ascii="宋体" w:hAnsi="宋体" w:eastAsia="宋体" w:cs="宋体"/>
          <w:b/>
          <w:bCs/>
          <w:szCs w:val="21"/>
        </w:rPr>
      </w:pPr>
      <w:r>
        <w:rPr>
          <w:rFonts w:hint="eastAsia" w:ascii="宋体" w:hAnsi="宋体" w:eastAsia="宋体" w:cs="宋体"/>
          <w:b/>
          <w:bCs/>
          <w:szCs w:val="21"/>
        </w:rPr>
        <w:t>加强合规管理：</w:t>
      </w:r>
    </w:p>
    <w:p w14:paraId="226ACEA8">
      <w:pPr>
        <w:snapToGrid w:val="0"/>
        <w:spacing w:line="360" w:lineRule="auto"/>
        <w:ind w:firstLine="360"/>
        <w:contextualSpacing/>
        <w:rPr>
          <w:rFonts w:hint="eastAsia" w:ascii="宋体" w:hAnsi="宋体" w:eastAsia="宋体" w:cs="宋体"/>
          <w:szCs w:val="21"/>
        </w:rPr>
      </w:pPr>
      <w:r>
        <w:rPr>
          <w:rFonts w:hint="eastAsia" w:ascii="宋体" w:hAnsi="宋体" w:eastAsia="宋体" w:cs="宋体"/>
          <w:szCs w:val="21"/>
        </w:rPr>
        <w:t>严格遵守国家法律法规和行业规定，确保项目的合规性。建立完善的合规管理制度和流程，对项目的实施过程进行全程监控和评估。同时，加强合规培训和宣传，提高员工的合规意识和法律意识。</w:t>
      </w:r>
    </w:p>
    <w:p w14:paraId="7686D633">
      <w:pPr>
        <w:snapToGrid w:val="0"/>
        <w:spacing w:line="360" w:lineRule="auto"/>
        <w:ind w:firstLine="360"/>
        <w:contextualSpacing/>
        <w:rPr>
          <w:rFonts w:hint="eastAsia" w:ascii="宋体" w:hAnsi="宋体" w:eastAsia="宋体" w:cs="宋体"/>
          <w:szCs w:val="21"/>
        </w:rPr>
      </w:pPr>
      <w:r>
        <w:rPr>
          <w:rFonts w:hint="eastAsia" w:ascii="宋体" w:hAnsi="宋体" w:eastAsia="宋体" w:cs="宋体"/>
          <w:szCs w:val="21"/>
        </w:rPr>
        <w:t>综上所述，通过全面的风险分析和有效的风险控制方案以及其他保障措施的实施，可以确保烟草总公司电子采购系统建设项目的顺利实施和成功上线。这将有助于提升烟草行业的采购效率和管理水平，推动行业的数字化转型和高质量发展。</w:t>
      </w:r>
    </w:p>
    <w:p w14:paraId="2DD45432">
      <w:pPr>
        <w:snapToGrid w:val="0"/>
        <w:spacing w:line="360" w:lineRule="auto"/>
        <w:ind w:firstLine="360"/>
        <w:contextualSpacing/>
        <w:rPr>
          <w:rFonts w:hint="eastAsia" w:ascii="宋体" w:hAnsi="宋体" w:eastAsia="宋体" w:cs="宋体"/>
          <w:szCs w:val="21"/>
        </w:rPr>
      </w:pPr>
    </w:p>
    <w:p w14:paraId="45AECAC5">
      <w:pPr>
        <w:widowControl/>
        <w:jc w:val="left"/>
        <w:rPr>
          <w:rFonts w:hint="eastAsia" w:ascii="宋体" w:hAnsi="宋体" w:eastAsia="宋体" w:cs="宋体"/>
          <w:szCs w:val="21"/>
        </w:rPr>
      </w:pPr>
      <w:r>
        <w:rPr>
          <w:rFonts w:hint="eastAsia" w:ascii="宋体" w:hAnsi="宋体" w:eastAsia="宋体" w:cs="宋体"/>
          <w:szCs w:val="21"/>
        </w:rPr>
        <w:br w:type="page"/>
      </w:r>
    </w:p>
    <w:p w14:paraId="5DA5C1C7">
      <w:pPr>
        <w:pStyle w:val="4"/>
        <w:numPr>
          <w:ilvl w:val="0"/>
          <w:numId w:val="102"/>
        </w:numPr>
        <w:rPr>
          <w:rFonts w:hint="eastAsia" w:asciiTheme="minorEastAsia" w:hAnsiTheme="minorEastAsia" w:eastAsiaTheme="minorEastAsia"/>
        </w:rPr>
      </w:pPr>
      <w:bookmarkStart w:id="308" w:name="_Toc180265688"/>
      <w:r>
        <w:rPr>
          <w:rFonts w:hint="eastAsia"/>
        </w:rPr>
        <w:t>规划实施方案</w:t>
      </w:r>
      <w:bookmarkEnd w:id="308"/>
    </w:p>
    <w:p w14:paraId="3B07E3CF">
      <w:pPr>
        <w:pStyle w:val="5"/>
        <w:spacing w:line="240" w:lineRule="auto"/>
      </w:pPr>
      <w:bookmarkStart w:id="309" w:name="_Toc180265689"/>
      <w:r>
        <w:rPr>
          <w:rFonts w:hint="eastAsia"/>
        </w:rPr>
        <w:t>背景和目的</w:t>
      </w:r>
      <w:bookmarkEnd w:id="309"/>
      <w:r>
        <w:rPr>
          <w:rFonts w:hint="eastAsia"/>
        </w:rPr>
        <w:t xml:space="preserve"> </w:t>
      </w:r>
    </w:p>
    <w:p w14:paraId="38BB40FC">
      <w:pPr>
        <w:spacing w:line="360" w:lineRule="auto"/>
        <w:ind w:firstLine="420"/>
        <w:rPr>
          <w:szCs w:val="21"/>
        </w:rPr>
      </w:pPr>
      <w:r>
        <w:rPr>
          <w:rFonts w:hint="eastAsia"/>
          <w:szCs w:val="21"/>
        </w:rPr>
        <w:t>中国烟草总公司，成立于1982年1月，主要职责是根据国家法律和国务院的有关法规、法令、方针政策，按照国家计划，对所属企业的生产、供应、销售、进出口业务和对外经济技术合作实行集中统一经营管理。全国现有包括国家烟草专卖局、中国烟草总公司本级29个部门和专业公司，所属省级烟草专卖局（公司）33个（含大连、深圳），省级工业公司19个；地市级烟草专卖局（公司）450家；县级烟草专卖局（分公司或营销部）2393家；卷烟工厂92家，烟机企业4家，打叶复烤企业23家；另有直属科研单位、醋纤等生产企业，以及烟叶、卷烟销售、烟机、物资、进出口等全国性专业公司。</w:t>
      </w:r>
    </w:p>
    <w:p w14:paraId="02B8D3A6">
      <w:pPr>
        <w:spacing w:line="360" w:lineRule="auto"/>
        <w:ind w:firstLine="420"/>
        <w:rPr>
          <w:szCs w:val="21"/>
        </w:rPr>
      </w:pPr>
      <w:r>
        <w:rPr>
          <w:rFonts w:hint="eastAsia"/>
          <w:szCs w:val="21"/>
        </w:rPr>
        <w:t>2020年以来，烟草行业实施数字化转型发展战略，推动建设全国烟草生产经营管理一体化平台（以下简称行业一体化平台）。行业一体化平台总体建设总体目标是形成覆盖全产业链、全治理链、全生态圈和全生产要素的一体化、智能化平台，所构建的“1242”总体架构，即一个云平台、两个中台、四大企业应用和两大行业应用。截止目前，行业一体化平台已建成包括统一门户在内的多个一体化应用系统。作为行业一体化平台重要底座的烟草行业新型数字基础设施体系（以下简称新数基体系)也已基本形成，新数基体系技术架构基于行业云平台、行业数字中台、行业工业互联网平台、行业标识解析体系等共同构建，分为基础资源层、技术中间层、数据资源层和应用服务层四部分。其中行业云平台由行业主中心节点、行业副中心节点和若干省级工商企业节点（企业云平台）组成；行业数字中台包括业务中台、数据中台等。业务中台包括用户中心、消息中心等8大中心；数据中台包括信息分类与编码、数据集成汇聚、数据资产管理、数据服务及两级数据传输等。</w:t>
      </w:r>
    </w:p>
    <w:p w14:paraId="079C4174">
      <w:pPr>
        <w:spacing w:line="360" w:lineRule="auto"/>
        <w:ind w:firstLine="420"/>
        <w:rPr>
          <w:szCs w:val="21"/>
        </w:rPr>
      </w:pPr>
      <w:r>
        <w:rPr>
          <w:rFonts w:hint="eastAsia"/>
          <w:szCs w:val="21"/>
        </w:rPr>
        <w:t>近年来，烟草行业采购信息化以“统一规划、统一标准、自行建设、全面覆盖”方式逐步完成了两级主体建设，在总公司层面建立了规范管理、机关采购管理等系统，各省级单位具备独立采购管理系统，其中总公司规范管理信息系统和各省级单位采购管理系统依托于行业统一平台的行业传输环境和行业集成环境，已实现数据采集和部分非结构化数据对接。</w:t>
      </w:r>
    </w:p>
    <w:p w14:paraId="1087B0D3">
      <w:pPr>
        <w:spacing w:line="360" w:lineRule="auto"/>
        <w:ind w:firstLine="420"/>
        <w:rPr>
          <w:szCs w:val="21"/>
        </w:rPr>
      </w:pPr>
      <w:r>
        <w:rPr>
          <w:rFonts w:hint="eastAsia"/>
          <w:szCs w:val="21"/>
        </w:rPr>
        <w:t>聚焦烟草行业采购管理赋能，围绕“流程标准化、业务数字化、监管智能化、采购集中化”的顶层设计和统筹规划，深入分析和评估烟草行业采购管理现状，引入先进的管理理念，科学谋划烟草行业采购体系改进路径和发展规划，形成烟草行业采购机构、采购制度、采购策略、采购监督、采购信息化等规划成果。实现行业采购决策、管理机制、信息技术、制度体系、应用策略等全方位变革和高质量发展，有效提高采购质效、系统防控采购风险。</w:t>
      </w:r>
    </w:p>
    <w:p w14:paraId="4097432B">
      <w:pPr>
        <w:spacing w:line="360" w:lineRule="auto"/>
        <w:ind w:firstLine="420"/>
        <w:rPr>
          <w:rFonts w:hint="eastAsia" w:hAnsi="宋体" w:cs="宋体"/>
          <w:szCs w:val="21"/>
        </w:rPr>
      </w:pPr>
      <w:r>
        <w:rPr>
          <w:rFonts w:hint="eastAsia"/>
          <w:szCs w:val="21"/>
        </w:rPr>
        <w:t>基于本次规划的背景，我们借鉴以下理念：转变管理观念，加强顶层规划；优化组织体系，改进资源配置；提升标准规范，强化业务支撑；梳理采购品类，研究细分策略；完善需求计划，实现闭环管控；改进供应商管理，推动融通共链；健全考核评价，引导绩效提升；升级业务平台，支撑数字化转型；增强供应链韧性，打造绿色生态圈。全力推进烟草行业绿色转型开新局，创新驱动开新局，提质增效开新局。大力强化产业协同，统筹规划物资供应保障体系，优化营商环境，健全完善物资与采购全周期监管体系，着力打造烟草行业稳定可靠、现代智慧供应链。</w:t>
      </w:r>
    </w:p>
    <w:p w14:paraId="05F89FE1">
      <w:pPr>
        <w:pStyle w:val="5"/>
        <w:rPr>
          <w:rFonts w:hint="eastAsia" w:ascii="宋体" w:hAnsi="宋体"/>
        </w:rPr>
      </w:pPr>
      <w:bookmarkStart w:id="310" w:name="_Toc180265690"/>
      <w:r>
        <w:rPr>
          <w:rFonts w:hint="eastAsia" w:ascii="宋体" w:hAnsi="宋体"/>
        </w:rPr>
        <w:t>规划团队</w:t>
      </w:r>
      <w:bookmarkEnd w:id="310"/>
      <w:r>
        <w:rPr>
          <w:rFonts w:hint="eastAsia" w:ascii="宋体" w:hAnsi="宋体"/>
        </w:rPr>
        <w:t xml:space="preserve"> </w:t>
      </w:r>
    </w:p>
    <w:p w14:paraId="2E1A2F0A">
      <w:pPr>
        <w:pStyle w:val="6"/>
        <w:rPr>
          <w:szCs w:val="24"/>
        </w:rPr>
      </w:pPr>
      <w:bookmarkStart w:id="311" w:name="_Toc180265691"/>
      <w:r>
        <w:rPr>
          <w:rFonts w:hint="eastAsia" w:ascii="宋体" w:hAnsi="宋体"/>
          <w:szCs w:val="24"/>
        </w:rPr>
        <w:t>团</w:t>
      </w:r>
      <w:r>
        <w:rPr>
          <w:rFonts w:hint="eastAsia"/>
          <w:szCs w:val="24"/>
        </w:rPr>
        <w:t>队人员配置</w:t>
      </w:r>
      <w:bookmarkEnd w:id="311"/>
    </w:p>
    <w:p w14:paraId="3D8B643B">
      <w:pPr>
        <w:spacing w:line="360" w:lineRule="auto"/>
        <w:ind w:firstLine="420"/>
        <w:rPr>
          <w:szCs w:val="21"/>
        </w:rPr>
      </w:pPr>
      <w:r>
        <w:rPr>
          <w:rFonts w:hint="eastAsia"/>
          <w:szCs w:val="21"/>
        </w:rPr>
        <w:t>根据本项目需要，项目团队配备9人，其中团队负责人1人，资深专家共3人（采购领域资深专家2人，信息化领域资深专家1人）。其他团队成员5人，全部具备采购或信息化中级及以上职称。</w:t>
      </w:r>
    </w:p>
    <w:p w14:paraId="2790FDDB">
      <w:pPr>
        <w:spacing w:line="360" w:lineRule="auto"/>
        <w:ind w:firstLine="420"/>
        <w:rPr>
          <w:rFonts w:hint="eastAsia" w:hAnsi="宋体" w:cs="宋体"/>
          <w:szCs w:val="21"/>
        </w:rPr>
      </w:pPr>
      <w:r>
        <w:rPr>
          <w:rFonts w:hint="eastAsia"/>
          <w:szCs w:val="21"/>
        </w:rPr>
        <w:t>团队负责人具备多年项目管理经验，参与过大型国企及重大国家项目平台运行保障工作。采购领域专家具备丰富的采购管理经验，了解采购领域动态和发展趋势，作为核心成员参加过招标投标法、政府采购相关法律法规、评审专家管理办法等相关规范的起草、制定、修订工作。信息化领域专家参与过财政部、发改委等部委电子招标相关的技术规范制定工作，作为核心成员在多个大型国家项目中担任要职。同时，团队成员具备丰富的行业经验和知识储备，能够提供高水平的策划和解决方案。成员之间协调沟通和服务意识强，可有效保障项目成果的及时高效输出和实施落地</w:t>
      </w:r>
      <w:r>
        <w:rPr>
          <w:rFonts w:hint="eastAsia" w:hAnsi="宋体" w:cs="宋体"/>
          <w:szCs w:val="21"/>
        </w:rPr>
        <w:t>。</w:t>
      </w:r>
    </w:p>
    <w:p w14:paraId="00678CE9">
      <w:pPr>
        <w:pStyle w:val="2"/>
        <w:spacing w:line="360" w:lineRule="auto"/>
        <w:ind w:left="0" w:leftChars="0"/>
        <w:rPr>
          <w:rFonts w:hint="eastAsia" w:hAnsi="宋体" w:cs="宋体"/>
          <w:szCs w:val="21"/>
        </w:rPr>
      </w:pPr>
      <w:r>
        <w:rPr>
          <w:rFonts w:hint="eastAsia" w:hAnsi="宋体" w:cs="宋体"/>
          <w:szCs w:val="21"/>
        </w:rPr>
        <w:t>团队成员配置详情如下：</w:t>
      </w:r>
    </w:p>
    <w:tbl>
      <w:tblPr>
        <w:tblStyle w:val="40"/>
        <w:tblpPr w:leftFromText="180" w:rightFromText="180" w:vertAnchor="text" w:horzAnchor="page" w:tblpXSpec="center" w:tblpY="177"/>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3"/>
        <w:gridCol w:w="764"/>
        <w:gridCol w:w="478"/>
        <w:gridCol w:w="530"/>
        <w:gridCol w:w="1252"/>
        <w:gridCol w:w="5045"/>
      </w:tblGrid>
      <w:tr w14:paraId="08BCC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0" w:type="auto"/>
            <w:vAlign w:val="center"/>
          </w:tcPr>
          <w:p w14:paraId="1F956BA9">
            <w:pPr>
              <w:pStyle w:val="15"/>
              <w:ind w:firstLine="0"/>
              <w:rPr>
                <w:rFonts w:hint="eastAsia" w:hAnsi="宋体" w:cs="宋体"/>
                <w:b/>
                <w:bCs/>
                <w:szCs w:val="21"/>
              </w:rPr>
            </w:pPr>
            <w:r>
              <w:rPr>
                <w:rFonts w:hint="eastAsia" w:hAnsi="宋体" w:cs="宋体"/>
                <w:b/>
                <w:bCs/>
                <w:szCs w:val="21"/>
              </w:rPr>
              <w:t>序号</w:t>
            </w:r>
          </w:p>
        </w:tc>
        <w:tc>
          <w:tcPr>
            <w:tcW w:w="0" w:type="auto"/>
            <w:vAlign w:val="center"/>
          </w:tcPr>
          <w:p w14:paraId="425001E5">
            <w:pPr>
              <w:pStyle w:val="15"/>
              <w:ind w:firstLine="0"/>
              <w:rPr>
                <w:rFonts w:hint="eastAsia" w:hAnsi="宋体" w:cs="宋体"/>
                <w:b/>
                <w:bCs/>
                <w:szCs w:val="21"/>
              </w:rPr>
            </w:pPr>
            <w:r>
              <w:rPr>
                <w:rFonts w:hint="eastAsia" w:hAnsi="宋体" w:cs="宋体"/>
                <w:b/>
                <w:bCs/>
                <w:szCs w:val="21"/>
              </w:rPr>
              <w:t>项目角色</w:t>
            </w:r>
          </w:p>
        </w:tc>
        <w:tc>
          <w:tcPr>
            <w:tcW w:w="0" w:type="auto"/>
            <w:vAlign w:val="center"/>
          </w:tcPr>
          <w:p w14:paraId="12658BB4">
            <w:pPr>
              <w:pStyle w:val="15"/>
              <w:ind w:firstLine="0"/>
              <w:rPr>
                <w:rFonts w:hint="eastAsia" w:hAnsi="宋体" w:cs="宋体"/>
                <w:b/>
                <w:bCs/>
                <w:szCs w:val="21"/>
              </w:rPr>
            </w:pPr>
            <w:r>
              <w:rPr>
                <w:rFonts w:hint="eastAsia" w:hAnsi="宋体" w:cs="宋体"/>
                <w:b/>
                <w:bCs/>
                <w:szCs w:val="21"/>
              </w:rPr>
              <w:t>姓名</w:t>
            </w:r>
          </w:p>
        </w:tc>
        <w:tc>
          <w:tcPr>
            <w:tcW w:w="0" w:type="auto"/>
            <w:vAlign w:val="center"/>
          </w:tcPr>
          <w:p w14:paraId="5CAD463D">
            <w:pPr>
              <w:pStyle w:val="15"/>
              <w:ind w:firstLine="0"/>
              <w:rPr>
                <w:rFonts w:hint="eastAsia" w:hAnsi="宋体" w:cs="宋体"/>
                <w:b/>
                <w:bCs/>
                <w:szCs w:val="21"/>
              </w:rPr>
            </w:pPr>
            <w:r>
              <w:rPr>
                <w:rFonts w:hint="eastAsia" w:hAnsi="宋体" w:cs="宋体"/>
                <w:b/>
                <w:bCs/>
                <w:szCs w:val="21"/>
              </w:rPr>
              <w:t>学历</w:t>
            </w:r>
          </w:p>
        </w:tc>
        <w:tc>
          <w:tcPr>
            <w:tcW w:w="0" w:type="auto"/>
            <w:vAlign w:val="center"/>
          </w:tcPr>
          <w:p w14:paraId="7E6C87CB">
            <w:pPr>
              <w:pStyle w:val="15"/>
              <w:ind w:firstLine="0"/>
              <w:rPr>
                <w:rFonts w:hint="eastAsia" w:hAnsi="宋体" w:cs="宋体"/>
                <w:b/>
                <w:bCs/>
                <w:szCs w:val="21"/>
              </w:rPr>
            </w:pPr>
            <w:r>
              <w:rPr>
                <w:rFonts w:hint="eastAsia" w:hAnsi="宋体" w:cs="宋体"/>
                <w:b/>
                <w:bCs/>
                <w:szCs w:val="21"/>
              </w:rPr>
              <w:t>职称/职级</w:t>
            </w:r>
          </w:p>
        </w:tc>
        <w:tc>
          <w:tcPr>
            <w:tcW w:w="0" w:type="auto"/>
            <w:vAlign w:val="center"/>
          </w:tcPr>
          <w:p w14:paraId="24A27DB2">
            <w:pPr>
              <w:pStyle w:val="15"/>
              <w:ind w:firstLine="422"/>
              <w:rPr>
                <w:rFonts w:hint="eastAsia" w:hAnsi="宋体" w:cs="宋体"/>
                <w:b/>
                <w:bCs/>
                <w:szCs w:val="21"/>
              </w:rPr>
            </w:pPr>
            <w:r>
              <w:rPr>
                <w:rFonts w:hint="eastAsia" w:hAnsi="宋体" w:cs="宋体"/>
                <w:b/>
                <w:bCs/>
                <w:szCs w:val="21"/>
              </w:rPr>
              <w:t>相关项目工作经验及年数</w:t>
            </w:r>
          </w:p>
        </w:tc>
      </w:tr>
      <w:tr w14:paraId="3660B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4E4672B2">
            <w:pPr>
              <w:pStyle w:val="15"/>
              <w:ind w:firstLine="0"/>
              <w:rPr>
                <w:rFonts w:hint="eastAsia" w:hAnsi="宋体" w:cs="宋体"/>
                <w:szCs w:val="21"/>
              </w:rPr>
            </w:pPr>
            <w:r>
              <w:rPr>
                <w:rFonts w:hint="eastAsia" w:hAnsi="宋体" w:cs="宋体"/>
                <w:szCs w:val="21"/>
              </w:rPr>
              <w:t>1</w:t>
            </w:r>
          </w:p>
        </w:tc>
        <w:tc>
          <w:tcPr>
            <w:tcW w:w="0" w:type="auto"/>
            <w:vAlign w:val="center"/>
          </w:tcPr>
          <w:p w14:paraId="7FAB027B">
            <w:r>
              <w:rPr>
                <w:rFonts w:hint="eastAsia"/>
              </w:rPr>
              <w:t>团队负责人</w:t>
            </w:r>
          </w:p>
        </w:tc>
        <w:tc>
          <w:tcPr>
            <w:tcW w:w="0" w:type="auto"/>
            <w:vAlign w:val="center"/>
          </w:tcPr>
          <w:p w14:paraId="5E8B377F">
            <w:r>
              <w:rPr>
                <w:rFonts w:hint="eastAsia"/>
              </w:rPr>
              <w:t>赵学真</w:t>
            </w:r>
          </w:p>
        </w:tc>
        <w:tc>
          <w:tcPr>
            <w:tcW w:w="0" w:type="auto"/>
            <w:vAlign w:val="center"/>
          </w:tcPr>
          <w:p w14:paraId="1DDCE512">
            <w:r>
              <w:rPr>
                <w:rFonts w:hint="eastAsia"/>
              </w:rPr>
              <w:t>大学本科</w:t>
            </w:r>
          </w:p>
        </w:tc>
        <w:tc>
          <w:tcPr>
            <w:tcW w:w="0" w:type="auto"/>
            <w:vAlign w:val="center"/>
          </w:tcPr>
          <w:p w14:paraId="3E4CA686">
            <w:r>
              <w:rPr>
                <w:rFonts w:hint="eastAsia"/>
              </w:rPr>
              <w:t>PMP</w:t>
            </w:r>
          </w:p>
        </w:tc>
        <w:tc>
          <w:tcPr>
            <w:tcW w:w="0" w:type="auto"/>
            <w:vAlign w:val="center"/>
          </w:tcPr>
          <w:p w14:paraId="1D9D4B5B">
            <w:pPr>
              <w:ind w:firstLine="420"/>
            </w:pPr>
            <w:r>
              <w:rPr>
                <w:rFonts w:hint="eastAsia"/>
              </w:rPr>
              <w:t>项目管理专业人士（PMP），现任中招联合信息股份有限公司实施总监，负责中招联合电子采购平台用户实施项目规划及管理、平台运营服务管理工作。在信息化系统管理、采购信息化系统实施领域深耕近10年，拥有丰富的企业信息化转型、企业采购规划与信息化系统实施的经验。</w:t>
            </w:r>
            <w:r>
              <w:rPr>
                <w:rFonts w:hint="eastAsia"/>
              </w:rPr>
              <w:br w:type="textWrapping"/>
            </w:r>
            <w:r>
              <w:rPr>
                <w:rFonts w:hint="eastAsia"/>
              </w:rPr>
              <w:t xml:space="preserve">    曾负责和参与南方电网、广东省电力局、山西省电力局、深圳市电力局等单位多个SCADA系统、数据采集与调度仿真系统、区域备自投控制系统的项目管理工作。</w:t>
            </w:r>
            <w:r>
              <w:rPr>
                <w:rFonts w:hint="eastAsia"/>
              </w:rPr>
              <w:br w:type="textWrapping"/>
            </w:r>
            <w:r>
              <w:rPr>
                <w:rFonts w:hint="eastAsia"/>
              </w:rPr>
              <w:t xml:space="preserve">    2015年入职中招联合，全程参与了中招联合电子招标采购平台建设、运营及后续多个重大版本的研发上线工作。2015年至今，作为项目负责人先后完成了中招国际招标有限公司、中信国际招标有限公司等大型国企用户电子招采信息化建设规划及系统实施工作。熟悉电子招采平台相关法律法规，熟悉政府采购、工程招标、设备招标等各类采购规范和采购管理业务流程。疫情期间，作为主要负责人完成了工信部工业互联网专项项目电子全流程采购的实施和保障项目，确保了项目招标采购不受疫情影响顺利完成。</w:t>
            </w:r>
          </w:p>
        </w:tc>
      </w:tr>
      <w:tr w14:paraId="483D8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36A828A7">
            <w:pPr>
              <w:pStyle w:val="15"/>
              <w:ind w:firstLine="0"/>
              <w:rPr>
                <w:rFonts w:hint="eastAsia" w:hAnsi="宋体" w:cs="宋体"/>
                <w:szCs w:val="21"/>
              </w:rPr>
            </w:pPr>
            <w:r>
              <w:rPr>
                <w:rFonts w:hint="eastAsia" w:hAnsi="宋体" w:cs="宋体"/>
                <w:szCs w:val="21"/>
              </w:rPr>
              <w:t>2</w:t>
            </w:r>
          </w:p>
        </w:tc>
        <w:tc>
          <w:tcPr>
            <w:tcW w:w="0" w:type="auto"/>
            <w:vAlign w:val="center"/>
          </w:tcPr>
          <w:p w14:paraId="6C2C5A58">
            <w:pPr>
              <w:pStyle w:val="15"/>
              <w:ind w:firstLine="0"/>
              <w:rPr>
                <w:rFonts w:hint="eastAsia" w:hAnsi="宋体" w:cs="宋体"/>
                <w:szCs w:val="21"/>
              </w:rPr>
            </w:pPr>
            <w:r>
              <w:rPr>
                <w:rFonts w:hint="eastAsia" w:hAnsi="宋体" w:cs="宋体"/>
                <w:szCs w:val="21"/>
              </w:rPr>
              <w:t>资深专家</w:t>
            </w:r>
          </w:p>
          <w:p w14:paraId="7C92CD56">
            <w:pPr>
              <w:pStyle w:val="15"/>
              <w:ind w:firstLine="0"/>
              <w:rPr>
                <w:rFonts w:hint="eastAsia" w:hAnsi="宋体" w:cs="宋体"/>
                <w:szCs w:val="21"/>
              </w:rPr>
            </w:pPr>
            <w:r>
              <w:rPr>
                <w:rFonts w:hint="eastAsia" w:hAnsi="宋体" w:cs="宋体"/>
                <w:szCs w:val="21"/>
              </w:rPr>
              <w:t>（采购领域）</w:t>
            </w:r>
          </w:p>
        </w:tc>
        <w:tc>
          <w:tcPr>
            <w:tcW w:w="0" w:type="auto"/>
            <w:vAlign w:val="center"/>
          </w:tcPr>
          <w:p w14:paraId="26DC67B0">
            <w:pPr>
              <w:pStyle w:val="15"/>
              <w:ind w:firstLine="0"/>
              <w:rPr>
                <w:rFonts w:hint="eastAsia" w:hAnsi="宋体" w:cs="宋体"/>
                <w:szCs w:val="21"/>
              </w:rPr>
            </w:pPr>
            <w:r>
              <w:rPr>
                <w:rFonts w:hint="eastAsia" w:hAnsi="宋体" w:cs="宋体"/>
                <w:szCs w:val="21"/>
              </w:rPr>
              <w:t>白会宜</w:t>
            </w:r>
          </w:p>
        </w:tc>
        <w:tc>
          <w:tcPr>
            <w:tcW w:w="0" w:type="auto"/>
            <w:vAlign w:val="center"/>
          </w:tcPr>
          <w:p w14:paraId="70827FC2">
            <w:pPr>
              <w:pStyle w:val="15"/>
              <w:ind w:firstLine="0"/>
              <w:rPr>
                <w:rFonts w:hint="eastAsia" w:hAnsi="宋体" w:cs="宋体"/>
                <w:szCs w:val="21"/>
              </w:rPr>
            </w:pPr>
            <w:r>
              <w:rPr>
                <w:rFonts w:hint="eastAsia" w:hAnsi="宋体" w:cs="宋体"/>
                <w:szCs w:val="21"/>
              </w:rPr>
              <w:t>在职研究生</w:t>
            </w:r>
          </w:p>
        </w:tc>
        <w:tc>
          <w:tcPr>
            <w:tcW w:w="0" w:type="auto"/>
            <w:vAlign w:val="center"/>
          </w:tcPr>
          <w:p w14:paraId="596C37DA">
            <w:pPr>
              <w:pStyle w:val="15"/>
              <w:ind w:firstLine="0"/>
              <w:rPr>
                <w:rFonts w:hint="eastAsia" w:hAnsi="宋体" w:cs="宋体"/>
                <w:szCs w:val="21"/>
              </w:rPr>
            </w:pPr>
            <w:r>
              <w:rPr>
                <w:rFonts w:hint="eastAsia" w:hAnsi="宋体" w:cs="宋体"/>
                <w:szCs w:val="21"/>
              </w:rPr>
              <w:t>高级经济师</w:t>
            </w:r>
          </w:p>
          <w:p w14:paraId="27A78222">
            <w:pPr>
              <w:pStyle w:val="15"/>
              <w:ind w:firstLine="0"/>
              <w:rPr>
                <w:rFonts w:hint="eastAsia" w:hAnsi="宋体" w:cs="宋体"/>
                <w:szCs w:val="21"/>
              </w:rPr>
            </w:pPr>
            <w:r>
              <w:rPr>
                <w:rFonts w:hint="eastAsia" w:hAnsi="宋体" w:cs="宋体"/>
                <w:szCs w:val="21"/>
              </w:rPr>
              <w:t>正局级</w:t>
            </w:r>
          </w:p>
        </w:tc>
        <w:tc>
          <w:tcPr>
            <w:tcW w:w="0" w:type="auto"/>
            <w:vAlign w:val="center"/>
          </w:tcPr>
          <w:p w14:paraId="60382752">
            <w:pPr>
              <w:pStyle w:val="15"/>
              <w:rPr>
                <w:rFonts w:hint="eastAsia" w:hAnsi="宋体" w:cs="宋体"/>
                <w:szCs w:val="21"/>
              </w:rPr>
            </w:pPr>
            <w:r>
              <w:rPr>
                <w:rFonts w:hint="eastAsia" w:hAnsi="宋体" w:cs="宋体"/>
                <w:szCs w:val="21"/>
              </w:rPr>
              <w:t>工业和信息化部高级经济师评委会主任，中国机电设备工程协会会长，中国招标投标协会副会长，原中国机电设备招标中心（工信部政采中心）主任。曾任中招国际招标有限公司总裁、监事会主席、董事长。</w:t>
            </w:r>
          </w:p>
          <w:p w14:paraId="65494DE0">
            <w:pPr>
              <w:pStyle w:val="15"/>
              <w:rPr>
                <w:rFonts w:hint="eastAsia" w:hAnsi="宋体" w:cs="宋体"/>
                <w:szCs w:val="21"/>
              </w:rPr>
            </w:pPr>
            <w:r>
              <w:rPr>
                <w:rFonts w:hint="eastAsia" w:hAnsi="宋体" w:cs="宋体"/>
                <w:szCs w:val="21"/>
              </w:rPr>
              <w:t>在招标行业工作30多年，曾作为核心成员推动并参与我国招标投标法的起草，多个国家有关部门招标采购制度办法的起草制订。参与了招标行业标准规范的制订。开拓并参与组织了我国政府采购第一标。参与组织了多项基建技改及国际项目招标。90年代初参与了烟草行业烟机设备的引进招标等工作。</w:t>
            </w:r>
          </w:p>
        </w:tc>
      </w:tr>
      <w:tr w14:paraId="0411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7BCF0360">
            <w:pPr>
              <w:pStyle w:val="15"/>
              <w:ind w:firstLine="0"/>
              <w:rPr>
                <w:rFonts w:hint="eastAsia" w:hAnsi="宋体" w:cs="宋体"/>
                <w:szCs w:val="21"/>
              </w:rPr>
            </w:pPr>
            <w:r>
              <w:rPr>
                <w:rFonts w:hint="eastAsia" w:hAnsi="宋体" w:cs="宋体"/>
                <w:szCs w:val="21"/>
              </w:rPr>
              <w:t>3</w:t>
            </w:r>
          </w:p>
        </w:tc>
        <w:tc>
          <w:tcPr>
            <w:tcW w:w="0" w:type="auto"/>
            <w:vAlign w:val="center"/>
          </w:tcPr>
          <w:p w14:paraId="4FC16AB7">
            <w:pPr>
              <w:pStyle w:val="15"/>
              <w:ind w:firstLine="0"/>
              <w:rPr>
                <w:rFonts w:hint="eastAsia" w:hAnsi="宋体" w:cs="宋体"/>
                <w:szCs w:val="21"/>
              </w:rPr>
            </w:pPr>
            <w:r>
              <w:rPr>
                <w:rFonts w:hint="eastAsia" w:hAnsi="宋体" w:cs="宋体"/>
                <w:szCs w:val="21"/>
              </w:rPr>
              <w:t>资深专家</w:t>
            </w:r>
          </w:p>
          <w:p w14:paraId="4A27DD99">
            <w:pPr>
              <w:pStyle w:val="15"/>
              <w:ind w:firstLine="0"/>
              <w:rPr>
                <w:rFonts w:hint="eastAsia" w:hAnsi="宋体" w:cs="宋体"/>
                <w:szCs w:val="21"/>
              </w:rPr>
            </w:pPr>
            <w:r>
              <w:rPr>
                <w:rFonts w:hint="eastAsia" w:hAnsi="宋体" w:cs="宋体"/>
                <w:szCs w:val="21"/>
              </w:rPr>
              <w:t>（采购领域）</w:t>
            </w:r>
          </w:p>
        </w:tc>
        <w:tc>
          <w:tcPr>
            <w:tcW w:w="0" w:type="auto"/>
            <w:vAlign w:val="center"/>
          </w:tcPr>
          <w:p w14:paraId="766D1EBB">
            <w:pPr>
              <w:pStyle w:val="15"/>
              <w:ind w:firstLine="0"/>
              <w:rPr>
                <w:rFonts w:hint="eastAsia" w:hAnsi="宋体" w:cs="宋体"/>
                <w:szCs w:val="21"/>
              </w:rPr>
            </w:pPr>
            <w:r>
              <w:rPr>
                <w:rFonts w:hint="eastAsia" w:hAnsi="宋体" w:cs="宋体"/>
                <w:szCs w:val="21"/>
              </w:rPr>
              <w:t>胡杰</w:t>
            </w:r>
          </w:p>
        </w:tc>
        <w:tc>
          <w:tcPr>
            <w:tcW w:w="0" w:type="auto"/>
            <w:vAlign w:val="center"/>
          </w:tcPr>
          <w:p w14:paraId="5340D834">
            <w:pPr>
              <w:pStyle w:val="15"/>
              <w:ind w:firstLine="0"/>
              <w:rPr>
                <w:rFonts w:hint="eastAsia" w:hAnsi="宋体" w:cs="宋体"/>
                <w:szCs w:val="21"/>
              </w:rPr>
            </w:pPr>
            <w:r>
              <w:rPr>
                <w:rFonts w:hint="eastAsia" w:hAnsi="宋体" w:cs="宋体"/>
                <w:szCs w:val="21"/>
              </w:rPr>
              <w:t>大学本科</w:t>
            </w:r>
          </w:p>
        </w:tc>
        <w:tc>
          <w:tcPr>
            <w:tcW w:w="0" w:type="auto"/>
            <w:vAlign w:val="center"/>
          </w:tcPr>
          <w:p w14:paraId="79B32EDC">
            <w:pPr>
              <w:pStyle w:val="15"/>
              <w:ind w:firstLine="0"/>
              <w:rPr>
                <w:rFonts w:hint="eastAsia" w:hAnsi="宋体" w:cs="宋体"/>
                <w:szCs w:val="21"/>
              </w:rPr>
            </w:pPr>
            <w:r>
              <w:rPr>
                <w:rFonts w:hint="eastAsia" w:hAnsi="宋体" w:cs="宋体"/>
                <w:szCs w:val="21"/>
              </w:rPr>
              <w:t>高级工程师</w:t>
            </w:r>
          </w:p>
        </w:tc>
        <w:tc>
          <w:tcPr>
            <w:tcW w:w="0" w:type="auto"/>
            <w:vAlign w:val="center"/>
          </w:tcPr>
          <w:p w14:paraId="6A19A44E">
            <w:pPr>
              <w:pStyle w:val="15"/>
              <w:rPr>
                <w:rFonts w:hint="eastAsia" w:hAnsi="宋体" w:cs="宋体"/>
                <w:szCs w:val="21"/>
              </w:rPr>
            </w:pPr>
            <w:r>
              <w:rPr>
                <w:rFonts w:hint="eastAsia" w:hAnsi="宋体" w:cs="宋体"/>
                <w:szCs w:val="21"/>
              </w:rPr>
              <w:t>原中招国际招标有限公司党总支书记兼副总裁，从事招标采购工作30余年。</w:t>
            </w:r>
          </w:p>
          <w:p w14:paraId="74C1443C">
            <w:pPr>
              <w:pStyle w:val="15"/>
              <w:rPr>
                <w:rFonts w:hint="eastAsia" w:hAnsi="宋体" w:cs="宋体"/>
                <w:szCs w:val="21"/>
              </w:rPr>
            </w:pPr>
            <w:r>
              <w:rPr>
                <w:rFonts w:hint="eastAsia" w:hAnsi="宋体" w:cs="宋体"/>
                <w:szCs w:val="21"/>
              </w:rPr>
              <w:t>作为项目负责人完成了长江三峡水利枢纽一期施工设备招标和二期施工方案及设备国际招标、中国国家大剧院舞台机械设备国际招标、公安部全国公安干警九九式警服换装招标等大量招标采购项目，具有丰富的招标采购实践和管理经验。</w:t>
            </w:r>
          </w:p>
          <w:p w14:paraId="3563B453">
            <w:pPr>
              <w:pStyle w:val="15"/>
              <w:rPr>
                <w:rFonts w:hint="eastAsia" w:hAnsi="宋体" w:cs="宋体"/>
                <w:szCs w:val="21"/>
              </w:rPr>
            </w:pPr>
            <w:r>
              <w:rPr>
                <w:rFonts w:hint="eastAsia" w:hAnsi="宋体" w:cs="宋体"/>
                <w:szCs w:val="21"/>
              </w:rPr>
              <w:t>作为核心人员参与了国家发展改革委组织的《标准施工招标文件》起草编制工作；财政部《政府采购非招标采购方式管理办法》、《政府采购货物和服务招标投标管理办法》、《政府采购评审专家管理办法》等部门规章和文件的起草工作。</w:t>
            </w:r>
          </w:p>
          <w:p w14:paraId="4D0997D0">
            <w:pPr>
              <w:pStyle w:val="15"/>
              <w:rPr>
                <w:rFonts w:hint="eastAsia" w:hAnsi="宋体" w:cs="宋体"/>
                <w:szCs w:val="21"/>
              </w:rPr>
            </w:pPr>
            <w:r>
              <w:rPr>
                <w:rFonts w:hint="eastAsia" w:hAnsi="宋体" w:cs="宋体"/>
                <w:szCs w:val="21"/>
              </w:rPr>
              <w:t>2003年被国家经贸委授予“2001-2002年度工商领域企业固定资产投资项目招标工作先进个人”称号。</w:t>
            </w:r>
          </w:p>
        </w:tc>
      </w:tr>
      <w:tr w14:paraId="3334D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3CFA3FAB">
            <w:pPr>
              <w:pStyle w:val="15"/>
              <w:ind w:firstLine="0"/>
              <w:rPr>
                <w:rFonts w:hint="eastAsia" w:hAnsi="宋体" w:cs="宋体"/>
                <w:szCs w:val="21"/>
              </w:rPr>
            </w:pPr>
            <w:r>
              <w:rPr>
                <w:rFonts w:hint="eastAsia" w:hAnsi="宋体" w:cs="宋体"/>
                <w:szCs w:val="21"/>
              </w:rPr>
              <w:t>4</w:t>
            </w:r>
          </w:p>
        </w:tc>
        <w:tc>
          <w:tcPr>
            <w:tcW w:w="0" w:type="auto"/>
            <w:vAlign w:val="center"/>
          </w:tcPr>
          <w:p w14:paraId="6769558A">
            <w:pPr>
              <w:pStyle w:val="15"/>
              <w:ind w:firstLine="0"/>
              <w:rPr>
                <w:rFonts w:hint="eastAsia" w:hAnsi="宋体" w:cs="宋体"/>
                <w:szCs w:val="21"/>
              </w:rPr>
            </w:pPr>
            <w:r>
              <w:rPr>
                <w:rFonts w:hint="eastAsia" w:hAnsi="宋体" w:cs="宋体"/>
                <w:szCs w:val="21"/>
              </w:rPr>
              <w:t>资深专家</w:t>
            </w:r>
          </w:p>
          <w:p w14:paraId="4F0387D7">
            <w:pPr>
              <w:pStyle w:val="15"/>
              <w:ind w:firstLine="0"/>
              <w:rPr>
                <w:rFonts w:hint="eastAsia" w:hAnsi="宋体" w:cs="宋体"/>
                <w:szCs w:val="21"/>
              </w:rPr>
            </w:pPr>
            <w:r>
              <w:rPr>
                <w:rFonts w:hint="eastAsia" w:hAnsi="宋体" w:cs="宋体"/>
                <w:szCs w:val="21"/>
              </w:rPr>
              <w:t>（信息化领域）</w:t>
            </w:r>
          </w:p>
        </w:tc>
        <w:tc>
          <w:tcPr>
            <w:tcW w:w="0" w:type="auto"/>
            <w:vAlign w:val="center"/>
          </w:tcPr>
          <w:p w14:paraId="557F34D8">
            <w:pPr>
              <w:pStyle w:val="15"/>
              <w:ind w:firstLine="0"/>
              <w:rPr>
                <w:rFonts w:hint="eastAsia" w:hAnsi="宋体" w:cs="宋体"/>
                <w:szCs w:val="21"/>
              </w:rPr>
            </w:pPr>
            <w:r>
              <w:rPr>
                <w:rFonts w:hint="eastAsia" w:hAnsi="宋体" w:cs="宋体"/>
                <w:szCs w:val="21"/>
              </w:rPr>
              <w:t>刘永青</w:t>
            </w:r>
          </w:p>
        </w:tc>
        <w:tc>
          <w:tcPr>
            <w:tcW w:w="0" w:type="auto"/>
            <w:vAlign w:val="center"/>
          </w:tcPr>
          <w:p w14:paraId="0C1B3856">
            <w:pPr>
              <w:pStyle w:val="15"/>
              <w:ind w:firstLine="0"/>
              <w:rPr>
                <w:rFonts w:hint="eastAsia" w:hAnsi="宋体" w:cs="宋体"/>
                <w:szCs w:val="21"/>
              </w:rPr>
            </w:pPr>
            <w:r>
              <w:rPr>
                <w:rFonts w:hint="eastAsia" w:hAnsi="宋体" w:cs="宋体"/>
                <w:szCs w:val="21"/>
              </w:rPr>
              <w:t>硕士研究生</w:t>
            </w:r>
          </w:p>
        </w:tc>
        <w:tc>
          <w:tcPr>
            <w:tcW w:w="0" w:type="auto"/>
            <w:vAlign w:val="center"/>
          </w:tcPr>
          <w:p w14:paraId="0B4CE402">
            <w:pPr>
              <w:pStyle w:val="15"/>
              <w:ind w:firstLine="0"/>
              <w:rPr>
                <w:rFonts w:hint="eastAsia" w:hAnsi="宋体" w:cs="宋体"/>
                <w:szCs w:val="21"/>
              </w:rPr>
            </w:pPr>
            <w:r>
              <w:rPr>
                <w:rFonts w:hint="eastAsia" w:hAnsi="宋体" w:cs="宋体"/>
                <w:szCs w:val="21"/>
              </w:rPr>
              <w:t>高级</w:t>
            </w:r>
            <w:r>
              <w:rPr>
                <w:rFonts w:hAnsi="宋体" w:cs="宋体"/>
                <w:szCs w:val="21"/>
              </w:rPr>
              <w:t>信息系统项目管理师（计算机技术与软件</w:t>
            </w:r>
            <w:r>
              <w:rPr>
                <w:rFonts w:hint="eastAsia" w:hAnsi="宋体" w:cs="宋体"/>
                <w:szCs w:val="21"/>
              </w:rPr>
              <w:t>高级工程师</w:t>
            </w:r>
            <w:r>
              <w:rPr>
                <w:rFonts w:hAnsi="宋体" w:cs="宋体"/>
                <w:szCs w:val="21"/>
              </w:rPr>
              <w:t>）</w:t>
            </w:r>
          </w:p>
        </w:tc>
        <w:tc>
          <w:tcPr>
            <w:tcW w:w="0" w:type="auto"/>
            <w:vAlign w:val="center"/>
          </w:tcPr>
          <w:p w14:paraId="1FD3CD03">
            <w:pPr>
              <w:pStyle w:val="15"/>
              <w:rPr>
                <w:rFonts w:hint="eastAsia" w:hAnsi="宋体" w:cs="宋体"/>
                <w:szCs w:val="21"/>
              </w:rPr>
            </w:pPr>
            <w:r>
              <w:rPr>
                <w:rFonts w:hint="eastAsia" w:hAnsi="宋体" w:cs="宋体"/>
                <w:szCs w:val="21"/>
              </w:rPr>
              <w:t>软件硕士、工商管理硕士，中招联合信息股份有限公司副总裁。从事电子化招标采购软件开发、架构设计、软件工程管理十几年，拥有信息系统项目管理师（高级）资格、国家招标师职业水平证书、系统集成高级项目经理资质，在企事业单位信息化、电子商务、供应链管理尤其电子招投标系统方面有着深厚的技术和业务积淀。</w:t>
            </w:r>
          </w:p>
          <w:p w14:paraId="1B6CACFB">
            <w:pPr>
              <w:pStyle w:val="15"/>
              <w:rPr>
                <w:rFonts w:hint="eastAsia" w:hAnsi="宋体" w:cs="宋体"/>
                <w:szCs w:val="21"/>
              </w:rPr>
            </w:pPr>
            <w:r>
              <w:rPr>
                <w:rFonts w:hint="eastAsia" w:hAnsi="宋体" w:cs="宋体"/>
                <w:szCs w:val="21"/>
              </w:rPr>
              <w:t>作为核心人员多次参于财政部、发改委、商务部有关电子招标、评审专家库建设方面的技术规范研讨会和规范制定工作，并先后在中直机关、国采中心、国家开发银行、南方电网、神华集团、中国核电、中国太平、中国人寿等十几个大型电子化招标采购信息化建设项目中担任首席设计师、项目经理、项目总监等职位。</w:t>
            </w:r>
          </w:p>
        </w:tc>
      </w:tr>
      <w:tr w14:paraId="054DC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0D56ED27">
            <w:pPr>
              <w:pStyle w:val="15"/>
              <w:ind w:firstLine="0"/>
              <w:rPr>
                <w:rFonts w:hint="eastAsia" w:hAnsi="宋体" w:cs="宋体"/>
                <w:szCs w:val="21"/>
              </w:rPr>
            </w:pPr>
            <w:r>
              <w:rPr>
                <w:rFonts w:hint="eastAsia" w:hAnsi="宋体" w:cs="宋体"/>
                <w:szCs w:val="21"/>
              </w:rPr>
              <w:t>5</w:t>
            </w:r>
          </w:p>
        </w:tc>
        <w:tc>
          <w:tcPr>
            <w:tcW w:w="0" w:type="auto"/>
            <w:vAlign w:val="center"/>
          </w:tcPr>
          <w:p w14:paraId="5AD4B5BA">
            <w:pPr>
              <w:pStyle w:val="15"/>
              <w:ind w:firstLine="0"/>
              <w:rPr>
                <w:rFonts w:hint="eastAsia" w:hAnsi="宋体" w:cs="宋体"/>
                <w:szCs w:val="21"/>
              </w:rPr>
            </w:pPr>
            <w:r>
              <w:rPr>
                <w:rFonts w:hint="eastAsia" w:hAnsi="宋体" w:cs="宋体"/>
                <w:szCs w:val="21"/>
              </w:rPr>
              <w:t>团队成员</w:t>
            </w:r>
          </w:p>
        </w:tc>
        <w:tc>
          <w:tcPr>
            <w:tcW w:w="0" w:type="auto"/>
            <w:vAlign w:val="center"/>
          </w:tcPr>
          <w:p w14:paraId="2D4C8221">
            <w:pPr>
              <w:pStyle w:val="15"/>
              <w:ind w:firstLine="0"/>
              <w:rPr>
                <w:rFonts w:hint="eastAsia" w:hAnsi="宋体" w:cs="宋体"/>
                <w:szCs w:val="21"/>
              </w:rPr>
            </w:pPr>
            <w:r>
              <w:rPr>
                <w:rFonts w:hint="eastAsia" w:hAnsi="宋体" w:cs="宋体"/>
                <w:szCs w:val="21"/>
              </w:rPr>
              <w:t>黄志勇</w:t>
            </w:r>
          </w:p>
        </w:tc>
        <w:tc>
          <w:tcPr>
            <w:tcW w:w="0" w:type="auto"/>
            <w:vAlign w:val="center"/>
          </w:tcPr>
          <w:p w14:paraId="6B28F27E">
            <w:pPr>
              <w:pStyle w:val="15"/>
              <w:ind w:firstLine="0"/>
              <w:rPr>
                <w:rFonts w:hint="eastAsia" w:hAnsi="宋体" w:cs="宋体"/>
                <w:szCs w:val="21"/>
              </w:rPr>
            </w:pPr>
            <w:r>
              <w:rPr>
                <w:rFonts w:hint="eastAsia" w:hAnsi="宋体" w:cs="宋体"/>
                <w:szCs w:val="21"/>
              </w:rPr>
              <w:t>硕士研究生</w:t>
            </w:r>
          </w:p>
        </w:tc>
        <w:tc>
          <w:tcPr>
            <w:tcW w:w="0" w:type="auto"/>
            <w:vAlign w:val="center"/>
          </w:tcPr>
          <w:p w14:paraId="1CEBC90E">
            <w:pPr>
              <w:pStyle w:val="15"/>
              <w:ind w:firstLine="0"/>
              <w:rPr>
                <w:rFonts w:hint="eastAsia" w:hAnsi="宋体" w:cs="宋体"/>
                <w:szCs w:val="21"/>
              </w:rPr>
            </w:pPr>
            <w:r>
              <w:rPr>
                <w:rFonts w:hint="eastAsia" w:hAnsi="宋体" w:cs="宋体"/>
                <w:szCs w:val="21"/>
              </w:rPr>
              <w:t>高级工程师</w:t>
            </w:r>
          </w:p>
          <w:p w14:paraId="1C8CEC8A">
            <w:pPr>
              <w:pStyle w:val="15"/>
              <w:ind w:firstLine="0"/>
              <w:rPr>
                <w:rFonts w:hint="eastAsia" w:hAnsi="宋体" w:cs="宋体"/>
                <w:szCs w:val="21"/>
              </w:rPr>
            </w:pPr>
            <w:r>
              <w:rPr>
                <w:rFonts w:hint="eastAsia" w:hAnsi="宋体" w:cs="宋体"/>
                <w:szCs w:val="21"/>
              </w:rPr>
              <w:t>注册一级造价师</w:t>
            </w:r>
          </w:p>
        </w:tc>
        <w:tc>
          <w:tcPr>
            <w:tcW w:w="0" w:type="auto"/>
            <w:vAlign w:val="center"/>
          </w:tcPr>
          <w:p w14:paraId="655B246D">
            <w:pPr>
              <w:pStyle w:val="15"/>
              <w:rPr>
                <w:rFonts w:hint="eastAsia" w:hAnsi="宋体" w:cs="宋体"/>
                <w:szCs w:val="21"/>
              </w:rPr>
            </w:pPr>
            <w:r>
              <w:rPr>
                <w:rFonts w:hint="eastAsia" w:hAnsi="宋体" w:cs="宋体"/>
                <w:szCs w:val="21"/>
              </w:rPr>
              <w:t>中招国际招标有限公司副总裁，硕士研究生，高级工程师，注册一级造价师，参与相关工作20年。</w:t>
            </w:r>
          </w:p>
          <w:p w14:paraId="74914F92">
            <w:pPr>
              <w:pStyle w:val="15"/>
              <w:rPr>
                <w:rFonts w:hint="eastAsia" w:hAnsi="宋体" w:cs="宋体"/>
                <w:szCs w:val="21"/>
              </w:rPr>
            </w:pPr>
            <w:r>
              <w:rPr>
                <w:rFonts w:hint="eastAsia" w:hAnsi="宋体" w:cs="宋体"/>
                <w:szCs w:val="21"/>
              </w:rPr>
              <w:t>多次参与财政部、商务部、工信部等部委各项管理制度起草课题工作。参加财政部《政府采购代理机构资格认定办法》修订；《政府采购非招标采购方式管理办法》的制定；《政府采购法实施条例释义》编写；《关于加强政府采购活动内部控制管理的指导意见》的制定；《政府采购代理机构监督管理办法》的制定；《政府采购需求管理办法》的制定；《政府采购框架协议采购管理办法》的制定。</w:t>
            </w:r>
          </w:p>
          <w:p w14:paraId="05A69C6A">
            <w:pPr>
              <w:pStyle w:val="15"/>
              <w:rPr>
                <w:rFonts w:hint="eastAsia" w:hAnsi="宋体" w:cs="宋体"/>
                <w:szCs w:val="21"/>
              </w:rPr>
            </w:pPr>
            <w:r>
              <w:rPr>
                <w:rFonts w:hint="eastAsia" w:hAnsi="宋体" w:cs="宋体"/>
                <w:szCs w:val="21"/>
              </w:rPr>
              <w:t>参加商务部《机电产品国际招标代理机构监督管理办法》的制定；《机电产品国际招标投标实施办法》的修订。参加工信部《通信工程建设项目招标投标管理办法》的修订；《招标代理机构行为规范》的编写；《招标从业人员培训教材》的编写。参加中国招标投标协会《招标采购代理规范》和《非招标采购代理规范》编写。</w:t>
            </w:r>
          </w:p>
          <w:p w14:paraId="63CB3219">
            <w:pPr>
              <w:pStyle w:val="15"/>
              <w:rPr>
                <w:rFonts w:hint="eastAsia" w:hAnsi="宋体" w:cs="宋体"/>
                <w:szCs w:val="21"/>
              </w:rPr>
            </w:pPr>
            <w:r>
              <w:rPr>
                <w:rFonts w:hint="eastAsia" w:hAnsi="宋体" w:cs="宋体"/>
                <w:szCs w:val="21"/>
              </w:rPr>
              <w:t>对全国政协、工信部、国家质检总局、中国红十字会、团中央、中国管网集团、中国医学科学院等机构进行采购业务培训。</w:t>
            </w:r>
          </w:p>
        </w:tc>
      </w:tr>
      <w:tr w14:paraId="1DA64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14D6B6EA">
            <w:pPr>
              <w:pStyle w:val="15"/>
              <w:ind w:firstLine="0"/>
              <w:rPr>
                <w:rFonts w:hint="eastAsia" w:hAnsi="宋体" w:cs="宋体"/>
                <w:szCs w:val="21"/>
              </w:rPr>
            </w:pPr>
            <w:r>
              <w:rPr>
                <w:rFonts w:hint="eastAsia" w:hAnsi="宋体" w:cs="宋体"/>
                <w:szCs w:val="21"/>
              </w:rPr>
              <w:t>6</w:t>
            </w:r>
          </w:p>
        </w:tc>
        <w:tc>
          <w:tcPr>
            <w:tcW w:w="0" w:type="auto"/>
            <w:vAlign w:val="center"/>
          </w:tcPr>
          <w:p w14:paraId="0C33FA8A">
            <w:pPr>
              <w:pStyle w:val="15"/>
              <w:ind w:firstLine="0"/>
              <w:rPr>
                <w:rFonts w:hint="eastAsia" w:hAnsi="宋体" w:cs="宋体"/>
                <w:szCs w:val="21"/>
              </w:rPr>
            </w:pPr>
            <w:r>
              <w:rPr>
                <w:rFonts w:hint="eastAsia" w:hAnsi="宋体" w:cs="宋体"/>
                <w:szCs w:val="21"/>
              </w:rPr>
              <w:t>团队成员</w:t>
            </w:r>
          </w:p>
        </w:tc>
        <w:tc>
          <w:tcPr>
            <w:tcW w:w="0" w:type="auto"/>
            <w:vAlign w:val="center"/>
          </w:tcPr>
          <w:p w14:paraId="411F3735">
            <w:pPr>
              <w:pStyle w:val="15"/>
              <w:ind w:firstLine="0"/>
              <w:rPr>
                <w:rFonts w:hint="eastAsia" w:hAnsi="宋体" w:cs="宋体"/>
                <w:szCs w:val="21"/>
              </w:rPr>
            </w:pPr>
            <w:r>
              <w:rPr>
                <w:rFonts w:hint="eastAsia" w:hAnsi="宋体" w:cs="宋体"/>
                <w:szCs w:val="21"/>
              </w:rPr>
              <w:t>孙洪源</w:t>
            </w:r>
          </w:p>
        </w:tc>
        <w:tc>
          <w:tcPr>
            <w:tcW w:w="0" w:type="auto"/>
            <w:vAlign w:val="center"/>
          </w:tcPr>
          <w:p w14:paraId="6595B322">
            <w:pPr>
              <w:pStyle w:val="15"/>
              <w:ind w:firstLine="0"/>
              <w:rPr>
                <w:rFonts w:hint="eastAsia" w:hAnsi="宋体" w:cs="宋体"/>
                <w:szCs w:val="21"/>
              </w:rPr>
            </w:pPr>
            <w:r>
              <w:rPr>
                <w:rFonts w:hint="eastAsia" w:hAnsi="宋体" w:cs="宋体"/>
                <w:szCs w:val="21"/>
              </w:rPr>
              <w:t>硕士研究生</w:t>
            </w:r>
          </w:p>
        </w:tc>
        <w:tc>
          <w:tcPr>
            <w:tcW w:w="0" w:type="auto"/>
            <w:vAlign w:val="center"/>
          </w:tcPr>
          <w:p w14:paraId="3B06191C">
            <w:pPr>
              <w:pStyle w:val="15"/>
              <w:ind w:firstLine="0"/>
              <w:rPr>
                <w:rFonts w:hint="eastAsia" w:hAnsi="宋体" w:cs="宋体"/>
                <w:szCs w:val="21"/>
              </w:rPr>
            </w:pPr>
            <w:r>
              <w:rPr>
                <w:rFonts w:hint="eastAsia" w:hAnsi="宋体" w:cs="宋体"/>
                <w:szCs w:val="21"/>
              </w:rPr>
              <w:t>高级工程师</w:t>
            </w:r>
          </w:p>
        </w:tc>
        <w:tc>
          <w:tcPr>
            <w:tcW w:w="0" w:type="auto"/>
            <w:vAlign w:val="center"/>
          </w:tcPr>
          <w:p w14:paraId="73FE2761">
            <w:pPr>
              <w:pStyle w:val="15"/>
              <w:rPr>
                <w:rFonts w:hint="eastAsia" w:hAnsi="宋体" w:cs="宋体"/>
                <w:szCs w:val="21"/>
              </w:rPr>
            </w:pPr>
            <w:r>
              <w:rPr>
                <w:rFonts w:hint="eastAsia" w:hAnsi="宋体" w:cs="宋体"/>
                <w:szCs w:val="21"/>
              </w:rPr>
              <w:t xml:space="preserve">研究生学历，工学硕士，高级工程师。现任中招国际招标有限公司总裁、党委书记。  </w:t>
            </w:r>
          </w:p>
          <w:p w14:paraId="783996C4">
            <w:pPr>
              <w:pStyle w:val="15"/>
              <w:rPr>
                <w:rFonts w:hint="eastAsia" w:hAnsi="宋体" w:cs="宋体"/>
                <w:szCs w:val="21"/>
              </w:rPr>
            </w:pPr>
            <w:r>
              <w:rPr>
                <w:rFonts w:hint="eastAsia" w:hAnsi="宋体" w:cs="宋体"/>
                <w:szCs w:val="21"/>
              </w:rPr>
              <w:t>从事招标采购工作30年，有丰富的招标采购工作经验，主持参与了多项国家重大工程和重要项目的招标采购工作。既有系统谋划，超前布局的战略思维，又有对具体项目实施的实战把控。熟悉市场竞争规则，能够及时把握市场变化给招标代理机构带来的影响，适时调整企业经营策略。善于抓班子带队伍，敢啃硬骨头。近几年公司的经营业绩不断取得新的突破，为经济社会发展贡献了智慧和力量。</w:t>
            </w:r>
          </w:p>
          <w:p w14:paraId="5459D802">
            <w:pPr>
              <w:pStyle w:val="15"/>
              <w:rPr>
                <w:rFonts w:hint="eastAsia" w:hAnsi="宋体" w:cs="宋体"/>
                <w:szCs w:val="21"/>
              </w:rPr>
            </w:pPr>
            <w:r>
              <w:rPr>
                <w:rFonts w:hint="eastAsia" w:hAnsi="宋体" w:cs="宋体"/>
                <w:szCs w:val="21"/>
              </w:rPr>
              <w:t>主持完成的主要项目：大连钢铁、酒泉钢铁、太原钢铁、铁法煤业、大同煤矿、华锦集团、山西漳泽电力、青岛地铁等招标代理工作。</w:t>
            </w:r>
          </w:p>
          <w:p w14:paraId="15C0B9D8">
            <w:pPr>
              <w:pStyle w:val="15"/>
              <w:rPr>
                <w:rFonts w:hint="eastAsia" w:hAnsi="宋体" w:cs="宋体"/>
                <w:szCs w:val="21"/>
              </w:rPr>
            </w:pPr>
            <w:r>
              <w:rPr>
                <w:rFonts w:hint="eastAsia" w:hAnsi="宋体" w:cs="宋体"/>
                <w:szCs w:val="21"/>
              </w:rPr>
              <w:t>牵头指导完成的重大项目：星网集团、南水北调、国家管网、中国商飞、中国中车等业主单位委托的招标采购工作。</w:t>
            </w:r>
          </w:p>
        </w:tc>
      </w:tr>
      <w:tr w14:paraId="69794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0E6FA9ED">
            <w:pPr>
              <w:pStyle w:val="15"/>
              <w:ind w:firstLine="0"/>
              <w:rPr>
                <w:rFonts w:hint="eastAsia" w:hAnsi="宋体" w:cs="宋体"/>
                <w:szCs w:val="21"/>
              </w:rPr>
            </w:pPr>
            <w:r>
              <w:rPr>
                <w:rFonts w:hint="eastAsia" w:hAnsi="宋体" w:cs="宋体"/>
                <w:szCs w:val="21"/>
              </w:rPr>
              <w:t>7</w:t>
            </w:r>
          </w:p>
        </w:tc>
        <w:tc>
          <w:tcPr>
            <w:tcW w:w="0" w:type="auto"/>
            <w:vAlign w:val="center"/>
          </w:tcPr>
          <w:p w14:paraId="6CD6A63D">
            <w:pPr>
              <w:pStyle w:val="15"/>
              <w:ind w:firstLine="0"/>
              <w:rPr>
                <w:rFonts w:hint="eastAsia" w:hAnsi="宋体" w:cs="宋体"/>
                <w:szCs w:val="21"/>
              </w:rPr>
            </w:pPr>
            <w:r>
              <w:rPr>
                <w:rFonts w:hint="eastAsia" w:hAnsi="宋体" w:cs="宋体"/>
                <w:szCs w:val="21"/>
              </w:rPr>
              <w:t>团队成员</w:t>
            </w:r>
          </w:p>
        </w:tc>
        <w:tc>
          <w:tcPr>
            <w:tcW w:w="0" w:type="auto"/>
            <w:vAlign w:val="center"/>
          </w:tcPr>
          <w:p w14:paraId="01B45465">
            <w:pPr>
              <w:pStyle w:val="15"/>
              <w:ind w:firstLine="0"/>
              <w:rPr>
                <w:rFonts w:hint="eastAsia" w:hAnsi="宋体" w:cs="宋体"/>
                <w:szCs w:val="21"/>
              </w:rPr>
            </w:pPr>
            <w:r>
              <w:rPr>
                <w:rFonts w:hint="eastAsia" w:hAnsi="宋体" w:cs="宋体"/>
                <w:szCs w:val="21"/>
              </w:rPr>
              <w:t>王伟</w:t>
            </w:r>
          </w:p>
        </w:tc>
        <w:tc>
          <w:tcPr>
            <w:tcW w:w="0" w:type="auto"/>
            <w:vAlign w:val="center"/>
          </w:tcPr>
          <w:p w14:paraId="7E165F42">
            <w:pPr>
              <w:pStyle w:val="15"/>
              <w:ind w:firstLine="0"/>
              <w:rPr>
                <w:rFonts w:hint="eastAsia" w:hAnsi="宋体" w:cs="宋体"/>
                <w:szCs w:val="21"/>
              </w:rPr>
            </w:pPr>
            <w:r>
              <w:rPr>
                <w:rFonts w:hint="eastAsia" w:hAnsi="宋体" w:cs="宋体"/>
                <w:szCs w:val="21"/>
              </w:rPr>
              <w:t>硕士研究生</w:t>
            </w:r>
          </w:p>
        </w:tc>
        <w:tc>
          <w:tcPr>
            <w:tcW w:w="0" w:type="auto"/>
            <w:vAlign w:val="center"/>
          </w:tcPr>
          <w:p w14:paraId="3B516C80">
            <w:pPr>
              <w:pStyle w:val="15"/>
              <w:ind w:firstLine="0"/>
              <w:rPr>
                <w:rFonts w:hint="eastAsia" w:hAnsi="宋体" w:cs="宋体"/>
                <w:szCs w:val="21"/>
              </w:rPr>
            </w:pPr>
            <w:r>
              <w:rPr>
                <w:rFonts w:hint="eastAsia" w:hAnsi="宋体" w:cs="宋体"/>
                <w:szCs w:val="21"/>
              </w:rPr>
              <w:t>高级工程师</w:t>
            </w:r>
          </w:p>
          <w:p w14:paraId="3DBC4F47">
            <w:pPr>
              <w:pStyle w:val="15"/>
              <w:ind w:firstLine="0"/>
              <w:rPr>
                <w:rFonts w:hint="eastAsia" w:hAnsi="宋体" w:cs="宋体"/>
                <w:szCs w:val="21"/>
              </w:rPr>
            </w:pPr>
            <w:r>
              <w:rPr>
                <w:rFonts w:hint="eastAsia" w:hAnsi="宋体" w:cs="宋体"/>
                <w:szCs w:val="21"/>
              </w:rPr>
              <w:t>招标师</w:t>
            </w:r>
          </w:p>
        </w:tc>
        <w:tc>
          <w:tcPr>
            <w:tcW w:w="0" w:type="auto"/>
            <w:vAlign w:val="center"/>
          </w:tcPr>
          <w:p w14:paraId="7C3A3C64">
            <w:pPr>
              <w:pStyle w:val="15"/>
              <w:rPr>
                <w:rFonts w:hint="eastAsia" w:hAnsi="宋体" w:cs="宋体"/>
                <w:szCs w:val="21"/>
              </w:rPr>
            </w:pPr>
            <w:r>
              <w:rPr>
                <w:rFonts w:hint="eastAsia" w:hAnsi="宋体" w:cs="宋体"/>
                <w:szCs w:val="21"/>
              </w:rPr>
              <w:t>工商管理专业（MBA）硕士，高级工程师，中招工业发展（北京）有限公司总裁。国家首批招标师，中国招标协会专业委员会委员。</w:t>
            </w:r>
          </w:p>
          <w:p w14:paraId="612BD438">
            <w:pPr>
              <w:pStyle w:val="15"/>
              <w:rPr>
                <w:rFonts w:hint="eastAsia" w:hAnsi="宋体" w:cs="宋体"/>
                <w:szCs w:val="21"/>
              </w:rPr>
            </w:pPr>
            <w:r>
              <w:rPr>
                <w:rFonts w:hint="eastAsia" w:hAnsi="宋体" w:cs="宋体"/>
                <w:szCs w:val="21"/>
              </w:rPr>
              <w:t>从事飞机设计、航空外贸、招标代理采购业务30年，熟悉国家各类招标法律法规和军工领域专业知识，具备丰富的采购实践经验，带领了一支高素质的专业招标团队，多次亲自主持军工行业大型重点型号的科研和技术改造项目招标工作，为军工单位完成了大量科研项目、工程建设、机电设备招标采购，以出色的服务赢得了国防军工项目单位的一致好评，在行业内树立了良好的品牌。多次为各军工单位讲授《国有企业招投标实践与探讨》，并在《招标采购管理》杂志上发表《我国航空工业招标采购与实践》论文。</w:t>
            </w:r>
          </w:p>
        </w:tc>
      </w:tr>
      <w:tr w14:paraId="18AB3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6CA4CE78">
            <w:pPr>
              <w:pStyle w:val="15"/>
              <w:ind w:firstLine="0"/>
              <w:rPr>
                <w:rFonts w:hint="eastAsia" w:hAnsi="宋体" w:cs="宋体"/>
                <w:szCs w:val="21"/>
              </w:rPr>
            </w:pPr>
            <w:r>
              <w:rPr>
                <w:rFonts w:hint="eastAsia" w:hAnsi="宋体" w:cs="宋体"/>
                <w:szCs w:val="21"/>
              </w:rPr>
              <w:t>8</w:t>
            </w:r>
          </w:p>
        </w:tc>
        <w:tc>
          <w:tcPr>
            <w:tcW w:w="0" w:type="auto"/>
            <w:vAlign w:val="center"/>
          </w:tcPr>
          <w:p w14:paraId="0991AFC8">
            <w:pPr>
              <w:pStyle w:val="15"/>
              <w:ind w:firstLine="0"/>
              <w:rPr>
                <w:rFonts w:hint="eastAsia" w:hAnsi="宋体" w:cs="宋体"/>
                <w:szCs w:val="21"/>
              </w:rPr>
            </w:pPr>
            <w:r>
              <w:rPr>
                <w:rFonts w:hint="eastAsia" w:hAnsi="宋体" w:cs="宋体"/>
                <w:szCs w:val="21"/>
              </w:rPr>
              <w:t>团队成员</w:t>
            </w:r>
          </w:p>
        </w:tc>
        <w:tc>
          <w:tcPr>
            <w:tcW w:w="0" w:type="auto"/>
            <w:vAlign w:val="center"/>
          </w:tcPr>
          <w:p w14:paraId="35114B92">
            <w:pPr>
              <w:pStyle w:val="15"/>
              <w:ind w:firstLine="0"/>
              <w:rPr>
                <w:rFonts w:hint="eastAsia" w:hAnsi="宋体" w:cs="宋体"/>
                <w:szCs w:val="21"/>
              </w:rPr>
            </w:pPr>
            <w:r>
              <w:rPr>
                <w:rFonts w:hint="eastAsia" w:hAnsi="宋体" w:cs="宋体"/>
                <w:szCs w:val="21"/>
              </w:rPr>
              <w:t>刘蕾</w:t>
            </w:r>
          </w:p>
        </w:tc>
        <w:tc>
          <w:tcPr>
            <w:tcW w:w="0" w:type="auto"/>
            <w:vAlign w:val="center"/>
          </w:tcPr>
          <w:p w14:paraId="738CF78D">
            <w:pPr>
              <w:pStyle w:val="15"/>
              <w:ind w:firstLine="0"/>
              <w:rPr>
                <w:rFonts w:hint="eastAsia" w:hAnsi="宋体" w:cs="宋体"/>
                <w:szCs w:val="21"/>
              </w:rPr>
            </w:pPr>
            <w:r>
              <w:rPr>
                <w:rFonts w:hint="eastAsia" w:hAnsi="宋体" w:cs="宋体"/>
                <w:szCs w:val="21"/>
              </w:rPr>
              <w:t>硕士研究生</w:t>
            </w:r>
          </w:p>
        </w:tc>
        <w:tc>
          <w:tcPr>
            <w:tcW w:w="0" w:type="auto"/>
            <w:vAlign w:val="center"/>
          </w:tcPr>
          <w:p w14:paraId="0201E26C">
            <w:pPr>
              <w:pStyle w:val="15"/>
              <w:ind w:firstLine="0"/>
              <w:rPr>
                <w:rFonts w:hint="eastAsia" w:hAnsi="宋体" w:cs="宋体"/>
                <w:szCs w:val="21"/>
              </w:rPr>
            </w:pPr>
            <w:r>
              <w:rPr>
                <w:rFonts w:hint="eastAsia" w:hAnsi="宋体" w:cs="宋体"/>
                <w:szCs w:val="21"/>
              </w:rPr>
              <w:t>高级工程师</w:t>
            </w:r>
          </w:p>
          <w:p w14:paraId="1D580900">
            <w:pPr>
              <w:pStyle w:val="15"/>
              <w:ind w:firstLine="0"/>
              <w:rPr>
                <w:rFonts w:hint="eastAsia" w:hAnsi="宋体" w:cs="宋体"/>
                <w:szCs w:val="21"/>
              </w:rPr>
            </w:pPr>
            <w:r>
              <w:rPr>
                <w:rFonts w:hint="eastAsia" w:hAnsi="宋体" w:cs="宋体"/>
                <w:szCs w:val="21"/>
              </w:rPr>
              <w:t>招标师</w:t>
            </w:r>
          </w:p>
        </w:tc>
        <w:tc>
          <w:tcPr>
            <w:tcW w:w="0" w:type="auto"/>
            <w:vAlign w:val="center"/>
          </w:tcPr>
          <w:p w14:paraId="555E0E95">
            <w:pPr>
              <w:pStyle w:val="15"/>
              <w:rPr>
                <w:rFonts w:hint="eastAsia" w:hAnsi="宋体" w:cs="宋体"/>
                <w:szCs w:val="21"/>
              </w:rPr>
            </w:pPr>
            <w:r>
              <w:rPr>
                <w:rFonts w:hint="eastAsia" w:hAnsi="宋体" w:cs="宋体"/>
                <w:szCs w:val="21"/>
              </w:rPr>
              <w:t>现任中招联合信息股份有限公司总裁，中国招标投标协会招采数字化专委会委员。</w:t>
            </w:r>
          </w:p>
          <w:p w14:paraId="146242D9">
            <w:pPr>
              <w:pStyle w:val="15"/>
              <w:rPr>
                <w:rFonts w:hint="eastAsia" w:hAnsi="宋体" w:cs="宋体"/>
                <w:szCs w:val="21"/>
              </w:rPr>
            </w:pPr>
            <w:r>
              <w:rPr>
                <w:rFonts w:hint="eastAsia" w:hAnsi="宋体" w:cs="宋体"/>
                <w:szCs w:val="21"/>
              </w:rPr>
              <w:t>工作20余年，期间从事招标代理采购工作10年，负责过兰州连城铝厂生产线设备改造、山西同煤煤矿安全改造、云天化石化乙烯等多项大型化工、医疗、高校领域等招标项目，熟悉工程建设、政府采购、设备招标等各类采购规范与管理流程；后续从事电子化交易平台建设运营工作10年，熟悉交易平台运营规划、制度体系搭建等；同时深入法学理论及案例，读研期间编写过《依法解决债务纠纷》《保险纠纷的法律解决》等书。</w:t>
            </w:r>
          </w:p>
        </w:tc>
      </w:tr>
      <w:tr w14:paraId="4ABAF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0" w:type="auto"/>
            <w:vAlign w:val="center"/>
          </w:tcPr>
          <w:p w14:paraId="7B11CE3B">
            <w:pPr>
              <w:pStyle w:val="15"/>
              <w:ind w:firstLine="0"/>
              <w:rPr>
                <w:rFonts w:hint="eastAsia" w:hAnsi="宋体" w:cs="宋体"/>
                <w:szCs w:val="21"/>
              </w:rPr>
            </w:pPr>
            <w:r>
              <w:rPr>
                <w:rFonts w:hint="eastAsia" w:hAnsi="宋体" w:cs="宋体"/>
                <w:szCs w:val="21"/>
              </w:rPr>
              <w:t>9</w:t>
            </w:r>
          </w:p>
        </w:tc>
        <w:tc>
          <w:tcPr>
            <w:tcW w:w="0" w:type="auto"/>
            <w:vAlign w:val="center"/>
          </w:tcPr>
          <w:p w14:paraId="75219C66">
            <w:pPr>
              <w:pStyle w:val="15"/>
              <w:ind w:firstLine="0"/>
              <w:rPr>
                <w:rFonts w:hint="eastAsia" w:hAnsi="宋体" w:cs="宋体"/>
                <w:szCs w:val="21"/>
              </w:rPr>
            </w:pPr>
            <w:r>
              <w:rPr>
                <w:rFonts w:hint="eastAsia" w:hAnsi="宋体" w:cs="宋体"/>
                <w:szCs w:val="21"/>
              </w:rPr>
              <w:t>团队成员</w:t>
            </w:r>
          </w:p>
        </w:tc>
        <w:tc>
          <w:tcPr>
            <w:tcW w:w="0" w:type="auto"/>
            <w:vAlign w:val="center"/>
          </w:tcPr>
          <w:p w14:paraId="2579F5B5">
            <w:pPr>
              <w:pStyle w:val="15"/>
              <w:ind w:firstLine="0"/>
              <w:rPr>
                <w:rFonts w:hint="eastAsia" w:hAnsi="宋体" w:cs="宋体"/>
                <w:szCs w:val="21"/>
              </w:rPr>
            </w:pPr>
            <w:r>
              <w:rPr>
                <w:rFonts w:hint="eastAsia" w:hAnsi="宋体" w:cs="宋体"/>
                <w:szCs w:val="21"/>
              </w:rPr>
              <w:t>郑浩</w:t>
            </w:r>
          </w:p>
        </w:tc>
        <w:tc>
          <w:tcPr>
            <w:tcW w:w="0" w:type="auto"/>
            <w:vAlign w:val="center"/>
          </w:tcPr>
          <w:p w14:paraId="52D3F5F2">
            <w:pPr>
              <w:pStyle w:val="15"/>
              <w:ind w:firstLine="0"/>
              <w:rPr>
                <w:rFonts w:hint="eastAsia" w:hAnsi="宋体" w:cs="宋体"/>
                <w:szCs w:val="21"/>
              </w:rPr>
            </w:pPr>
            <w:r>
              <w:rPr>
                <w:rFonts w:hint="eastAsia" w:hAnsi="宋体" w:cs="宋体"/>
                <w:szCs w:val="21"/>
              </w:rPr>
              <w:t>大学本科</w:t>
            </w:r>
          </w:p>
        </w:tc>
        <w:tc>
          <w:tcPr>
            <w:tcW w:w="0" w:type="auto"/>
            <w:vAlign w:val="center"/>
          </w:tcPr>
          <w:p w14:paraId="288F32E9">
            <w:pPr>
              <w:pStyle w:val="15"/>
              <w:ind w:firstLine="0"/>
              <w:rPr>
                <w:rFonts w:hint="eastAsia" w:hAnsi="宋体" w:cs="宋体"/>
                <w:szCs w:val="21"/>
              </w:rPr>
            </w:pPr>
            <w:r>
              <w:rPr>
                <w:rFonts w:hint="eastAsia" w:hAnsi="宋体" w:cs="宋体"/>
                <w:szCs w:val="21"/>
              </w:rPr>
              <w:t>高级</w:t>
            </w:r>
            <w:r>
              <w:rPr>
                <w:rFonts w:hAnsi="宋体" w:cs="宋体"/>
                <w:szCs w:val="21"/>
              </w:rPr>
              <w:t>信息系统项目管理师（计算机技术与软件</w:t>
            </w:r>
            <w:r>
              <w:rPr>
                <w:rFonts w:hint="eastAsia" w:hAnsi="宋体" w:cs="宋体"/>
                <w:szCs w:val="21"/>
              </w:rPr>
              <w:t>高级工程师</w:t>
            </w:r>
            <w:r>
              <w:rPr>
                <w:rFonts w:hAnsi="宋体" w:cs="宋体"/>
                <w:szCs w:val="21"/>
              </w:rPr>
              <w:t>）</w:t>
            </w:r>
          </w:p>
        </w:tc>
        <w:tc>
          <w:tcPr>
            <w:tcW w:w="0" w:type="auto"/>
            <w:vAlign w:val="center"/>
          </w:tcPr>
          <w:p w14:paraId="18A0E100">
            <w:pPr>
              <w:pStyle w:val="15"/>
              <w:rPr>
                <w:rFonts w:hint="eastAsia" w:hAnsi="宋体" w:cs="宋体"/>
                <w:szCs w:val="21"/>
              </w:rPr>
            </w:pPr>
            <w:r>
              <w:rPr>
                <w:rFonts w:hint="eastAsia" w:hAnsi="宋体" w:cs="宋体"/>
                <w:szCs w:val="21"/>
              </w:rPr>
              <w:t>目前就职于中招联合信息股份有限公司河南子公司。主要从事信息化招标系统建设和运营工作，负责河南区域业务管理。</w:t>
            </w:r>
          </w:p>
          <w:p w14:paraId="6EE473FF">
            <w:pPr>
              <w:pStyle w:val="15"/>
              <w:rPr>
                <w:rFonts w:hint="eastAsia" w:hAnsi="宋体" w:cs="宋体"/>
                <w:szCs w:val="21"/>
              </w:rPr>
            </w:pPr>
            <w:r>
              <w:rPr>
                <w:rFonts w:hint="eastAsia" w:hAnsi="宋体" w:cs="宋体"/>
                <w:szCs w:val="21"/>
              </w:rPr>
              <w:t>长期专注于电子招标投标业务系统咨询、可研、搭建，信息系统集成项目开发和运营,通过国家人社部和工信部认可信息系统项目管理师(高级)、网络工程师、信息系统项目集成工程师、信息系统监理师，电子商务设计师。河南省财政厅咨询专家库成员、河南省综合评标专家库评标专家、河南省政府采购专家库评审专家、河南省招标投标协会电子招标专家委员会成员。</w:t>
            </w:r>
          </w:p>
          <w:p w14:paraId="4D42E3EA">
            <w:pPr>
              <w:pStyle w:val="15"/>
              <w:rPr>
                <w:rFonts w:hint="eastAsia" w:hAnsi="宋体" w:cs="宋体"/>
                <w:szCs w:val="21"/>
              </w:rPr>
            </w:pPr>
            <w:r>
              <w:rPr>
                <w:rFonts w:hint="eastAsia" w:hAnsi="宋体" w:cs="宋体"/>
                <w:szCs w:val="21"/>
              </w:rPr>
              <w:t>有13年信息系统项目管理经验。曾负责和参与央企中国核工业集团、中国核电电力股份有限公司、神华集团有限责任公司、民企长城汽车集团、红旗煤业集团等数十家集团企业单位电子招标平台建设工作。</w:t>
            </w:r>
          </w:p>
          <w:p w14:paraId="1A2E5F9A">
            <w:pPr>
              <w:pStyle w:val="15"/>
              <w:rPr>
                <w:rFonts w:hint="eastAsia" w:hAnsi="宋体" w:cs="宋体"/>
                <w:szCs w:val="21"/>
              </w:rPr>
            </w:pPr>
            <w:r>
              <w:rPr>
                <w:rFonts w:hint="eastAsia" w:hAnsi="宋体" w:cs="宋体"/>
                <w:szCs w:val="21"/>
              </w:rPr>
              <w:t>2018年协助工业和信息化部下属中国机电设备招标中心组建工业互联网项目专家库系统建设，熟悉工业互联网领域信息系统建设和管理工作。</w:t>
            </w:r>
          </w:p>
          <w:p w14:paraId="00165763">
            <w:pPr>
              <w:pStyle w:val="15"/>
              <w:rPr>
                <w:rFonts w:hint="eastAsia" w:hAnsi="宋体" w:cs="宋体"/>
                <w:szCs w:val="21"/>
              </w:rPr>
            </w:pPr>
            <w:r>
              <w:rPr>
                <w:rFonts w:hint="eastAsia" w:hAnsi="宋体" w:cs="宋体"/>
                <w:szCs w:val="21"/>
              </w:rPr>
              <w:t>曾多次服务于河南省能源化工集团、中国平煤神马集团、武警河南省总队、河南省军区、空军河南某部队、战略支援部队解放军信息工程大学、郑州市消防救援支队、中原银行、交通银行河南省分行、郑州西亚斯学院等上百家电子化招标平台咨询和实施工作。熟练掌握信息系统项目实施内容，多次带领团队承担项目可行性研究分析、需求分析、软件设计、项目培训、推广上线等实施工作。</w:t>
            </w:r>
          </w:p>
          <w:p w14:paraId="74232C88">
            <w:pPr>
              <w:pStyle w:val="15"/>
              <w:rPr>
                <w:rFonts w:hint="eastAsia" w:hAnsi="宋体" w:cs="宋体"/>
                <w:szCs w:val="21"/>
              </w:rPr>
            </w:pPr>
            <w:r>
              <w:rPr>
                <w:rFonts w:hint="eastAsia" w:hAnsi="宋体" w:cs="宋体"/>
                <w:szCs w:val="21"/>
              </w:rPr>
              <w:t>熟练掌握信息系统项项目管理流程，对项目整体管理，项目进度，范围，风险，质量管理积累了一定的经验，理解软件项目管理思想。</w:t>
            </w:r>
          </w:p>
          <w:p w14:paraId="047046C3">
            <w:pPr>
              <w:pStyle w:val="15"/>
              <w:rPr>
                <w:rFonts w:hint="eastAsia" w:hAnsi="宋体" w:cs="宋体"/>
                <w:szCs w:val="21"/>
              </w:rPr>
            </w:pPr>
            <w:r>
              <w:rPr>
                <w:rFonts w:hint="eastAsia" w:hAnsi="宋体" w:cs="宋体"/>
                <w:szCs w:val="21"/>
              </w:rPr>
              <w:t>完成《招标投标行业信息化发展浅析》《电子招标投标实务操作》《招标投标行业数据分析报告》、《信息系统需求规格说明书》等编写，多次参与高校计算机机房改造建设工程，精通网络机房建设，网络规划、信息机房安全管理等工作 。专业技术方面熟悉java、html、ajax、jquery等开发语言。熟练掌握Linux系统操作，网络架构设计，对Nginx、apache等机房服务器环境搭建及维护操作熟练。</w:t>
            </w:r>
          </w:p>
          <w:p w14:paraId="62575093">
            <w:pPr>
              <w:pStyle w:val="15"/>
              <w:rPr>
                <w:rFonts w:hint="eastAsia" w:hAnsi="宋体" w:cs="宋体"/>
                <w:szCs w:val="21"/>
              </w:rPr>
            </w:pPr>
            <w:r>
              <w:rPr>
                <w:rFonts w:hint="eastAsia" w:hAnsi="宋体" w:cs="宋体"/>
                <w:szCs w:val="21"/>
              </w:rPr>
              <w:t xml:space="preserve">熟练掌握《中华人民共和国政府采购法》、《中华人民共和招标投标法》、《电子招投标管理办法》《中华人民共和国民法典》相关规定，熟练掌握电子招标相关法律法规。  </w:t>
            </w:r>
          </w:p>
        </w:tc>
      </w:tr>
    </w:tbl>
    <w:p w14:paraId="31C5667F">
      <w:pPr>
        <w:pStyle w:val="2"/>
        <w:ind w:left="0" w:leftChars="0" w:firstLine="0" w:firstLineChars="0"/>
        <w:rPr>
          <w:rFonts w:hint="eastAsia" w:hAnsi="宋体" w:cs="宋体"/>
          <w:szCs w:val="21"/>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hAnsi="宋体" w:cs="宋体"/>
          <w:szCs w:val="21"/>
        </w:rPr>
        <w:t>具体人员简历及证书见投标文件p?-</w:t>
      </w:r>
    </w:p>
    <w:p w14:paraId="10738CD3">
      <w:pPr>
        <w:rPr>
          <w:b/>
          <w:bCs/>
          <w:szCs w:val="21"/>
        </w:rPr>
      </w:pPr>
    </w:p>
    <w:p w14:paraId="3BEE43DC">
      <w:pPr>
        <w:pStyle w:val="6"/>
        <w:rPr>
          <w:rFonts w:hint="eastAsia" w:ascii="宋体" w:hAnsi="宋体"/>
          <w:szCs w:val="24"/>
        </w:rPr>
      </w:pPr>
      <w:r>
        <w:rPr>
          <w:rFonts w:hint="eastAsia"/>
          <w:bCs w:val="0"/>
        </w:rPr>
        <w:t xml:space="preserve"> </w:t>
      </w:r>
      <w:bookmarkStart w:id="312" w:name="_Toc180265692"/>
      <w:r>
        <w:rPr>
          <w:rFonts w:hint="eastAsia"/>
          <w:bCs w:val="0"/>
        </w:rPr>
        <w:t>职责分工</w:t>
      </w:r>
      <w:bookmarkEnd w:id="312"/>
    </w:p>
    <w:p w14:paraId="3EAE2B29">
      <w:pPr>
        <w:tabs>
          <w:tab w:val="left" w:pos="3531"/>
        </w:tabs>
        <w:spacing w:line="360" w:lineRule="auto"/>
        <w:ind w:firstLine="422"/>
        <w:rPr>
          <w:rFonts w:hint="eastAsia" w:hAnsi="宋体" w:cs="宋体"/>
          <w:b/>
          <w:bCs/>
          <w:szCs w:val="21"/>
        </w:rPr>
      </w:pPr>
      <w:r>
        <w:rPr>
          <w:rFonts w:hint="eastAsia" w:hAnsi="宋体" w:cs="宋体"/>
          <w:b/>
          <w:bCs/>
          <w:szCs w:val="21"/>
        </w:rPr>
        <w:t>一、总体职责分工</w:t>
      </w:r>
    </w:p>
    <w:p w14:paraId="3ABA8E60">
      <w:pPr>
        <w:tabs>
          <w:tab w:val="left" w:pos="3531"/>
        </w:tabs>
        <w:spacing w:line="360" w:lineRule="auto"/>
        <w:ind w:firstLine="422"/>
        <w:rPr>
          <w:rFonts w:hint="eastAsia" w:hAnsi="宋体" w:cs="宋体"/>
          <w:b/>
          <w:bCs/>
          <w:szCs w:val="21"/>
        </w:rPr>
      </w:pPr>
      <w:r>
        <w:rPr>
          <w:rFonts w:hint="eastAsia" w:hAnsi="宋体" w:cs="宋体"/>
          <w:b/>
          <w:bCs/>
          <w:szCs w:val="21"/>
        </w:rPr>
        <w:t>团队负责人</w:t>
      </w:r>
    </w:p>
    <w:p w14:paraId="21F4C17C">
      <w:pPr>
        <w:tabs>
          <w:tab w:val="left" w:pos="3531"/>
        </w:tabs>
        <w:spacing w:line="360" w:lineRule="auto"/>
        <w:ind w:firstLine="422"/>
        <w:rPr>
          <w:rFonts w:hint="eastAsia" w:hAnsi="宋体" w:cs="宋体"/>
          <w:szCs w:val="21"/>
        </w:rPr>
      </w:pPr>
      <w:r>
        <w:rPr>
          <w:rFonts w:hint="eastAsia" w:hAnsi="宋体" w:cs="宋体"/>
          <w:b/>
          <w:bCs/>
          <w:szCs w:val="21"/>
        </w:rPr>
        <w:t>主要职责</w:t>
      </w:r>
      <w:r>
        <w:rPr>
          <w:rFonts w:hint="eastAsia" w:hAnsi="宋体" w:cs="宋体"/>
          <w:szCs w:val="21"/>
        </w:rPr>
        <w:t>：总体负责采购体系规划的具体实施、日常管理和合同执行，统筹内外部资源，协调标段二中标人，组织开展各项工作、履行各项合同义务；及时与招标人沟通交流、响应需求，确保项目实施符合质量及进度要求。   具体工作主要包括以下方面：</w:t>
      </w:r>
    </w:p>
    <w:p w14:paraId="45AF65E6">
      <w:pPr>
        <w:tabs>
          <w:tab w:val="left" w:pos="3531"/>
        </w:tabs>
        <w:spacing w:line="360" w:lineRule="auto"/>
        <w:ind w:firstLine="420"/>
        <w:rPr>
          <w:rFonts w:hint="eastAsia" w:hAnsi="宋体" w:cs="宋体"/>
          <w:szCs w:val="21"/>
        </w:rPr>
      </w:pPr>
      <w:r>
        <w:rPr>
          <w:rFonts w:hint="eastAsia" w:hAnsi="宋体" w:cs="宋体"/>
          <w:szCs w:val="21"/>
        </w:rPr>
        <w:t>（1）项目规划执行：</w:t>
      </w:r>
    </w:p>
    <w:p w14:paraId="74E4F6B4">
      <w:pPr>
        <w:tabs>
          <w:tab w:val="left" w:pos="3531"/>
        </w:tabs>
        <w:spacing w:line="360" w:lineRule="auto"/>
        <w:ind w:firstLine="420"/>
        <w:rPr>
          <w:rFonts w:hint="eastAsia" w:hAnsi="宋体" w:cs="宋体"/>
          <w:szCs w:val="21"/>
        </w:rPr>
      </w:pPr>
      <w:r>
        <w:rPr>
          <w:rFonts w:hint="eastAsia" w:hAnsi="宋体" w:cs="宋体"/>
          <w:szCs w:val="21"/>
        </w:rPr>
        <w:t>负责项目的整体规划，包括项目实施、日常管理、资源协调和合同执行；</w:t>
      </w:r>
    </w:p>
    <w:p w14:paraId="0ED9428B">
      <w:pPr>
        <w:tabs>
          <w:tab w:val="left" w:pos="3531"/>
        </w:tabs>
        <w:spacing w:line="360" w:lineRule="auto"/>
        <w:ind w:firstLine="420"/>
        <w:rPr>
          <w:rFonts w:hint="eastAsia" w:hAnsi="宋体" w:cs="宋体"/>
          <w:szCs w:val="21"/>
        </w:rPr>
      </w:pPr>
      <w:r>
        <w:rPr>
          <w:rFonts w:hint="eastAsia" w:hAnsi="宋体" w:cs="宋体"/>
          <w:szCs w:val="21"/>
        </w:rPr>
        <w:t>负责项目的全过程执行和管理，根据项目计划和要求组织团队实施项目活动。</w:t>
      </w:r>
    </w:p>
    <w:p w14:paraId="3FDA7862">
      <w:pPr>
        <w:tabs>
          <w:tab w:val="left" w:pos="3531"/>
        </w:tabs>
        <w:spacing w:line="360" w:lineRule="auto"/>
        <w:ind w:firstLine="420"/>
        <w:rPr>
          <w:szCs w:val="21"/>
        </w:rPr>
      </w:pPr>
      <w:r>
        <w:rPr>
          <w:rFonts w:hint="eastAsia" w:hAnsi="宋体" w:cs="宋体"/>
          <w:szCs w:val="21"/>
        </w:rPr>
        <w:t>分析、总结和汇报工作进展情况；</w:t>
      </w:r>
    </w:p>
    <w:p w14:paraId="3B490FAF">
      <w:pPr>
        <w:tabs>
          <w:tab w:val="left" w:pos="3531"/>
        </w:tabs>
        <w:spacing w:line="360" w:lineRule="auto"/>
        <w:ind w:firstLine="420"/>
        <w:rPr>
          <w:rFonts w:hint="eastAsia" w:hAnsi="宋体" w:cs="宋体"/>
          <w:szCs w:val="21"/>
        </w:rPr>
      </w:pPr>
      <w:r>
        <w:rPr>
          <w:rFonts w:hint="eastAsia" w:hAnsi="宋体" w:cs="宋体"/>
          <w:szCs w:val="21"/>
        </w:rPr>
        <w:t>（2）进度管理：</w:t>
      </w:r>
    </w:p>
    <w:p w14:paraId="7CEB7C5F">
      <w:pPr>
        <w:tabs>
          <w:tab w:val="left" w:pos="3531"/>
        </w:tabs>
        <w:spacing w:line="360" w:lineRule="auto"/>
        <w:ind w:firstLine="420"/>
        <w:rPr>
          <w:rFonts w:hint="eastAsia" w:hAnsi="宋体" w:cs="宋体"/>
          <w:szCs w:val="21"/>
        </w:rPr>
      </w:pPr>
      <w:r>
        <w:rPr>
          <w:rFonts w:hint="eastAsia" w:hAnsi="宋体" w:cs="宋体"/>
          <w:szCs w:val="21"/>
        </w:rPr>
        <w:t>制定项目进度计划，定期和不定期对方案进度进行审核；</w:t>
      </w:r>
    </w:p>
    <w:p w14:paraId="710F3382">
      <w:pPr>
        <w:tabs>
          <w:tab w:val="left" w:pos="3531"/>
        </w:tabs>
        <w:spacing w:line="360" w:lineRule="auto"/>
        <w:ind w:firstLine="420"/>
        <w:rPr>
          <w:rFonts w:hint="eastAsia" w:hAnsi="宋体" w:cs="宋体"/>
          <w:szCs w:val="21"/>
        </w:rPr>
      </w:pPr>
      <w:r>
        <w:rPr>
          <w:rFonts w:hint="eastAsia" w:hAnsi="宋体" w:cs="宋体"/>
          <w:szCs w:val="21"/>
        </w:rPr>
        <w:t>跟踪项目进展和变更，确保项目时效不偏移，符合进度要求。</w:t>
      </w:r>
    </w:p>
    <w:p w14:paraId="6F37EAC0">
      <w:pPr>
        <w:tabs>
          <w:tab w:val="left" w:pos="3531"/>
        </w:tabs>
        <w:spacing w:line="360" w:lineRule="auto"/>
        <w:ind w:firstLine="420"/>
        <w:rPr>
          <w:rFonts w:hint="eastAsia" w:hAnsi="宋体" w:cs="宋体"/>
          <w:szCs w:val="21"/>
        </w:rPr>
      </w:pPr>
      <w:r>
        <w:rPr>
          <w:rFonts w:hint="eastAsia" w:hAnsi="宋体" w:cs="宋体"/>
          <w:szCs w:val="21"/>
        </w:rPr>
        <w:t>（3）人员管理：</w:t>
      </w:r>
    </w:p>
    <w:p w14:paraId="4F35B093">
      <w:pPr>
        <w:tabs>
          <w:tab w:val="left" w:pos="3531"/>
        </w:tabs>
        <w:spacing w:line="360" w:lineRule="auto"/>
        <w:ind w:firstLine="420"/>
        <w:rPr>
          <w:rFonts w:hint="eastAsia" w:hAnsi="宋体" w:cs="宋体"/>
          <w:szCs w:val="21"/>
        </w:rPr>
      </w:pPr>
      <w:r>
        <w:rPr>
          <w:rFonts w:hint="eastAsia" w:hAnsi="宋体" w:cs="宋体"/>
          <w:szCs w:val="21"/>
        </w:rPr>
        <w:t>组织和管理项目团队，指导和支持团队成员；</w:t>
      </w:r>
    </w:p>
    <w:p w14:paraId="59C3D5BC">
      <w:pPr>
        <w:tabs>
          <w:tab w:val="left" w:pos="3531"/>
        </w:tabs>
        <w:spacing w:line="360" w:lineRule="auto"/>
        <w:ind w:firstLine="420"/>
        <w:rPr>
          <w:rFonts w:hint="eastAsia" w:hAnsi="宋体" w:cs="宋体"/>
          <w:szCs w:val="21"/>
        </w:rPr>
      </w:pPr>
      <w:r>
        <w:rPr>
          <w:rFonts w:hint="eastAsia" w:hAnsi="宋体" w:cs="宋体"/>
          <w:szCs w:val="21"/>
        </w:rPr>
        <w:t>协调项目成员，分配项目相关任务和资源，确保项目团队高效运行。</w:t>
      </w:r>
    </w:p>
    <w:p w14:paraId="48EB816F">
      <w:pPr>
        <w:tabs>
          <w:tab w:val="left" w:pos="3531"/>
        </w:tabs>
        <w:spacing w:line="360" w:lineRule="auto"/>
        <w:ind w:firstLine="420"/>
        <w:rPr>
          <w:rFonts w:hint="eastAsia" w:hAnsi="宋体" w:cs="宋体"/>
          <w:szCs w:val="21"/>
        </w:rPr>
      </w:pPr>
      <w:r>
        <w:rPr>
          <w:rFonts w:hint="eastAsia" w:hAnsi="宋体" w:cs="宋体"/>
          <w:szCs w:val="21"/>
        </w:rPr>
        <w:t>（4）风险管理：</w:t>
      </w:r>
    </w:p>
    <w:p w14:paraId="0DD16DFF">
      <w:pPr>
        <w:tabs>
          <w:tab w:val="left" w:pos="3531"/>
        </w:tabs>
        <w:spacing w:line="360" w:lineRule="auto"/>
        <w:ind w:firstLine="420"/>
        <w:rPr>
          <w:rFonts w:hint="eastAsia" w:hAnsi="宋体" w:cs="宋体"/>
          <w:szCs w:val="21"/>
        </w:rPr>
      </w:pPr>
      <w:r>
        <w:rPr>
          <w:rFonts w:hint="eastAsia" w:hAnsi="宋体" w:cs="宋体"/>
          <w:szCs w:val="21"/>
        </w:rPr>
        <w:t>识别项目风险，制定相应的风险管理计划，并对项目风险进行监控和控制。</w:t>
      </w:r>
    </w:p>
    <w:p w14:paraId="36758DFA">
      <w:pPr>
        <w:tabs>
          <w:tab w:val="left" w:pos="3531"/>
        </w:tabs>
        <w:spacing w:line="360" w:lineRule="auto"/>
        <w:ind w:firstLine="420"/>
        <w:rPr>
          <w:rFonts w:hint="eastAsia" w:hAnsi="宋体" w:cs="宋体"/>
          <w:szCs w:val="21"/>
        </w:rPr>
      </w:pPr>
      <w:r>
        <w:rPr>
          <w:rFonts w:hint="eastAsia" w:hAnsi="宋体" w:cs="宋体"/>
          <w:szCs w:val="21"/>
        </w:rPr>
        <w:t>（5）沟通和协调：</w:t>
      </w:r>
    </w:p>
    <w:p w14:paraId="56D48E74">
      <w:pPr>
        <w:tabs>
          <w:tab w:val="left" w:pos="3531"/>
        </w:tabs>
        <w:spacing w:line="360" w:lineRule="auto"/>
        <w:ind w:firstLine="420"/>
        <w:rPr>
          <w:rFonts w:hint="eastAsia" w:hAnsi="宋体" w:cs="宋体"/>
          <w:szCs w:val="21"/>
        </w:rPr>
      </w:pPr>
      <w:r>
        <w:rPr>
          <w:rFonts w:hint="eastAsia" w:hAnsi="宋体" w:cs="宋体"/>
          <w:szCs w:val="21"/>
        </w:rPr>
        <w:t>协调项目成员，分配项目相关工作，确保项目团队高效运行；</w:t>
      </w:r>
    </w:p>
    <w:p w14:paraId="3369E1CA">
      <w:pPr>
        <w:tabs>
          <w:tab w:val="left" w:pos="3531"/>
        </w:tabs>
        <w:spacing w:line="360" w:lineRule="auto"/>
        <w:ind w:firstLine="420"/>
        <w:rPr>
          <w:rFonts w:hint="eastAsia" w:hAnsi="宋体" w:cs="宋体"/>
          <w:szCs w:val="21"/>
        </w:rPr>
      </w:pPr>
      <w:r>
        <w:rPr>
          <w:rFonts w:hint="eastAsia" w:hAnsi="宋体" w:cs="宋体"/>
          <w:szCs w:val="21"/>
        </w:rPr>
        <w:t>及时与招标人沟通交流、响应需求，确保项目目标与招标人的期望保持一致；</w:t>
      </w:r>
    </w:p>
    <w:p w14:paraId="0007E092">
      <w:pPr>
        <w:tabs>
          <w:tab w:val="left" w:pos="3531"/>
        </w:tabs>
        <w:spacing w:line="360" w:lineRule="auto"/>
        <w:ind w:firstLine="420"/>
        <w:rPr>
          <w:rFonts w:hint="eastAsia" w:hAnsi="宋体" w:cs="宋体"/>
          <w:szCs w:val="21"/>
        </w:rPr>
      </w:pPr>
      <w:r>
        <w:rPr>
          <w:rFonts w:hint="eastAsia" w:hAnsi="宋体" w:cs="宋体"/>
          <w:szCs w:val="21"/>
        </w:rPr>
        <w:t>协调标段二中标人，组织开展各项工作、履行各项合同义务。</w:t>
      </w:r>
    </w:p>
    <w:p w14:paraId="493F00E1">
      <w:pPr>
        <w:tabs>
          <w:tab w:val="left" w:pos="3531"/>
        </w:tabs>
        <w:spacing w:line="360" w:lineRule="auto"/>
        <w:ind w:firstLine="422"/>
        <w:rPr>
          <w:rFonts w:hint="eastAsia" w:hAnsi="宋体" w:cs="宋体"/>
          <w:b/>
          <w:bCs/>
          <w:szCs w:val="21"/>
        </w:rPr>
      </w:pPr>
      <w:r>
        <w:rPr>
          <w:rFonts w:hint="eastAsia" w:hAnsi="宋体" w:cs="宋体"/>
          <w:b/>
          <w:bCs/>
          <w:szCs w:val="21"/>
        </w:rPr>
        <w:t>资深专家</w:t>
      </w:r>
    </w:p>
    <w:p w14:paraId="1111884A">
      <w:pPr>
        <w:tabs>
          <w:tab w:val="left" w:pos="3531"/>
        </w:tabs>
        <w:spacing w:line="360" w:lineRule="auto"/>
        <w:ind w:firstLine="422"/>
        <w:rPr>
          <w:rFonts w:hint="eastAsia" w:hAnsi="宋体" w:cs="宋体"/>
          <w:szCs w:val="21"/>
        </w:rPr>
      </w:pPr>
      <w:r>
        <w:rPr>
          <w:rFonts w:hint="eastAsia" w:hAnsi="宋体" w:cs="宋体"/>
          <w:b/>
          <w:bCs/>
          <w:szCs w:val="21"/>
        </w:rPr>
        <w:t>主要职责</w:t>
      </w:r>
      <w:r>
        <w:rPr>
          <w:rFonts w:hint="eastAsia" w:hAnsi="宋体" w:cs="宋体"/>
          <w:szCs w:val="21"/>
        </w:rPr>
        <w:t>：总体负责采购体系规划指导工作，及时与招标人及标段二中标人沟通交流、响应需求，主导团队人员完成需求调研、方案研究、成果文件编写等工作，负责整体战略方向和专业支持。具体工作主要包括以下方面：</w:t>
      </w:r>
    </w:p>
    <w:p w14:paraId="68A64A1C">
      <w:pPr>
        <w:tabs>
          <w:tab w:val="left" w:pos="3531"/>
        </w:tabs>
        <w:spacing w:line="360" w:lineRule="auto"/>
        <w:ind w:firstLine="420"/>
        <w:rPr>
          <w:rFonts w:hint="eastAsia" w:hAnsi="宋体" w:cs="宋体"/>
          <w:szCs w:val="21"/>
        </w:rPr>
      </w:pPr>
      <w:r>
        <w:rPr>
          <w:rFonts w:hint="eastAsia" w:hAnsi="宋体" w:cs="宋体"/>
          <w:szCs w:val="21"/>
        </w:rPr>
        <w:t>（1）负责与客户进行前期沟通，了解客户的基本情况、需求和问题，并制定相应的行业规划方案；</w:t>
      </w:r>
    </w:p>
    <w:p w14:paraId="4E75FC19">
      <w:pPr>
        <w:tabs>
          <w:tab w:val="left" w:pos="3531"/>
        </w:tabs>
        <w:spacing w:line="360" w:lineRule="auto"/>
        <w:ind w:firstLine="420"/>
        <w:rPr>
          <w:rFonts w:hint="eastAsia" w:hAnsi="宋体" w:cs="宋体"/>
          <w:szCs w:val="21"/>
        </w:rPr>
      </w:pPr>
      <w:r>
        <w:rPr>
          <w:rFonts w:hint="eastAsia" w:hAnsi="宋体" w:cs="宋体"/>
          <w:szCs w:val="21"/>
        </w:rPr>
        <w:t>（2）主导团队人员完成需求调研、数据搜集、资源链接、方案研究、成果文件编写等工作；</w:t>
      </w:r>
    </w:p>
    <w:p w14:paraId="1F552273">
      <w:pPr>
        <w:tabs>
          <w:tab w:val="left" w:pos="3531"/>
        </w:tabs>
        <w:spacing w:line="360" w:lineRule="auto"/>
        <w:ind w:firstLine="420"/>
        <w:rPr>
          <w:rFonts w:hint="eastAsia" w:hAnsi="宋体" w:cs="宋体"/>
          <w:szCs w:val="21"/>
        </w:rPr>
      </w:pPr>
      <w:r>
        <w:rPr>
          <w:rFonts w:hint="eastAsia" w:hAnsi="宋体" w:cs="宋体"/>
          <w:szCs w:val="21"/>
        </w:rPr>
        <w:t>（3）基于招标人需求，结合专业知识和经验，制定合适的规划方案，包括行业采购决策、管理机制、信息技术、制度体系、应用策略等方面；</w:t>
      </w:r>
    </w:p>
    <w:p w14:paraId="201767AD">
      <w:pPr>
        <w:tabs>
          <w:tab w:val="left" w:pos="3531"/>
        </w:tabs>
        <w:spacing w:line="360" w:lineRule="auto"/>
        <w:ind w:firstLine="420"/>
        <w:rPr>
          <w:rFonts w:hint="eastAsia" w:hAnsi="宋体" w:cs="宋体"/>
          <w:szCs w:val="21"/>
        </w:rPr>
      </w:pPr>
      <w:r>
        <w:rPr>
          <w:rFonts w:hint="eastAsia" w:hAnsi="宋体" w:cs="宋体"/>
          <w:szCs w:val="21"/>
        </w:rPr>
        <w:t>（4）项目成果内容把控，交付成果的审核，确保项目交付符合标准和要求；</w:t>
      </w:r>
    </w:p>
    <w:p w14:paraId="3CF11FC8">
      <w:pPr>
        <w:tabs>
          <w:tab w:val="left" w:pos="3531"/>
        </w:tabs>
        <w:spacing w:line="360" w:lineRule="auto"/>
        <w:ind w:firstLine="420"/>
        <w:rPr>
          <w:rFonts w:hint="eastAsia" w:hAnsi="宋体" w:cs="宋体"/>
          <w:szCs w:val="21"/>
        </w:rPr>
      </w:pPr>
      <w:r>
        <w:rPr>
          <w:rFonts w:hint="eastAsia" w:hAnsi="宋体" w:cs="宋体"/>
          <w:szCs w:val="21"/>
        </w:rPr>
        <w:t>（5）协助客户制定实施计划，并在实施过程中给予指导和支持，解决实施过程中可能遇到的问题，确保方案的顺利实施；</w:t>
      </w:r>
    </w:p>
    <w:p w14:paraId="095CFD86">
      <w:pPr>
        <w:tabs>
          <w:tab w:val="left" w:pos="3531"/>
        </w:tabs>
        <w:spacing w:line="360" w:lineRule="auto"/>
        <w:ind w:firstLine="420"/>
        <w:rPr>
          <w:rFonts w:hint="eastAsia" w:hAnsi="宋体" w:cs="宋体"/>
          <w:szCs w:val="21"/>
        </w:rPr>
      </w:pPr>
      <w:r>
        <w:rPr>
          <w:rFonts w:hint="eastAsia" w:hAnsi="宋体" w:cs="宋体"/>
          <w:szCs w:val="21"/>
        </w:rPr>
        <w:t>（6）及时与招标人及标段二中标人沟通交流、响应需求。</w:t>
      </w:r>
    </w:p>
    <w:p w14:paraId="4F76A431">
      <w:pPr>
        <w:tabs>
          <w:tab w:val="left" w:pos="3531"/>
        </w:tabs>
        <w:spacing w:line="360" w:lineRule="auto"/>
        <w:ind w:firstLine="422"/>
        <w:rPr>
          <w:rFonts w:hint="eastAsia" w:hAnsi="宋体" w:cs="宋体"/>
          <w:b/>
          <w:bCs/>
          <w:szCs w:val="21"/>
        </w:rPr>
      </w:pPr>
      <w:r>
        <w:rPr>
          <w:rFonts w:hint="eastAsia" w:hAnsi="宋体" w:cs="宋体"/>
          <w:b/>
          <w:bCs/>
          <w:szCs w:val="21"/>
        </w:rPr>
        <w:t>团队成员</w:t>
      </w:r>
    </w:p>
    <w:p w14:paraId="1585D394">
      <w:pPr>
        <w:tabs>
          <w:tab w:val="left" w:pos="3531"/>
        </w:tabs>
        <w:spacing w:line="360" w:lineRule="auto"/>
        <w:ind w:firstLine="422"/>
        <w:rPr>
          <w:rFonts w:hint="eastAsia" w:hAnsi="宋体" w:cs="宋体"/>
          <w:b/>
          <w:bCs/>
          <w:szCs w:val="21"/>
        </w:rPr>
      </w:pPr>
      <w:r>
        <w:rPr>
          <w:rFonts w:hint="eastAsia" w:hAnsi="宋体" w:cs="宋体"/>
          <w:b/>
          <w:bCs/>
          <w:szCs w:val="21"/>
        </w:rPr>
        <w:t>主要职责</w:t>
      </w:r>
      <w:r>
        <w:rPr>
          <w:rFonts w:hint="eastAsia" w:hAnsi="宋体" w:cs="宋体"/>
          <w:szCs w:val="21"/>
        </w:rPr>
        <w:t>：参与调研、方案研究、规划文件编写等具体工作，理解招标人需求，协助资深专家完成各项规划成果，配合团队负责人履行合同。具体工作主要包括以下方面：</w:t>
      </w:r>
    </w:p>
    <w:p w14:paraId="4A129E32">
      <w:pPr>
        <w:tabs>
          <w:tab w:val="left" w:pos="3531"/>
        </w:tabs>
        <w:spacing w:line="360" w:lineRule="auto"/>
        <w:ind w:firstLine="420"/>
        <w:rPr>
          <w:rFonts w:hint="eastAsia" w:hAnsi="宋体" w:cs="宋体"/>
          <w:szCs w:val="21"/>
        </w:rPr>
      </w:pPr>
      <w:r>
        <w:rPr>
          <w:rFonts w:hint="eastAsia" w:hAnsi="宋体" w:cs="宋体"/>
          <w:szCs w:val="21"/>
        </w:rPr>
        <w:t>（1）协助专家参与调研，整理调研内容；</w:t>
      </w:r>
    </w:p>
    <w:p w14:paraId="474BBE4D">
      <w:pPr>
        <w:tabs>
          <w:tab w:val="left" w:pos="3531"/>
        </w:tabs>
        <w:spacing w:line="360" w:lineRule="auto"/>
        <w:ind w:firstLine="420"/>
        <w:rPr>
          <w:rFonts w:hint="eastAsia" w:hAnsi="宋体" w:cs="宋体"/>
          <w:szCs w:val="21"/>
        </w:rPr>
      </w:pPr>
      <w:r>
        <w:rPr>
          <w:rFonts w:hint="eastAsia" w:hAnsi="宋体" w:cs="宋体"/>
          <w:szCs w:val="21"/>
        </w:rPr>
        <w:t>（2）协助专家收集行业相关政策法规、数据等，确保信息来源的可靠性和数据的准确性；</w:t>
      </w:r>
    </w:p>
    <w:p w14:paraId="3FD07D85">
      <w:pPr>
        <w:tabs>
          <w:tab w:val="left" w:pos="3531"/>
        </w:tabs>
        <w:spacing w:line="360" w:lineRule="auto"/>
        <w:ind w:firstLine="420"/>
        <w:rPr>
          <w:rFonts w:hint="eastAsia" w:hAnsi="宋体" w:cs="宋体"/>
          <w:szCs w:val="21"/>
        </w:rPr>
      </w:pPr>
      <w:r>
        <w:rPr>
          <w:rFonts w:hint="eastAsia" w:hAnsi="宋体" w:cs="宋体"/>
          <w:szCs w:val="21"/>
        </w:rPr>
        <w:t>（3）根据调研和收集内容，协助专家分析研究，确保规划内容不偏离招标人需求；</w:t>
      </w:r>
    </w:p>
    <w:p w14:paraId="3C6C2039">
      <w:pPr>
        <w:tabs>
          <w:tab w:val="left" w:pos="3531"/>
        </w:tabs>
        <w:spacing w:line="360" w:lineRule="auto"/>
        <w:ind w:firstLine="420"/>
        <w:rPr>
          <w:rFonts w:hint="eastAsia" w:hAnsi="宋体" w:cs="宋体"/>
          <w:szCs w:val="21"/>
        </w:rPr>
      </w:pPr>
      <w:r>
        <w:rPr>
          <w:rFonts w:hint="eastAsia" w:hAnsi="宋体" w:cs="宋体"/>
          <w:szCs w:val="21"/>
        </w:rPr>
        <w:t>（4）协助专家编写、审校规划方案及各项成果等具体工作；</w:t>
      </w:r>
    </w:p>
    <w:p w14:paraId="1B1CFA6F">
      <w:pPr>
        <w:tabs>
          <w:tab w:val="left" w:pos="3531"/>
        </w:tabs>
        <w:spacing w:line="360" w:lineRule="auto"/>
        <w:ind w:firstLine="420"/>
        <w:rPr>
          <w:rFonts w:hint="eastAsia" w:hAnsi="宋体" w:cs="宋体"/>
          <w:szCs w:val="21"/>
        </w:rPr>
      </w:pPr>
      <w:r>
        <w:rPr>
          <w:rFonts w:hint="eastAsia" w:hAnsi="宋体" w:cs="宋体"/>
          <w:szCs w:val="21"/>
        </w:rPr>
        <w:t>（5）配合团队负责人履行合同约定的内容。</w:t>
      </w:r>
    </w:p>
    <w:p w14:paraId="41C031FE">
      <w:pPr>
        <w:pStyle w:val="5"/>
        <w:rPr>
          <w:rFonts w:hint="eastAsia" w:ascii="宋体" w:hAnsi="宋体"/>
        </w:rPr>
      </w:pPr>
      <w:bookmarkStart w:id="313" w:name="_Toc180265693"/>
      <w:r>
        <w:rPr>
          <w:rFonts w:hint="eastAsia" w:ascii="宋体" w:hAnsi="宋体"/>
        </w:rPr>
        <w:t>工作进度安排</w:t>
      </w:r>
      <w:bookmarkEnd w:id="313"/>
      <w:r>
        <w:rPr>
          <w:rFonts w:hint="eastAsia" w:ascii="宋体" w:hAnsi="宋体"/>
        </w:rPr>
        <w:t xml:space="preserve">  </w:t>
      </w:r>
    </w:p>
    <w:p w14:paraId="34618779">
      <w:pPr>
        <w:widowControl/>
        <w:spacing w:line="360" w:lineRule="auto"/>
        <w:ind w:firstLine="420"/>
        <w:jc w:val="left"/>
        <w:rPr>
          <w:szCs w:val="21"/>
        </w:rPr>
      </w:pPr>
      <w:r>
        <w:rPr>
          <w:rFonts w:hint="eastAsia"/>
          <w:b/>
          <w:bCs/>
          <w:szCs w:val="21"/>
        </w:rPr>
        <w:t>项目服务期：</w:t>
      </w:r>
      <w:r>
        <w:rPr>
          <w:rFonts w:hint="eastAsia"/>
          <w:szCs w:val="21"/>
        </w:rPr>
        <w:t>合同生效日起三个月内，完成需求调研、方案研究、规划成果文件编写等全部工作。</w:t>
      </w:r>
    </w:p>
    <w:p w14:paraId="648E6416">
      <w:pPr>
        <w:widowControl/>
        <w:spacing w:line="360" w:lineRule="auto"/>
        <w:ind w:firstLine="420"/>
        <w:jc w:val="left"/>
        <w:rPr>
          <w:szCs w:val="21"/>
        </w:rPr>
      </w:pPr>
      <w:r>
        <w:rPr>
          <w:rFonts w:hint="eastAsia"/>
          <w:b/>
          <w:bCs/>
          <w:szCs w:val="21"/>
        </w:rPr>
        <w:t>项目实施服务地点：</w:t>
      </w:r>
      <w:r>
        <w:rPr>
          <w:rFonts w:hint="eastAsia"/>
          <w:szCs w:val="21"/>
        </w:rPr>
        <w:t>甲方指定地点。</w:t>
      </w:r>
    </w:p>
    <w:p w14:paraId="054AA38F">
      <w:pPr>
        <w:widowControl/>
        <w:spacing w:line="360" w:lineRule="auto"/>
        <w:ind w:firstLine="420"/>
        <w:jc w:val="left"/>
        <w:rPr>
          <w:szCs w:val="21"/>
        </w:rPr>
      </w:pPr>
      <w:r>
        <w:rPr>
          <w:rFonts w:hint="eastAsia"/>
          <w:szCs w:val="21"/>
        </w:rPr>
        <w:t>工作进度安排如图所示：</w:t>
      </w:r>
    </w:p>
    <w:p w14:paraId="1B7166F7">
      <w:pPr>
        <w:widowControl/>
        <w:jc w:val="left"/>
        <w:rPr>
          <w:szCs w:val="21"/>
        </w:rPr>
      </w:pPr>
      <w:r>
        <w:rPr>
          <w:szCs w:val="21"/>
        </w:rPr>
        <w:drawing>
          <wp:inline distT="0" distB="0" distL="114300" distR="114300">
            <wp:extent cx="5271135" cy="2463800"/>
            <wp:effectExtent l="0" t="0" r="5715" b="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pic:cNvPicPr>
                  </pic:nvPicPr>
                  <pic:blipFill>
                    <a:blip r:embed="rId137"/>
                    <a:srcRect b="12218"/>
                    <a:stretch>
                      <a:fillRect/>
                    </a:stretch>
                  </pic:blipFill>
                  <pic:spPr>
                    <a:xfrm>
                      <a:off x="0" y="0"/>
                      <a:ext cx="5271135" cy="2463800"/>
                    </a:xfrm>
                    <a:prstGeom prst="rect">
                      <a:avLst/>
                    </a:prstGeom>
                    <a:noFill/>
                    <a:ln>
                      <a:noFill/>
                    </a:ln>
                  </pic:spPr>
                </pic:pic>
              </a:graphicData>
            </a:graphic>
          </wp:inline>
        </w:drawing>
      </w:r>
    </w:p>
    <w:p w14:paraId="6887C62E">
      <w:pPr>
        <w:numPr>
          <w:ilvl w:val="0"/>
          <w:numId w:val="103"/>
        </w:numPr>
        <w:snapToGrid w:val="0"/>
        <w:spacing w:line="360" w:lineRule="auto"/>
        <w:ind w:firstLine="422" w:firstLineChars="200"/>
        <w:contextualSpacing/>
        <w:rPr>
          <w:rFonts w:hint="eastAsia" w:ascii="宋体" w:hAnsi="宋体" w:cs="宋体"/>
          <w:b/>
          <w:bCs/>
          <w:szCs w:val="21"/>
        </w:rPr>
      </w:pPr>
      <w:r>
        <w:rPr>
          <w:rFonts w:ascii="宋体" w:hAnsi="宋体" w:cs="宋体"/>
          <w:b/>
          <w:bCs/>
          <w:szCs w:val="21"/>
        </w:rPr>
        <w:t>第一阶段：</w:t>
      </w:r>
      <w:r>
        <w:rPr>
          <w:rFonts w:hint="eastAsia" w:ascii="宋体" w:hAnsi="宋体" w:cs="宋体"/>
          <w:b/>
          <w:bCs/>
          <w:szCs w:val="21"/>
        </w:rPr>
        <w:t>烟草行业采购情况调研</w:t>
      </w:r>
    </w:p>
    <w:p w14:paraId="3BCAB23F">
      <w:pPr>
        <w:numPr>
          <w:ilvl w:val="0"/>
          <w:numId w:val="104"/>
        </w:numPr>
        <w:snapToGrid w:val="0"/>
        <w:spacing w:line="360" w:lineRule="auto"/>
        <w:ind w:left="0" w:firstLine="422" w:firstLineChars="200"/>
        <w:contextualSpacing/>
        <w:rPr>
          <w:rFonts w:hint="eastAsia" w:ascii="宋体" w:hAnsi="宋体" w:cs="宋体"/>
          <w:b/>
          <w:bCs/>
          <w:szCs w:val="21"/>
        </w:rPr>
      </w:pPr>
      <w:r>
        <w:rPr>
          <w:rFonts w:hint="eastAsia" w:ascii="宋体" w:hAnsi="宋体" w:cs="宋体"/>
          <w:b/>
          <w:bCs/>
          <w:szCs w:val="21"/>
        </w:rPr>
        <w:t>烟草采购情况调研（一个月）</w:t>
      </w:r>
    </w:p>
    <w:p w14:paraId="6A24E510">
      <w:pPr>
        <w:snapToGrid w:val="0"/>
        <w:spacing w:line="360" w:lineRule="auto"/>
        <w:ind w:firstLine="420"/>
        <w:contextualSpacing/>
        <w:rPr>
          <w:rFonts w:hint="eastAsia" w:ascii="宋体" w:hAnsi="宋体" w:cs="宋体"/>
          <w:szCs w:val="21"/>
        </w:rPr>
      </w:pPr>
      <w:r>
        <w:rPr>
          <w:rFonts w:hint="eastAsia" w:ascii="宋体" w:hAnsi="宋体" w:cs="宋体"/>
          <w:szCs w:val="21"/>
        </w:rPr>
        <w:t>前期将针对以下几方面开展调研，同时调研开展。</w:t>
      </w:r>
    </w:p>
    <w:p w14:paraId="24749046">
      <w:pPr>
        <w:snapToGrid w:val="0"/>
        <w:spacing w:line="360" w:lineRule="auto"/>
        <w:ind w:firstLine="420"/>
        <w:contextualSpacing/>
        <w:rPr>
          <w:rFonts w:hint="eastAsia" w:ascii="宋体" w:hAnsi="宋体" w:cs="宋体"/>
          <w:szCs w:val="21"/>
        </w:rPr>
      </w:pPr>
      <w:r>
        <w:rPr>
          <w:rFonts w:hint="eastAsia" w:ascii="宋体" w:hAnsi="宋体" w:cs="宋体"/>
          <w:szCs w:val="21"/>
        </w:rPr>
        <w:t>已有信息化系统地区采购模式调研：根据烟草总局内部资料，对各地区采购项目情况进行分析，对于已经采用信息化采购系统的企业情况进行统计，了解原有电子采购开展情况，为后期系统交互整合做准备</w:t>
      </w:r>
    </w:p>
    <w:p w14:paraId="26CF91C4">
      <w:pPr>
        <w:snapToGrid w:val="0"/>
        <w:spacing w:line="360" w:lineRule="auto"/>
        <w:ind w:firstLine="420"/>
        <w:contextualSpacing/>
        <w:rPr>
          <w:rFonts w:hint="eastAsia" w:ascii="宋体" w:hAnsi="宋体" w:cs="宋体"/>
          <w:szCs w:val="21"/>
        </w:rPr>
      </w:pPr>
      <w:r>
        <w:rPr>
          <w:rFonts w:hint="eastAsia" w:ascii="宋体" w:hAnsi="宋体" w:cs="宋体"/>
          <w:szCs w:val="21"/>
        </w:rPr>
        <w:t>各地区烟草采购监管模式调研：针对烟草各级单位已有项目监管模式进行收集分析，并对各类项目事后审查结果及风险情况进行分析，便于后续制定规范化采购流程。</w:t>
      </w:r>
    </w:p>
    <w:p w14:paraId="0417D8DC">
      <w:pPr>
        <w:snapToGrid w:val="0"/>
        <w:spacing w:line="360" w:lineRule="auto"/>
        <w:ind w:firstLine="420"/>
        <w:contextualSpacing/>
        <w:rPr>
          <w:rFonts w:hint="eastAsia" w:ascii="宋体" w:hAnsi="宋体" w:cs="宋体"/>
          <w:szCs w:val="21"/>
        </w:rPr>
      </w:pPr>
      <w:r>
        <w:rPr>
          <w:rFonts w:hint="eastAsia" w:ascii="宋体" w:hAnsi="宋体" w:cs="宋体"/>
          <w:szCs w:val="21"/>
        </w:rPr>
        <w:t>以上仅为简单描述，其他具体调研见详细方案。</w:t>
      </w:r>
    </w:p>
    <w:p w14:paraId="21E71C6E">
      <w:pPr>
        <w:numPr>
          <w:ilvl w:val="0"/>
          <w:numId w:val="104"/>
        </w:numPr>
        <w:snapToGrid w:val="0"/>
        <w:spacing w:line="360" w:lineRule="auto"/>
        <w:ind w:left="0" w:firstLine="422" w:firstLineChars="200"/>
        <w:contextualSpacing/>
        <w:rPr>
          <w:rFonts w:hint="eastAsia" w:ascii="宋体" w:hAnsi="宋体" w:cs="宋体"/>
          <w:b/>
          <w:bCs/>
          <w:szCs w:val="21"/>
        </w:rPr>
      </w:pPr>
      <w:r>
        <w:rPr>
          <w:rFonts w:hint="eastAsia" w:ascii="宋体" w:hAnsi="宋体" w:cs="宋体"/>
          <w:b/>
          <w:bCs/>
          <w:szCs w:val="21"/>
        </w:rPr>
        <w:t>烟草行业信息化调研（一个月）</w:t>
      </w:r>
    </w:p>
    <w:p w14:paraId="3A3A7DC1">
      <w:pPr>
        <w:snapToGrid w:val="0"/>
        <w:spacing w:line="360" w:lineRule="auto"/>
        <w:ind w:firstLine="420"/>
        <w:contextualSpacing/>
        <w:rPr>
          <w:rFonts w:hint="eastAsia" w:ascii="宋体" w:hAnsi="宋体" w:cs="宋体"/>
          <w:szCs w:val="21"/>
        </w:rPr>
      </w:pPr>
      <w:r>
        <w:rPr>
          <w:rFonts w:hint="eastAsia" w:ascii="宋体" w:hAnsi="宋体" w:cs="宋体"/>
          <w:szCs w:val="21"/>
        </w:rPr>
        <w:t>对烟草行业现有一个云平台、两个中台、四大企业应用和两大行业应用进行研究，以及其他地区的采购系统进行调研。</w:t>
      </w:r>
    </w:p>
    <w:p w14:paraId="70F72E20">
      <w:pPr>
        <w:numPr>
          <w:ilvl w:val="0"/>
          <w:numId w:val="103"/>
        </w:numPr>
        <w:snapToGrid w:val="0"/>
        <w:spacing w:line="360" w:lineRule="auto"/>
        <w:ind w:firstLine="422" w:firstLineChars="200"/>
        <w:contextualSpacing/>
        <w:rPr>
          <w:rFonts w:hint="eastAsia" w:ascii="宋体" w:hAnsi="宋体" w:cs="宋体"/>
          <w:b/>
          <w:bCs/>
          <w:szCs w:val="21"/>
        </w:rPr>
      </w:pPr>
      <w:r>
        <w:rPr>
          <w:rFonts w:hint="eastAsia" w:ascii="宋体" w:hAnsi="宋体" w:cs="宋体"/>
          <w:b/>
          <w:bCs/>
          <w:szCs w:val="21"/>
        </w:rPr>
        <w:t>第二阶段：规划采购管理模式</w:t>
      </w:r>
    </w:p>
    <w:p w14:paraId="55B179BC">
      <w:pPr>
        <w:numPr>
          <w:ilvl w:val="0"/>
          <w:numId w:val="105"/>
        </w:numPr>
        <w:snapToGrid w:val="0"/>
        <w:spacing w:line="360" w:lineRule="auto"/>
        <w:ind w:left="425" w:firstLine="422" w:firstLineChars="200"/>
        <w:contextualSpacing/>
        <w:rPr>
          <w:rFonts w:hint="eastAsia" w:ascii="宋体" w:hAnsi="宋体" w:cs="宋体"/>
          <w:b/>
          <w:bCs/>
          <w:szCs w:val="21"/>
        </w:rPr>
      </w:pPr>
      <w:r>
        <w:rPr>
          <w:rFonts w:hint="eastAsia" w:ascii="宋体" w:hAnsi="宋体" w:cs="宋体"/>
          <w:b/>
          <w:bCs/>
          <w:szCs w:val="21"/>
        </w:rPr>
        <w:t>采购机构规划（三周）</w:t>
      </w:r>
    </w:p>
    <w:p w14:paraId="149801BC">
      <w:pPr>
        <w:snapToGrid w:val="0"/>
        <w:spacing w:line="360" w:lineRule="auto"/>
        <w:ind w:firstLine="422"/>
        <w:contextualSpacing/>
        <w:rPr>
          <w:rFonts w:hint="eastAsia" w:ascii="宋体" w:hAnsi="宋体" w:cs="宋体"/>
          <w:b/>
          <w:bCs/>
          <w:szCs w:val="21"/>
        </w:rPr>
      </w:pPr>
      <w:r>
        <w:rPr>
          <w:rFonts w:hint="eastAsia" w:ascii="宋体" w:hAnsi="宋体" w:cs="宋体"/>
          <w:b/>
          <w:bCs/>
          <w:szCs w:val="21"/>
        </w:rPr>
        <w:t xml:space="preserve">    </w:t>
      </w:r>
      <w:r>
        <w:rPr>
          <w:rFonts w:hint="eastAsia" w:ascii="宋体" w:hAnsi="宋体" w:cs="宋体"/>
          <w:szCs w:val="21"/>
        </w:rPr>
        <w:t>在已有较完善的采购规章制度基础上，结合信息化系统运营、运维、质量保证及规范化等要求，对烟草行业采购组织架构进行梳理。</w:t>
      </w:r>
    </w:p>
    <w:p w14:paraId="26873402">
      <w:pPr>
        <w:numPr>
          <w:ilvl w:val="0"/>
          <w:numId w:val="105"/>
        </w:numPr>
        <w:snapToGrid w:val="0"/>
        <w:spacing w:line="360" w:lineRule="auto"/>
        <w:ind w:left="425" w:firstLine="422" w:firstLineChars="200"/>
        <w:contextualSpacing/>
        <w:rPr>
          <w:rFonts w:hint="eastAsia" w:ascii="宋体" w:hAnsi="宋体" w:cs="宋体"/>
          <w:b/>
          <w:bCs/>
          <w:szCs w:val="21"/>
        </w:rPr>
      </w:pPr>
      <w:r>
        <w:rPr>
          <w:rFonts w:hint="eastAsia" w:ascii="宋体" w:hAnsi="宋体" w:cs="宋体"/>
          <w:b/>
          <w:bCs/>
          <w:szCs w:val="21"/>
        </w:rPr>
        <w:t>采购制度规划（两个月）</w:t>
      </w:r>
    </w:p>
    <w:p w14:paraId="2BE2F8BC">
      <w:pPr>
        <w:snapToGrid w:val="0"/>
        <w:spacing w:line="360" w:lineRule="auto"/>
        <w:ind w:firstLine="420"/>
        <w:contextualSpacing/>
        <w:rPr>
          <w:rFonts w:hint="eastAsia" w:ascii="宋体" w:hAnsi="宋体" w:cs="宋体"/>
          <w:szCs w:val="21"/>
        </w:rPr>
      </w:pPr>
      <w:r>
        <w:rPr>
          <w:rFonts w:ascii="宋体" w:hAnsi="宋体" w:cs="宋体"/>
          <w:szCs w:val="21"/>
        </w:rPr>
        <w:t>采购流程</w:t>
      </w:r>
      <w:r>
        <w:rPr>
          <w:rFonts w:hint="eastAsia" w:ascii="宋体" w:hAnsi="宋体" w:cs="宋体"/>
          <w:szCs w:val="21"/>
        </w:rPr>
        <w:t>及制度规划</w:t>
      </w:r>
      <w:r>
        <w:rPr>
          <w:rFonts w:ascii="宋体" w:hAnsi="宋体" w:cs="宋体"/>
          <w:szCs w:val="21"/>
        </w:rPr>
        <w:t>化建设是</w:t>
      </w:r>
      <w:r>
        <w:rPr>
          <w:rFonts w:hint="eastAsia" w:ascii="宋体" w:hAnsi="宋体" w:cs="宋体"/>
          <w:szCs w:val="21"/>
        </w:rPr>
        <w:t>烟草行业采购</w:t>
      </w:r>
      <w:r>
        <w:rPr>
          <w:rFonts w:ascii="宋体" w:hAnsi="宋体" w:cs="宋体"/>
          <w:szCs w:val="21"/>
        </w:rPr>
        <w:t>的重要环节，旨在提高效率、降低成本，并保障</w:t>
      </w:r>
      <w:r>
        <w:rPr>
          <w:rFonts w:hint="eastAsia" w:ascii="宋体" w:hAnsi="宋体" w:cs="宋体"/>
          <w:szCs w:val="21"/>
        </w:rPr>
        <w:t>烟草各级单位采购</w:t>
      </w:r>
      <w:r>
        <w:rPr>
          <w:rFonts w:ascii="宋体" w:hAnsi="宋体" w:cs="宋体"/>
          <w:szCs w:val="21"/>
        </w:rPr>
        <w:t>的合规性和稳定性</w:t>
      </w:r>
      <w:r>
        <w:rPr>
          <w:rFonts w:hint="eastAsia" w:ascii="宋体" w:hAnsi="宋体" w:cs="宋体"/>
          <w:szCs w:val="21"/>
        </w:rPr>
        <w:t>。</w:t>
      </w:r>
    </w:p>
    <w:p w14:paraId="3D6D0D21">
      <w:pPr>
        <w:snapToGrid w:val="0"/>
        <w:spacing w:line="360" w:lineRule="auto"/>
        <w:ind w:firstLine="420"/>
        <w:contextualSpacing/>
        <w:rPr>
          <w:rFonts w:hint="eastAsia" w:ascii="宋体" w:hAnsi="宋体" w:cs="宋体"/>
          <w:szCs w:val="21"/>
        </w:rPr>
      </w:pPr>
      <w:r>
        <w:rPr>
          <w:rFonts w:hint="eastAsia" w:ascii="宋体" w:hAnsi="宋体" w:cs="宋体"/>
          <w:szCs w:val="21"/>
        </w:rPr>
        <w:t>烟草行业的采购机构多呈分散状态，不同地区或部门间存在职能重叠问题，同时因架构过于庞大导致可能存在的执行层面问题，本次规划将通过采购管理信息化规范，结合采购实际过程中产生的问题提出优化建议。</w:t>
      </w:r>
    </w:p>
    <w:p w14:paraId="1B9D73BF">
      <w:pPr>
        <w:numPr>
          <w:ilvl w:val="0"/>
          <w:numId w:val="105"/>
        </w:numPr>
        <w:snapToGrid w:val="0"/>
        <w:spacing w:line="360" w:lineRule="auto"/>
        <w:ind w:left="425" w:firstLine="422" w:firstLineChars="200"/>
        <w:contextualSpacing/>
        <w:rPr>
          <w:rFonts w:hint="eastAsia" w:ascii="宋体" w:hAnsi="宋体" w:cs="宋体"/>
          <w:b/>
          <w:bCs/>
          <w:szCs w:val="21"/>
        </w:rPr>
      </w:pPr>
      <w:r>
        <w:rPr>
          <w:rFonts w:hint="eastAsia" w:ascii="宋体" w:hAnsi="宋体" w:cs="宋体"/>
          <w:b/>
          <w:bCs/>
          <w:szCs w:val="21"/>
        </w:rPr>
        <w:t>采购策略规划（两个月）</w:t>
      </w:r>
    </w:p>
    <w:p w14:paraId="026E282E">
      <w:pPr>
        <w:snapToGrid w:val="0"/>
        <w:spacing w:line="360" w:lineRule="auto"/>
        <w:ind w:firstLine="420"/>
        <w:contextualSpacing/>
        <w:rPr>
          <w:rFonts w:hint="eastAsia" w:ascii="宋体" w:hAnsi="宋体" w:cs="宋体"/>
          <w:szCs w:val="21"/>
        </w:rPr>
      </w:pPr>
      <w:r>
        <w:rPr>
          <w:rFonts w:hint="eastAsia" w:ascii="宋体" w:hAnsi="宋体" w:cs="宋体"/>
          <w:szCs w:val="21"/>
        </w:rPr>
        <w:t>采购策略作为提升企业运营效率、降低成本的重要手段，我们将结合</w:t>
      </w:r>
      <w:r>
        <w:rPr>
          <w:szCs w:val="21"/>
        </w:rPr>
        <w:t>采购领域的先进理念</w:t>
      </w:r>
      <w:r>
        <w:rPr>
          <w:rFonts w:hint="eastAsia" w:ascii="宋体" w:hAnsi="宋体" w:cs="宋体"/>
          <w:szCs w:val="21"/>
        </w:rPr>
        <w:t>，帮助烟草行业不断调整采购策略。</w:t>
      </w:r>
    </w:p>
    <w:p w14:paraId="57080C41">
      <w:pPr>
        <w:numPr>
          <w:ilvl w:val="0"/>
          <w:numId w:val="105"/>
        </w:numPr>
        <w:snapToGrid w:val="0"/>
        <w:spacing w:line="360" w:lineRule="auto"/>
        <w:ind w:left="425" w:firstLine="422" w:firstLineChars="200"/>
        <w:contextualSpacing/>
        <w:rPr>
          <w:rFonts w:hint="eastAsia" w:ascii="宋体" w:hAnsi="宋体" w:cs="宋体"/>
          <w:b/>
          <w:bCs/>
          <w:szCs w:val="21"/>
        </w:rPr>
      </w:pPr>
      <w:r>
        <w:rPr>
          <w:rFonts w:hint="eastAsia" w:ascii="宋体" w:hAnsi="宋体" w:cs="宋体"/>
          <w:b/>
          <w:bCs/>
          <w:szCs w:val="21"/>
        </w:rPr>
        <w:t>采购信息化规划（两个月）</w:t>
      </w:r>
    </w:p>
    <w:p w14:paraId="6ACB0583">
      <w:pPr>
        <w:snapToGrid w:val="0"/>
        <w:spacing w:line="360" w:lineRule="auto"/>
        <w:ind w:firstLine="420"/>
        <w:contextualSpacing/>
        <w:rPr>
          <w:rFonts w:hint="eastAsia" w:ascii="宋体" w:hAnsi="宋体" w:cs="宋体"/>
          <w:szCs w:val="21"/>
        </w:rPr>
      </w:pPr>
      <w:r>
        <w:rPr>
          <w:rFonts w:hint="eastAsia" w:ascii="宋体" w:hAnsi="宋体" w:cs="宋体"/>
          <w:szCs w:val="21"/>
        </w:rPr>
        <w:t>将传统的手工采购流程转化为数字化的操作模式，各级单位能够实时跟踪采购进度，优化库存管理，提高决策准确性。</w:t>
      </w:r>
    </w:p>
    <w:p w14:paraId="099F52A7">
      <w:pPr>
        <w:pStyle w:val="5"/>
        <w:rPr>
          <w:rFonts w:hint="eastAsia" w:ascii="宋体" w:hAnsi="宋体"/>
        </w:rPr>
      </w:pPr>
      <w:bookmarkStart w:id="314" w:name="_Toc180265694"/>
      <w:r>
        <w:rPr>
          <w:rFonts w:hint="eastAsia" w:ascii="宋体" w:hAnsi="宋体"/>
        </w:rPr>
        <w:t>规划实施管理</w:t>
      </w:r>
      <w:bookmarkEnd w:id="314"/>
    </w:p>
    <w:p w14:paraId="40327F0D">
      <w:pPr>
        <w:spacing w:line="360" w:lineRule="auto"/>
        <w:ind w:firstLine="420"/>
        <w:rPr>
          <w:rFonts w:hint="eastAsia" w:asciiTheme="minorEastAsia" w:hAnsiTheme="minorEastAsia"/>
          <w:szCs w:val="21"/>
        </w:rPr>
      </w:pPr>
      <w:r>
        <w:rPr>
          <w:rFonts w:hint="eastAsia" w:asciiTheme="minorEastAsia" w:hAnsiTheme="minorEastAsia"/>
          <w:szCs w:val="21"/>
        </w:rPr>
        <w:t>根据“流程标准化、业务数字化、监管智能化、采购集中化”的顶层设计和统筹规划思路，深入分析和评估烟草行业采购管理现状，聚焦行业采购管理赋能，科学谋划行业采购体系改进路径和发展规划，最终形成采购机构、采购制度、采购策略、采购监管、采购信息化等规划成果。在整个规划项目实施过程中，结合项目特点，做好以下管理工作：</w:t>
      </w:r>
    </w:p>
    <w:p w14:paraId="6C40D9E8">
      <w:pPr>
        <w:spacing w:line="360" w:lineRule="auto"/>
        <w:ind w:firstLine="420"/>
        <w:rPr>
          <w:rFonts w:hint="eastAsia" w:asciiTheme="minorEastAsia" w:hAnsiTheme="minorEastAsia"/>
          <w:szCs w:val="21"/>
        </w:rPr>
      </w:pPr>
      <w:r>
        <w:rPr>
          <w:rFonts w:hint="eastAsia" w:asciiTheme="minorEastAsia" w:hAnsiTheme="minorEastAsia"/>
          <w:szCs w:val="21"/>
        </w:rPr>
        <w:t>做好项目管控与沟通计划管理，制定合理的计划安排，组织、协</w:t>
      </w:r>
      <w:bookmarkStart w:id="315" w:name="OLE_LINK26"/>
      <w:bookmarkStart w:id="316" w:name="OLE_LINK25"/>
      <w:r>
        <w:rPr>
          <w:rFonts w:hint="eastAsia" w:asciiTheme="minorEastAsia" w:hAnsiTheme="minorEastAsia"/>
          <w:szCs w:val="21"/>
        </w:rPr>
        <w:t>调、推进项</w:t>
      </w:r>
      <w:bookmarkEnd w:id="315"/>
      <w:bookmarkEnd w:id="316"/>
      <w:r>
        <w:rPr>
          <w:rFonts w:hint="eastAsia" w:asciiTheme="minorEastAsia" w:hAnsiTheme="minorEastAsia"/>
          <w:szCs w:val="21"/>
        </w:rPr>
        <w:t>目的需求调研、研究论证、规划编制等，针对规划需求，与招标人及标段二中标人开展具体规划工作。</w:t>
      </w:r>
    </w:p>
    <w:p w14:paraId="0EF47E5D">
      <w:pPr>
        <w:spacing w:line="360" w:lineRule="auto"/>
        <w:ind w:firstLine="420"/>
        <w:rPr>
          <w:rFonts w:hint="eastAsia" w:asciiTheme="minorEastAsia" w:hAnsiTheme="minorEastAsia"/>
          <w:szCs w:val="21"/>
        </w:rPr>
      </w:pPr>
      <w:r>
        <w:rPr>
          <w:rFonts w:hint="eastAsia" w:asciiTheme="minorEastAsia" w:hAnsiTheme="minorEastAsia"/>
          <w:szCs w:val="21"/>
        </w:rPr>
        <w:t>规划实施方案坚持方案制定的5个基本原则，确保规划工作的合理、科学、高效的开展。</w:t>
      </w:r>
    </w:p>
    <w:p w14:paraId="54A06A9C">
      <w:pPr>
        <w:numPr>
          <w:ilvl w:val="0"/>
          <w:numId w:val="106"/>
        </w:numPr>
        <w:spacing w:line="360" w:lineRule="auto"/>
        <w:ind w:firstLine="420" w:firstLineChars="200"/>
      </w:pPr>
      <w:r>
        <w:rPr>
          <w:rFonts w:hint="eastAsia"/>
        </w:rPr>
        <w:t>规划方案内容全面性</w:t>
      </w:r>
    </w:p>
    <w:p w14:paraId="2926BEAF">
      <w:pPr>
        <w:numPr>
          <w:ilvl w:val="0"/>
          <w:numId w:val="106"/>
        </w:numPr>
        <w:spacing w:line="360" w:lineRule="auto"/>
        <w:ind w:firstLine="420" w:firstLineChars="200"/>
      </w:pPr>
      <w:r>
        <w:rPr>
          <w:rFonts w:hint="eastAsia"/>
        </w:rPr>
        <w:t>规划方案理论科学性</w:t>
      </w:r>
    </w:p>
    <w:p w14:paraId="4E6E1B83">
      <w:pPr>
        <w:numPr>
          <w:ilvl w:val="0"/>
          <w:numId w:val="106"/>
        </w:numPr>
        <w:spacing w:line="360" w:lineRule="auto"/>
        <w:ind w:firstLine="420" w:firstLineChars="200"/>
      </w:pPr>
      <w:r>
        <w:rPr>
          <w:rFonts w:hint="eastAsia"/>
        </w:rPr>
        <w:t>规划方案进度合理性</w:t>
      </w:r>
    </w:p>
    <w:p w14:paraId="7122458E">
      <w:pPr>
        <w:numPr>
          <w:ilvl w:val="0"/>
          <w:numId w:val="106"/>
        </w:numPr>
        <w:spacing w:line="360" w:lineRule="auto"/>
        <w:ind w:firstLine="420" w:firstLineChars="200"/>
      </w:pPr>
      <w:r>
        <w:rPr>
          <w:rFonts w:hint="eastAsia"/>
        </w:rPr>
        <w:t>规划方案计划完整性</w:t>
      </w:r>
    </w:p>
    <w:p w14:paraId="4AD3580A">
      <w:pPr>
        <w:numPr>
          <w:ilvl w:val="0"/>
          <w:numId w:val="106"/>
        </w:numPr>
        <w:spacing w:line="360" w:lineRule="auto"/>
        <w:ind w:firstLine="420" w:firstLineChars="200"/>
      </w:pPr>
      <w:r>
        <w:rPr>
          <w:rFonts w:hint="eastAsia"/>
        </w:rPr>
        <w:t>规划方案措施有效性</w:t>
      </w:r>
    </w:p>
    <w:p w14:paraId="28E5506D">
      <w:pPr>
        <w:spacing w:line="360" w:lineRule="auto"/>
        <w:ind w:firstLine="420"/>
      </w:pPr>
      <w:r>
        <w:rPr>
          <w:rFonts w:hint="eastAsia"/>
        </w:rPr>
        <w:t>按时按需与招标人日常沟通联络和协调。在调研阶段、研究论证阶段、成果文件编制阶段，规划团队负责人应在工作现场，随时与招标人进行沟通、讨论。按照招标人确认的项目团队人员方案，在项目实施各阶段及时安排人员投入工作，确保项目进度和质量。现场工作时，规划团队成员须遵守招标人现场管理要求和有关工作制度。建立并实行“例会”制度，及时对阶段工作完成情况进行总结，对拖期情况进行分析并制订补救措施，同时明确下一阶段工作计划及内容。必要时，可发起临时工作调度会，沟通协调工作进展并做出必要安排。规划团队成员原则上须专职从事本项目工作，不得影响本项目工作和实施进度。未经招标人事先同意，规划团队主要成员（团队负责人、资深专家及规划成果文件编写主要人员）在项目实施期内不得更换；不能胜任岗位的团队成员及时按照招标人要求予以更换。</w:t>
      </w:r>
    </w:p>
    <w:p w14:paraId="004B2272">
      <w:pPr>
        <w:spacing w:line="360" w:lineRule="auto"/>
        <w:ind w:firstLine="420"/>
        <w:rPr>
          <w:rFonts w:hint="eastAsia" w:asciiTheme="minorEastAsia" w:hAnsiTheme="minorEastAsia"/>
          <w:szCs w:val="21"/>
        </w:rPr>
      </w:pPr>
      <w:r>
        <w:rPr>
          <w:rFonts w:hint="eastAsia" w:asciiTheme="minorEastAsia" w:hAnsiTheme="minorEastAsia"/>
          <w:szCs w:val="21"/>
        </w:rPr>
        <w:t>做好质量与交付管理，提交各项规划成果文件初稿后，应结合招标人意见进行完善修改。全部规划成果文件交付期限为合同生效后3个月内，规划团队应结合服务期限要求，合理制定工作计划并有序推进各项规划进度。严格遵守招标人关于知识产权的要求和国家相关法律法规。</w:t>
      </w:r>
    </w:p>
    <w:p w14:paraId="5D750F68">
      <w:pPr>
        <w:spacing w:line="360" w:lineRule="auto"/>
        <w:ind w:firstLine="420"/>
        <w:rPr>
          <w:rFonts w:hint="eastAsia" w:asciiTheme="minorEastAsia" w:hAnsiTheme="minorEastAsia"/>
          <w:szCs w:val="21"/>
        </w:rPr>
      </w:pPr>
      <w:r>
        <w:rPr>
          <w:rFonts w:hint="eastAsia" w:asciiTheme="minorEastAsia" w:hAnsiTheme="minorEastAsia"/>
          <w:szCs w:val="21"/>
        </w:rPr>
        <w:t>做好</w:t>
      </w:r>
      <w:bookmarkStart w:id="317" w:name="OLE_LINK33"/>
      <w:r>
        <w:rPr>
          <w:rFonts w:hint="eastAsia" w:asciiTheme="minorEastAsia" w:hAnsiTheme="minorEastAsia"/>
          <w:szCs w:val="21"/>
        </w:rPr>
        <w:t>绿色供应链建设，</w:t>
      </w:r>
      <w:bookmarkEnd w:id="317"/>
      <w:r>
        <w:rPr>
          <w:rFonts w:hint="eastAsia" w:asciiTheme="minorEastAsia" w:hAnsiTheme="minorEastAsia"/>
          <w:szCs w:val="21"/>
        </w:rPr>
        <w:t>贯彻国家双碳战略，将“绿色低碳、节能环保”要求列为重要因素。</w:t>
      </w:r>
      <w:bookmarkStart w:id="318" w:name="OLE_LINK27"/>
      <w:bookmarkStart w:id="319" w:name="OLE_LINK28"/>
      <w:r>
        <w:rPr>
          <w:rFonts w:hint="eastAsia" w:asciiTheme="minorEastAsia" w:hAnsiTheme="minorEastAsia"/>
          <w:szCs w:val="21"/>
        </w:rPr>
        <w:t>响应国家号召，推动绿色低碳转型发展，建立绿色低碳循环产业体系，构建清洁低碳安全高效能源体系，强化绿色低碳技术科技攻关和创新应用，建立完善碳排放管理机制</w:t>
      </w:r>
      <w:bookmarkEnd w:id="318"/>
      <w:bookmarkEnd w:id="319"/>
      <w:r>
        <w:rPr>
          <w:rFonts w:hint="eastAsia" w:asciiTheme="minorEastAsia" w:hAnsiTheme="minorEastAsia"/>
          <w:szCs w:val="21"/>
        </w:rPr>
        <w:t>。</w:t>
      </w:r>
    </w:p>
    <w:p w14:paraId="6EDCF820">
      <w:pPr>
        <w:spacing w:line="360" w:lineRule="auto"/>
        <w:ind w:firstLine="420"/>
        <w:rPr>
          <w:rFonts w:hint="eastAsia" w:asciiTheme="minorEastAsia" w:hAnsiTheme="minorEastAsia"/>
          <w:szCs w:val="21"/>
        </w:rPr>
      </w:pPr>
      <w:r>
        <w:rPr>
          <w:rFonts w:hint="eastAsia" w:asciiTheme="minorEastAsia" w:hAnsiTheme="minorEastAsia"/>
          <w:szCs w:val="21"/>
        </w:rPr>
        <w:t>做好优化营商环境建设，进一步规范设置供应商资格要求，避免以企业注册资本规模、不合理业绩及奖项加分等条件排斥或歧视中小企业。可通过智能检查工具对资格要求条款中包含注册资金、实收资本、营业收入、利润、行政区划或“奖〞等关键词的情形进行预警。</w:t>
      </w:r>
    </w:p>
    <w:p w14:paraId="2E27C8B4">
      <w:pPr>
        <w:spacing w:line="360" w:lineRule="auto"/>
        <w:ind w:firstLine="420"/>
        <w:rPr>
          <w:rFonts w:hint="eastAsia" w:asciiTheme="minorEastAsia" w:hAnsiTheme="minorEastAsia"/>
          <w:szCs w:val="21"/>
        </w:rPr>
      </w:pPr>
      <w:r>
        <w:rPr>
          <w:rFonts w:hint="eastAsia" w:asciiTheme="minorEastAsia" w:hAnsiTheme="minorEastAsia"/>
          <w:szCs w:val="21"/>
        </w:rPr>
        <w:t>做好标准化管理，根据国家相关法律法规，</w:t>
      </w:r>
      <w:r>
        <w:rPr>
          <w:rFonts w:cs="Arial" w:asciiTheme="minorEastAsia" w:hAnsiTheme="minorEastAsia"/>
          <w:szCs w:val="21"/>
          <w:shd w:val="clear" w:color="auto" w:fill="FFFFFF"/>
        </w:rPr>
        <w:t>对没有推荐性国家标准、需要在全国某个行业范围内统一的技术要求，可以制定行业标准</w:t>
      </w:r>
      <w:r>
        <w:rPr>
          <w:rFonts w:hint="eastAsia" w:cs="Arial" w:asciiTheme="minorEastAsia" w:hAnsiTheme="minorEastAsia"/>
          <w:szCs w:val="21"/>
          <w:shd w:val="clear" w:color="auto" w:fill="FFFFFF"/>
        </w:rPr>
        <w:t>。这将</w:t>
      </w:r>
      <w:r>
        <w:rPr>
          <w:rFonts w:hint="eastAsia" w:asciiTheme="minorEastAsia" w:hAnsiTheme="minorEastAsia"/>
          <w:szCs w:val="21"/>
        </w:rPr>
        <w:t>有利于科学合理利用资源，推广科学技术成果，增强产品的安全性、通用性、可替换性，提高经济效益、社会效益、生态效益，做到技术上先进、经济上合理。</w:t>
      </w:r>
    </w:p>
    <w:p w14:paraId="474B7C94">
      <w:pPr>
        <w:spacing w:line="360" w:lineRule="auto"/>
        <w:ind w:firstLine="420"/>
        <w:rPr>
          <w:szCs w:val="21"/>
        </w:rPr>
      </w:pPr>
      <w:r>
        <w:rPr>
          <w:rFonts w:hint="eastAsia" w:asciiTheme="minorEastAsia" w:hAnsiTheme="minorEastAsia"/>
          <w:szCs w:val="21"/>
        </w:rPr>
        <w:t>做好风险管理，结合项目所属行业特有风险，结合现有技术资源情况，综合判断项目时间、技术力量、费用成本等风险，明确各类风险程度，并提出切实可行的应对措施。如遇相关案件查办时，配合提供证据与作证，如果发生拒不配合情形，采购方有权采取警示约谈、降低考核评价分数、降低供货份额、缩短服务期限、终止或解除合同等多种处理措施。</w:t>
      </w:r>
      <w:r>
        <w:rPr>
          <w:rFonts w:hint="eastAsia"/>
          <w:szCs w:val="21"/>
        </w:rPr>
        <w:t xml:space="preserve"> </w:t>
      </w:r>
    </w:p>
    <w:p w14:paraId="35F715C7">
      <w:pPr>
        <w:pStyle w:val="6"/>
        <w:rPr>
          <w:rFonts w:hint="eastAsia" w:ascii="宋体" w:hAnsi="宋体"/>
          <w:szCs w:val="24"/>
        </w:rPr>
      </w:pPr>
      <w:bookmarkStart w:id="320" w:name="_Toc180265695"/>
      <w:r>
        <w:rPr>
          <w:rFonts w:ascii="宋体" w:hAnsi="宋体"/>
          <w:szCs w:val="24"/>
        </w:rPr>
        <w:t>采购机构规划</w:t>
      </w:r>
      <w:r>
        <w:rPr>
          <w:rFonts w:hint="eastAsia" w:ascii="宋体" w:hAnsi="宋体"/>
          <w:szCs w:val="24"/>
        </w:rPr>
        <w:t>实施方案</w:t>
      </w:r>
      <w:bookmarkEnd w:id="320"/>
    </w:p>
    <w:p w14:paraId="25E54593">
      <w:pPr>
        <w:spacing w:line="360" w:lineRule="auto"/>
        <w:ind w:firstLine="420" w:firstLineChars="200"/>
        <w:rPr>
          <w:szCs w:val="21"/>
        </w:rPr>
      </w:pPr>
      <w:r>
        <w:rPr>
          <w:szCs w:val="21"/>
        </w:rPr>
        <w:t>采购管理在烟草企业的运营中扮演着至关重要的角色。</w:t>
      </w:r>
      <w:r>
        <w:rPr>
          <w:rFonts w:hint="eastAsia"/>
          <w:szCs w:val="21"/>
        </w:rPr>
        <w:t>建议烟草总公司整合设立专职采购管理部门，作为采购管理工作的领导和决策机构，领导、协调监督整个烟草行业采购工作，加强烟草总局的战略指导与监督，强化采购体系建设顶层设计。制订审议基本管理制度；重要采购项目年度招标/非招标采购计划，建立采购与物资工作管理、监督、检查、考核机制；协调解决采购与物资管理过程中出现的重大问题等。</w:t>
      </w:r>
    </w:p>
    <w:p w14:paraId="2FBDC2B2">
      <w:pPr>
        <w:spacing w:line="360" w:lineRule="auto"/>
        <w:ind w:firstLine="420" w:firstLineChars="200"/>
        <w:rPr>
          <w:szCs w:val="21"/>
        </w:rPr>
      </w:pPr>
      <w:r>
        <w:rPr>
          <w:rFonts w:hint="eastAsia"/>
          <w:szCs w:val="21"/>
        </w:rPr>
        <w:t>下属企业均设置有采购领导机构和采购业务归口管理部门，总公司、子分公司按照总公司重要采购项目目录等划分管理范围，子分公司可作为采购归口管理部门负责其他项目。构建形成了总公司采购管理统一领导协调，专业部门协同配合，总部、子分公司、基层企业分级负责，子分公司设立物资与采购管理归口部门。</w:t>
      </w:r>
    </w:p>
    <w:p w14:paraId="630B4F3A">
      <w:pPr>
        <w:spacing w:line="360" w:lineRule="auto"/>
        <w:ind w:firstLine="420" w:firstLineChars="200"/>
        <w:rPr>
          <w:szCs w:val="21"/>
        </w:rPr>
      </w:pPr>
      <w:r>
        <w:rPr>
          <w:rFonts w:hint="eastAsia"/>
          <w:szCs w:val="21"/>
        </w:rPr>
        <w:t>本方案</w:t>
      </w:r>
      <w:r>
        <w:rPr>
          <w:szCs w:val="21"/>
        </w:rPr>
        <w:t>通过调研烟草行业的采购管理体系，包括组织架构和管控层级的设置，识别采购管理、采购实施、采购监督的边界，并建立实现集中采购管控和分级授权的管理体制。</w:t>
      </w:r>
      <w:r>
        <w:rPr>
          <w:rFonts w:hint="eastAsia"/>
          <w:szCs w:val="21"/>
        </w:rPr>
        <w:t>规划方案</w:t>
      </w:r>
      <w:r>
        <w:rPr>
          <w:szCs w:val="21"/>
        </w:rPr>
        <w:t>将涵盖采购发展趋势和管理模式分析、采购管理体系现状分析、采购管理体系和组织架构改进及实施方案，以及烟草企业采购实施方案的实施计划及其保障措施。</w:t>
      </w:r>
    </w:p>
    <w:p w14:paraId="43EB5F67">
      <w:pPr>
        <w:spacing w:line="360" w:lineRule="auto"/>
        <w:jc w:val="left"/>
        <w:rPr>
          <w:b/>
          <w:bCs/>
          <w:szCs w:val="21"/>
        </w:rPr>
      </w:pPr>
      <w:r>
        <w:rPr>
          <w:rFonts w:hint="eastAsia"/>
          <w:b/>
          <w:bCs/>
          <w:szCs w:val="21"/>
        </w:rPr>
        <w:t>一、</w:t>
      </w:r>
      <w:r>
        <w:rPr>
          <w:b/>
          <w:bCs/>
          <w:szCs w:val="21"/>
        </w:rPr>
        <w:t>采购管理体系现状</w:t>
      </w:r>
      <w:r>
        <w:rPr>
          <w:rFonts w:hint="eastAsia"/>
          <w:b/>
          <w:bCs/>
          <w:szCs w:val="21"/>
        </w:rPr>
        <w:t>调研</w:t>
      </w:r>
      <w:r>
        <w:rPr>
          <w:b/>
          <w:bCs/>
          <w:szCs w:val="21"/>
        </w:rPr>
        <w:t>分析</w:t>
      </w:r>
    </w:p>
    <w:p w14:paraId="37B7CB82">
      <w:pPr>
        <w:spacing w:line="360" w:lineRule="auto"/>
        <w:ind w:left="420"/>
        <w:rPr>
          <w:b/>
          <w:bCs/>
          <w:szCs w:val="21"/>
        </w:rPr>
      </w:pPr>
      <w:r>
        <w:rPr>
          <w:rFonts w:hint="eastAsia"/>
          <w:b/>
          <w:bCs/>
          <w:szCs w:val="21"/>
        </w:rPr>
        <w:t>（1）</w:t>
      </w:r>
      <w:r>
        <w:rPr>
          <w:b/>
          <w:bCs/>
          <w:szCs w:val="21"/>
        </w:rPr>
        <w:t>组织架构</w:t>
      </w:r>
      <w:r>
        <w:rPr>
          <w:rFonts w:hint="eastAsia"/>
          <w:b/>
          <w:bCs/>
          <w:szCs w:val="21"/>
        </w:rPr>
        <w:t>调研分析</w:t>
      </w:r>
    </w:p>
    <w:p w14:paraId="210712F2">
      <w:pPr>
        <w:spacing w:line="360" w:lineRule="auto"/>
        <w:ind w:firstLine="420"/>
        <w:rPr>
          <w:szCs w:val="21"/>
        </w:rPr>
      </w:pPr>
      <w:r>
        <w:rPr>
          <w:szCs w:val="21"/>
        </w:rPr>
        <w:t>烟草企业的采购部门通常包括采购计划、采购实施、采购监督等职能。</w:t>
      </w:r>
      <w:r>
        <w:rPr>
          <w:rFonts w:hint="eastAsia"/>
          <w:szCs w:val="21"/>
        </w:rPr>
        <w:t>重点调研</w:t>
      </w:r>
      <w:r>
        <w:rPr>
          <w:szCs w:val="21"/>
        </w:rPr>
        <w:t>部分企业在组织架构上</w:t>
      </w:r>
      <w:r>
        <w:rPr>
          <w:rFonts w:hint="eastAsia"/>
          <w:szCs w:val="21"/>
        </w:rPr>
        <w:t>是否存</w:t>
      </w:r>
      <w:r>
        <w:rPr>
          <w:szCs w:val="21"/>
        </w:rPr>
        <w:t>在职能重叠、权责不清的问题，导致采购效率低下</w:t>
      </w:r>
      <w:r>
        <w:rPr>
          <w:rFonts w:hint="eastAsia"/>
          <w:szCs w:val="21"/>
        </w:rPr>
        <w:t>等问题。</w:t>
      </w:r>
    </w:p>
    <w:p w14:paraId="276E83CA">
      <w:pPr>
        <w:spacing w:line="360" w:lineRule="auto"/>
        <w:ind w:left="420"/>
        <w:rPr>
          <w:b/>
          <w:bCs/>
          <w:szCs w:val="21"/>
        </w:rPr>
      </w:pPr>
      <w:r>
        <w:rPr>
          <w:rFonts w:hint="eastAsia"/>
          <w:b/>
          <w:bCs/>
          <w:szCs w:val="21"/>
        </w:rPr>
        <w:t>（2）</w:t>
      </w:r>
      <w:r>
        <w:rPr>
          <w:b/>
          <w:bCs/>
          <w:szCs w:val="21"/>
        </w:rPr>
        <w:t>管控层级采购管理、采购实施、采购监督边界</w:t>
      </w:r>
      <w:r>
        <w:rPr>
          <w:rFonts w:hint="eastAsia"/>
          <w:b/>
          <w:bCs/>
          <w:szCs w:val="21"/>
        </w:rPr>
        <w:t>调研分析</w:t>
      </w:r>
    </w:p>
    <w:p w14:paraId="55C2A6DC">
      <w:pPr>
        <w:spacing w:line="360" w:lineRule="auto"/>
        <w:ind w:firstLine="420"/>
        <w:rPr>
          <w:szCs w:val="21"/>
        </w:rPr>
      </w:pPr>
      <w:r>
        <w:rPr>
          <w:rFonts w:hint="eastAsia"/>
          <w:szCs w:val="21"/>
        </w:rPr>
        <w:t>重点调研</w:t>
      </w:r>
      <w:r>
        <w:rPr>
          <w:szCs w:val="21"/>
        </w:rPr>
        <w:t>采购管控层级</w:t>
      </w:r>
      <w:r>
        <w:rPr>
          <w:rFonts w:hint="eastAsia"/>
          <w:szCs w:val="21"/>
        </w:rPr>
        <w:t>是否存在</w:t>
      </w:r>
      <w:r>
        <w:rPr>
          <w:szCs w:val="21"/>
        </w:rPr>
        <w:t>设置不合理，缺乏统一的采购标准和流程，导致采购决策分散，难以形成规模效应</w:t>
      </w:r>
      <w:r>
        <w:rPr>
          <w:rFonts w:hint="eastAsia"/>
          <w:szCs w:val="21"/>
        </w:rPr>
        <w:t>的问题</w:t>
      </w:r>
      <w:r>
        <w:rPr>
          <w:szCs w:val="21"/>
        </w:rPr>
        <w:t>。</w:t>
      </w:r>
    </w:p>
    <w:p w14:paraId="278834E4">
      <w:pPr>
        <w:spacing w:line="360" w:lineRule="auto"/>
        <w:ind w:firstLine="420"/>
        <w:rPr>
          <w:szCs w:val="21"/>
        </w:rPr>
      </w:pPr>
      <w:r>
        <w:rPr>
          <w:rFonts w:hint="eastAsia"/>
          <w:szCs w:val="21"/>
        </w:rPr>
        <w:t>重点调研</w:t>
      </w:r>
      <w:r>
        <w:rPr>
          <w:szCs w:val="21"/>
        </w:rPr>
        <w:t>采购管理、采购实施、采购监督职能划分不明确，缺乏有效的监督和制衡机制，增加了采购风险。</w:t>
      </w:r>
    </w:p>
    <w:p w14:paraId="2F61E90B">
      <w:pPr>
        <w:spacing w:line="360" w:lineRule="auto"/>
        <w:ind w:left="420"/>
        <w:rPr>
          <w:b/>
          <w:bCs/>
          <w:szCs w:val="21"/>
        </w:rPr>
      </w:pPr>
      <w:r>
        <w:rPr>
          <w:rFonts w:hint="eastAsia"/>
          <w:b/>
          <w:bCs/>
          <w:szCs w:val="21"/>
        </w:rPr>
        <w:t>（3）</w:t>
      </w:r>
      <w:r>
        <w:rPr>
          <w:b/>
          <w:bCs/>
          <w:szCs w:val="21"/>
        </w:rPr>
        <w:t>采购发展趋势和管理模式</w:t>
      </w:r>
      <w:r>
        <w:rPr>
          <w:rFonts w:hint="eastAsia"/>
          <w:b/>
          <w:bCs/>
          <w:szCs w:val="21"/>
        </w:rPr>
        <w:t>规划</w:t>
      </w:r>
    </w:p>
    <w:p w14:paraId="5A361925">
      <w:pPr>
        <w:pStyle w:val="99"/>
        <w:spacing w:line="360" w:lineRule="auto"/>
        <w:ind w:firstLine="420"/>
      </w:pPr>
      <w:r>
        <w:t>集中采购管控：通过</w:t>
      </w:r>
      <w:r>
        <w:rPr>
          <w:rFonts w:hint="eastAsia"/>
        </w:rPr>
        <w:t>对标其他行业</w:t>
      </w:r>
      <w:r>
        <w:t>建立集中采购中心，实现采购流程的标准化和规模化，提高采购效率，降低采购成本。</w:t>
      </w:r>
    </w:p>
    <w:p w14:paraId="686F8B96">
      <w:pPr>
        <w:pStyle w:val="99"/>
        <w:spacing w:line="360" w:lineRule="auto"/>
      </w:pPr>
      <w:r>
        <w:t>分级授权：在集中采购的基础上，根据业务需求和采购金额，实行分级授权，确保采购决策的快速响应和灵活性。</w:t>
      </w:r>
    </w:p>
    <w:p w14:paraId="1A4AEFF5">
      <w:pPr>
        <w:spacing w:line="360" w:lineRule="auto"/>
        <w:rPr>
          <w:b/>
          <w:bCs/>
          <w:szCs w:val="21"/>
        </w:rPr>
      </w:pPr>
      <w:r>
        <w:rPr>
          <w:rFonts w:hint="eastAsia"/>
          <w:b/>
          <w:bCs/>
          <w:szCs w:val="21"/>
        </w:rPr>
        <w:t>二、</w:t>
      </w:r>
      <w:r>
        <w:rPr>
          <w:b/>
          <w:bCs/>
          <w:szCs w:val="21"/>
        </w:rPr>
        <w:t>采购管理体系和组织架构改进及实施方案</w:t>
      </w:r>
    </w:p>
    <w:p w14:paraId="47E44426">
      <w:pPr>
        <w:spacing w:line="360" w:lineRule="auto"/>
        <w:ind w:firstLine="422" w:firstLineChars="200"/>
        <w:jc w:val="left"/>
        <w:rPr>
          <w:b/>
          <w:bCs/>
          <w:szCs w:val="21"/>
        </w:rPr>
      </w:pPr>
      <w:r>
        <w:rPr>
          <w:rFonts w:hint="eastAsia"/>
          <w:b/>
          <w:bCs/>
          <w:szCs w:val="21"/>
        </w:rPr>
        <w:t>（1）</w:t>
      </w:r>
      <w:r>
        <w:rPr>
          <w:b/>
          <w:bCs/>
          <w:szCs w:val="21"/>
        </w:rPr>
        <w:t>改进目标</w:t>
      </w:r>
    </w:p>
    <w:p w14:paraId="1B173DD9">
      <w:pPr>
        <w:spacing w:line="360" w:lineRule="auto"/>
        <w:ind w:left="210" w:leftChars="100" w:firstLine="420"/>
        <w:rPr>
          <w:szCs w:val="21"/>
        </w:rPr>
      </w:pPr>
      <w:r>
        <w:rPr>
          <w:szCs w:val="21"/>
        </w:rPr>
        <w:t>建立完善的采购管理制度和流程，明确采购管理、采购实施、采购监督的边界。实现集中采购管控和分级授权，提高采购效率和灵活性。加强供应商管理和风险管理，确保采购质量和安全。</w:t>
      </w:r>
    </w:p>
    <w:p w14:paraId="65AC71B7">
      <w:pPr>
        <w:spacing w:line="360" w:lineRule="auto"/>
        <w:ind w:firstLine="422" w:firstLineChars="200"/>
        <w:rPr>
          <w:b/>
          <w:bCs/>
          <w:szCs w:val="21"/>
        </w:rPr>
      </w:pPr>
      <w:r>
        <w:rPr>
          <w:rFonts w:hint="eastAsia"/>
          <w:b/>
          <w:bCs/>
          <w:szCs w:val="21"/>
        </w:rPr>
        <w:t>（2）</w:t>
      </w:r>
      <w:r>
        <w:rPr>
          <w:b/>
          <w:bCs/>
          <w:szCs w:val="21"/>
        </w:rPr>
        <w:t>组织架构改进</w:t>
      </w:r>
      <w:r>
        <w:rPr>
          <w:rFonts w:hint="eastAsia"/>
          <w:b/>
          <w:bCs/>
          <w:szCs w:val="21"/>
        </w:rPr>
        <w:t>规划</w:t>
      </w:r>
    </w:p>
    <w:p w14:paraId="2393690D">
      <w:pPr>
        <w:spacing w:line="360" w:lineRule="auto"/>
        <w:ind w:left="210" w:leftChars="100" w:firstLine="420"/>
        <w:rPr>
          <w:b/>
          <w:bCs/>
          <w:szCs w:val="21"/>
        </w:rPr>
      </w:pPr>
      <w:r>
        <w:rPr>
          <w:rFonts w:hint="eastAsia"/>
          <w:bCs/>
          <w:szCs w:val="21"/>
        </w:rPr>
        <w:t>根据前期对采购组织架构调研情况组织有关专家进行组织机构改进规划和建议，同时编写规划方案，</w:t>
      </w:r>
      <w:r>
        <w:rPr>
          <w:rFonts w:hint="eastAsia"/>
        </w:rPr>
        <w:t>组织机构规划</w:t>
      </w:r>
      <w:r>
        <w:t>：</w:t>
      </w:r>
      <w:r>
        <w:rPr>
          <w:rFonts w:hint="eastAsia"/>
        </w:rPr>
        <w:t>根据烟草行业调研情况，提出</w:t>
      </w:r>
      <w:r>
        <w:t>设立</w:t>
      </w:r>
      <w:r>
        <w:rPr>
          <w:rFonts w:hint="eastAsia"/>
        </w:rPr>
        <w:t>规范</w:t>
      </w:r>
      <w:r>
        <w:t>集中采购中心</w:t>
      </w:r>
      <w:r>
        <w:rPr>
          <w:rFonts w:hint="eastAsia"/>
        </w:rPr>
        <w:t>等机构设置建议</w:t>
      </w:r>
      <w:r>
        <w:t>，</w:t>
      </w:r>
      <w:r>
        <w:rPr>
          <w:rFonts w:hint="eastAsia"/>
        </w:rPr>
        <w:t>其</w:t>
      </w:r>
      <w:r>
        <w:t>负责采购计划的制定、采购合同的签订、供应商管理等职能。明确职能划分</w:t>
      </w:r>
      <w:r>
        <w:rPr>
          <w:rFonts w:hint="eastAsia"/>
        </w:rPr>
        <w:t>规划</w:t>
      </w:r>
      <w:r>
        <w:t>：将采购管理、采购实施、采购监督职能明确划分，确保各司其职，相互制衡分级授权</w:t>
      </w:r>
      <w:r>
        <w:rPr>
          <w:rFonts w:hint="eastAsia"/>
        </w:rPr>
        <w:t>规划</w:t>
      </w:r>
      <w:r>
        <w:t>：根据采购金额和业务需求，实行分级授权，确保采购决策的快速响应和灵活性。</w:t>
      </w:r>
    </w:p>
    <w:p w14:paraId="6931DCF4">
      <w:pPr>
        <w:spacing w:line="360" w:lineRule="auto"/>
        <w:ind w:firstLine="422" w:firstLineChars="200"/>
        <w:rPr>
          <w:b/>
          <w:bCs/>
          <w:szCs w:val="21"/>
        </w:rPr>
      </w:pPr>
      <w:r>
        <w:rPr>
          <w:rFonts w:hint="eastAsia"/>
          <w:b/>
          <w:bCs/>
          <w:szCs w:val="21"/>
        </w:rPr>
        <w:t>（3）规范采购中心职能规划</w:t>
      </w:r>
    </w:p>
    <w:p w14:paraId="38F6768D">
      <w:pPr>
        <w:spacing w:line="360" w:lineRule="auto"/>
        <w:ind w:left="210" w:leftChars="100" w:firstLine="420"/>
        <w:rPr>
          <w:szCs w:val="21"/>
        </w:rPr>
      </w:pPr>
      <w:r>
        <w:rPr>
          <w:rFonts w:hint="eastAsia"/>
          <w:szCs w:val="21"/>
        </w:rPr>
        <w:t>一般在</w:t>
      </w:r>
      <w:r>
        <w:rPr>
          <w:szCs w:val="21"/>
        </w:rPr>
        <w:t>政府或大型组织</w:t>
      </w:r>
      <w:r>
        <w:rPr>
          <w:rFonts w:hint="eastAsia"/>
          <w:szCs w:val="21"/>
        </w:rPr>
        <w:t>机构</w:t>
      </w:r>
      <w:r>
        <w:rPr>
          <w:szCs w:val="21"/>
        </w:rPr>
        <w:t>集中采购中心作为内部负责集中采购活动的专门机构，其职责至关重要。</w:t>
      </w:r>
      <w:r>
        <w:rPr>
          <w:rFonts w:hint="eastAsia"/>
          <w:szCs w:val="21"/>
        </w:rPr>
        <w:t>作为烟草行业设立规范采购中心是十分有必要的，规划中规范采购中心</w:t>
      </w:r>
      <w:r>
        <w:rPr>
          <w:szCs w:val="21"/>
        </w:rPr>
        <w:t>的具体职责</w:t>
      </w:r>
      <w:r>
        <w:rPr>
          <w:rFonts w:hint="eastAsia"/>
          <w:szCs w:val="21"/>
        </w:rPr>
        <w:t>如下：</w:t>
      </w:r>
      <w:r>
        <w:t>采购计划制定</w:t>
      </w:r>
      <w:r>
        <w:rPr>
          <w:rFonts w:hint="eastAsia"/>
        </w:rPr>
        <w:t>、供应商管理、合同管理、</w:t>
      </w:r>
      <w:r>
        <w:t>采购执行与跟踪</w:t>
      </w:r>
      <w:r>
        <w:rPr>
          <w:rFonts w:hint="eastAsia"/>
        </w:rPr>
        <w:t>、</w:t>
      </w:r>
      <w:r>
        <w:t>绩效评估与改进</w:t>
      </w:r>
    </w:p>
    <w:p w14:paraId="622EC701">
      <w:pPr>
        <w:spacing w:line="360" w:lineRule="auto"/>
        <w:ind w:left="210" w:leftChars="100" w:firstLine="420"/>
        <w:rPr>
          <w:szCs w:val="21"/>
        </w:rPr>
      </w:pPr>
      <w:r>
        <w:rPr>
          <w:szCs w:val="21"/>
        </w:rPr>
        <w:t>集中采购中心在采购活动中扮演着至关重要的角色，其职责涵盖了采购计划制定、供应商管理、合同管理、采购执行与跟踪以及绩效评估与改进等多个方面。通过有效的集中采购管理，可以降低采购成本、提高采购效率和质量，为企业的可持续发展提供有力支持。</w:t>
      </w:r>
    </w:p>
    <w:p w14:paraId="37954BA7">
      <w:pPr>
        <w:spacing w:line="360" w:lineRule="auto"/>
        <w:rPr>
          <w:b/>
          <w:bCs/>
          <w:szCs w:val="21"/>
        </w:rPr>
      </w:pPr>
      <w:r>
        <w:rPr>
          <w:rFonts w:hint="eastAsia"/>
          <w:b/>
          <w:bCs/>
          <w:szCs w:val="21"/>
        </w:rPr>
        <w:t>三、</w:t>
      </w:r>
      <w:r>
        <w:rPr>
          <w:b/>
          <w:bCs/>
          <w:szCs w:val="21"/>
        </w:rPr>
        <w:t>烟草企业采购</w:t>
      </w:r>
      <w:r>
        <w:rPr>
          <w:rFonts w:hint="eastAsia"/>
          <w:b/>
          <w:bCs/>
          <w:szCs w:val="21"/>
        </w:rPr>
        <w:t>改进</w:t>
      </w:r>
      <w:r>
        <w:rPr>
          <w:b/>
          <w:bCs/>
          <w:szCs w:val="21"/>
        </w:rPr>
        <w:t>实施方案的实施计划</w:t>
      </w:r>
    </w:p>
    <w:p w14:paraId="75841AC9">
      <w:pPr>
        <w:spacing w:line="360" w:lineRule="auto"/>
        <w:ind w:firstLine="420"/>
        <w:rPr>
          <w:szCs w:val="21"/>
        </w:rPr>
      </w:pPr>
      <w:r>
        <w:rPr>
          <w:szCs w:val="21"/>
        </w:rPr>
        <w:t>第一阶段：筹备与启动（第1-2个月）</w:t>
      </w:r>
    </w:p>
    <w:p w14:paraId="6804780B">
      <w:pPr>
        <w:pStyle w:val="99"/>
        <w:spacing w:line="360" w:lineRule="auto"/>
        <w:ind w:firstLine="420"/>
      </w:pPr>
      <w:r>
        <w:t>成立专项工作小组，负责采购实施方案的全面规划和执行。制定详细的实施计划，明确各阶段的任务和时间节点。组织内部培训，提升采购团队对采购实施方案的理解和执行能力。</w:t>
      </w:r>
    </w:p>
    <w:p w14:paraId="0E7E34E9">
      <w:pPr>
        <w:pStyle w:val="99"/>
        <w:spacing w:line="360" w:lineRule="auto"/>
        <w:ind w:firstLine="0"/>
      </w:pPr>
      <w:r>
        <w:t>确立采购中心与相关部门之间的协作机制，确保信息流通和资源共享。</w:t>
      </w:r>
    </w:p>
    <w:p w14:paraId="1AC08C3D">
      <w:pPr>
        <w:spacing w:line="360" w:lineRule="auto"/>
        <w:ind w:firstLine="420"/>
        <w:rPr>
          <w:szCs w:val="21"/>
        </w:rPr>
      </w:pPr>
      <w:r>
        <w:rPr>
          <w:szCs w:val="21"/>
        </w:rPr>
        <w:t>第二阶段：制度完善与流程优化（第3-6个月）</w:t>
      </w:r>
    </w:p>
    <w:p w14:paraId="67D0BF79">
      <w:pPr>
        <w:pStyle w:val="99"/>
        <w:spacing w:line="360" w:lineRule="auto"/>
        <w:ind w:firstLine="420" w:firstLineChars="200"/>
      </w:pPr>
      <w:r>
        <w:t>根据采购实施方案，修订和完善采购管理制度和流程，包括采购计划制定、供应商管理、合同签订、执行跟踪、验收入库和结算付款等环节。确立集中采购中心和分级授权的具体运作机制，明确各级采购人员的职责和权限。建立供应商评估和选择标准，以及供应商档案管理系统，对供应商进行定期评估和考核。引入数字化采购管理系统，提高采购效率和透明度，降低采购成本。</w:t>
      </w:r>
    </w:p>
    <w:p w14:paraId="4E4E7174">
      <w:pPr>
        <w:spacing w:line="360" w:lineRule="auto"/>
        <w:ind w:firstLine="420"/>
        <w:rPr>
          <w:szCs w:val="21"/>
        </w:rPr>
      </w:pPr>
      <w:r>
        <w:rPr>
          <w:szCs w:val="21"/>
        </w:rPr>
        <w:t>第三阶段：实施与监控（第7-12个月）</w:t>
      </w:r>
    </w:p>
    <w:p w14:paraId="32634995">
      <w:pPr>
        <w:pStyle w:val="99"/>
        <w:spacing w:line="360" w:lineRule="auto"/>
        <w:ind w:firstLine="420"/>
      </w:pPr>
      <w:r>
        <w:t>按照新的采购管理制度和流程，开始执行采购活动，确保采购活动的合规性和效率。</w:t>
      </w:r>
    </w:p>
    <w:p w14:paraId="260A95D3">
      <w:pPr>
        <w:pStyle w:val="99"/>
        <w:spacing w:line="360" w:lineRule="auto"/>
        <w:ind w:firstLine="0"/>
      </w:pPr>
      <w:r>
        <w:t>对采购过程进行实时监控，包括采购计划的执行情况、供应商的供货质量、采购成本的控制等。定期评估采购实施方案的执行效果，包括采购效率的提升、采购成本的降低、供应商管理的优化等。根据评估结果，及时调整和优化采购实施方案，确保采购活动的持续改进和优化。</w:t>
      </w:r>
    </w:p>
    <w:p w14:paraId="7F227812">
      <w:pPr>
        <w:spacing w:line="360" w:lineRule="auto"/>
        <w:ind w:firstLine="420"/>
        <w:rPr>
          <w:szCs w:val="21"/>
        </w:rPr>
      </w:pPr>
      <w:r>
        <w:rPr>
          <w:szCs w:val="21"/>
        </w:rPr>
        <w:t>第四阶段：总结与改进（第13-16个月）</w:t>
      </w:r>
    </w:p>
    <w:p w14:paraId="6865421F">
      <w:pPr>
        <w:pStyle w:val="99"/>
        <w:spacing w:line="360" w:lineRule="auto"/>
        <w:ind w:firstLine="420"/>
      </w:pPr>
      <w:r>
        <w:t>对采购实施方案的执行情况进行全面总结，评估实施效果，包括采购效率的提升、采购成本的降低、供应商管理的优化等方面。根据总结结果，提出改进建议，进一步完善采购管理体系，包括制度修订、流程优化、人员培训等方面。整理相关文档和资料，为未来的采购活动提供参考和借鉴。</w:t>
      </w:r>
      <w:r>
        <w:rPr>
          <w:szCs w:val="21"/>
        </w:rPr>
        <w:t>随着烟草行业的不断发展，采购管理将继续发挥重要作用，为企业的可持续发展提供有力支持。</w:t>
      </w:r>
    </w:p>
    <w:p w14:paraId="0FA69B92">
      <w:pPr>
        <w:pStyle w:val="6"/>
        <w:rPr>
          <w:rFonts w:hint="eastAsia" w:ascii="宋体" w:hAnsi="宋体"/>
          <w:szCs w:val="24"/>
        </w:rPr>
      </w:pPr>
      <w:bookmarkStart w:id="321" w:name="_Toc180265696"/>
      <w:r>
        <w:rPr>
          <w:rFonts w:ascii="宋体" w:hAnsi="宋体"/>
          <w:szCs w:val="24"/>
        </w:rPr>
        <w:t>采购制度规划</w:t>
      </w:r>
      <w:r>
        <w:rPr>
          <w:rFonts w:hint="eastAsia" w:ascii="宋体" w:hAnsi="宋体"/>
          <w:szCs w:val="24"/>
        </w:rPr>
        <w:t>实施方案</w:t>
      </w:r>
      <w:bookmarkEnd w:id="321"/>
    </w:p>
    <w:p w14:paraId="05AAF0A2">
      <w:pPr>
        <w:spacing w:line="360" w:lineRule="auto"/>
        <w:ind w:firstLine="420"/>
        <w:rPr>
          <w:szCs w:val="21"/>
        </w:rPr>
      </w:pPr>
      <w:r>
        <w:rPr>
          <w:szCs w:val="21"/>
        </w:rPr>
        <w:t>烟草行业采购管理活动对于企业的成本控制、供应链稳定性以及市场竞争力具有深远影响。通过梳理当前烟草行业采购管理制度和流程，以精简高效、科学规范、集中管控为原则，提出制度建设与流程优化的解决方案，并编制国家烟草总公司层面的采购监管制度，以期形成一套完整的行业采购制度规划体系。</w:t>
      </w:r>
    </w:p>
    <w:p w14:paraId="09DE19FF">
      <w:pPr>
        <w:rPr>
          <w:szCs w:val="21"/>
        </w:rPr>
      </w:pPr>
      <w:r>
        <w:rPr>
          <w:rFonts w:hint="eastAsia"/>
          <w:szCs w:val="21"/>
        </w:rPr>
        <w:drawing>
          <wp:inline distT="0" distB="0" distL="114300" distR="114300">
            <wp:extent cx="5633085" cy="3957320"/>
            <wp:effectExtent l="0" t="0" r="5715" b="5080"/>
            <wp:docPr id="309" name="图片 309" descr="f08c016d61f6c7906b9cec0619ef2c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f08c016d61f6c7906b9cec0619ef2c34"/>
                    <pic:cNvPicPr>
                      <a:picLocks noChangeAspect="1"/>
                    </pic:cNvPicPr>
                  </pic:nvPicPr>
                  <pic:blipFill>
                    <a:blip r:embed="rId138"/>
                    <a:stretch>
                      <a:fillRect/>
                    </a:stretch>
                  </pic:blipFill>
                  <pic:spPr>
                    <a:xfrm>
                      <a:off x="0" y="0"/>
                      <a:ext cx="5633085" cy="3957320"/>
                    </a:xfrm>
                    <a:prstGeom prst="rect">
                      <a:avLst/>
                    </a:prstGeom>
                  </pic:spPr>
                </pic:pic>
              </a:graphicData>
            </a:graphic>
          </wp:inline>
        </w:drawing>
      </w:r>
    </w:p>
    <w:p w14:paraId="28980662">
      <w:pPr>
        <w:spacing w:line="360" w:lineRule="auto"/>
        <w:rPr>
          <w:b/>
          <w:bCs/>
          <w:szCs w:val="21"/>
        </w:rPr>
      </w:pPr>
      <w:r>
        <w:rPr>
          <w:rFonts w:hint="eastAsia"/>
          <w:b/>
          <w:bCs/>
          <w:szCs w:val="21"/>
        </w:rPr>
        <w:t>一、</w:t>
      </w:r>
      <w:r>
        <w:rPr>
          <w:b/>
          <w:bCs/>
          <w:szCs w:val="21"/>
        </w:rPr>
        <w:t>行业制度和流程现状</w:t>
      </w:r>
      <w:r>
        <w:rPr>
          <w:rFonts w:hint="eastAsia"/>
          <w:b/>
          <w:bCs/>
          <w:szCs w:val="21"/>
        </w:rPr>
        <w:t>调研</w:t>
      </w:r>
      <w:r>
        <w:rPr>
          <w:b/>
          <w:bCs/>
          <w:szCs w:val="21"/>
        </w:rPr>
        <w:t>分析</w:t>
      </w:r>
    </w:p>
    <w:p w14:paraId="6B39A0A9">
      <w:pPr>
        <w:spacing w:line="360" w:lineRule="auto"/>
        <w:ind w:firstLine="420"/>
        <w:rPr>
          <w:szCs w:val="21"/>
        </w:rPr>
      </w:pPr>
      <w:r>
        <w:rPr>
          <w:szCs w:val="21"/>
        </w:rPr>
        <w:t>当前</w:t>
      </w:r>
      <w:r>
        <w:rPr>
          <w:rFonts w:hint="eastAsia"/>
          <w:szCs w:val="21"/>
        </w:rPr>
        <w:t>可重点调研</w:t>
      </w:r>
      <w:r>
        <w:rPr>
          <w:szCs w:val="21"/>
        </w:rPr>
        <w:t>行业</w:t>
      </w:r>
      <w:r>
        <w:rPr>
          <w:rFonts w:hint="eastAsia"/>
          <w:szCs w:val="21"/>
        </w:rPr>
        <w:t>是否存在以下问题：</w:t>
      </w:r>
    </w:p>
    <w:p w14:paraId="1CD5630A">
      <w:pPr>
        <w:spacing w:line="360" w:lineRule="auto"/>
        <w:ind w:firstLine="420"/>
      </w:pPr>
      <w:r>
        <w:t>制度碎片化：各烟草企业采购管理制度各异，缺乏统一性和规范性，导致管理效率低下</w:t>
      </w:r>
    </w:p>
    <w:p w14:paraId="414542FC">
      <w:pPr>
        <w:spacing w:line="360" w:lineRule="auto"/>
        <w:ind w:firstLine="420"/>
      </w:pPr>
      <w:r>
        <w:t>流程繁琐：采购流程设计复杂，审批环节多，影响采购效率。</w:t>
      </w:r>
    </w:p>
    <w:p w14:paraId="19279AE9">
      <w:pPr>
        <w:spacing w:line="360" w:lineRule="auto"/>
        <w:ind w:firstLine="420"/>
      </w:pPr>
      <w:r>
        <w:t>信息不透明：采购信息封闭，供应商选择过程缺乏透明度，增加了采购风险。</w:t>
      </w:r>
    </w:p>
    <w:p w14:paraId="1F6E9C90">
      <w:pPr>
        <w:spacing w:line="360" w:lineRule="auto"/>
        <w:ind w:firstLine="420"/>
        <w:rPr>
          <w:szCs w:val="21"/>
        </w:rPr>
      </w:pPr>
      <w:r>
        <w:t>监管不力：采购活动缺乏有效的监督机制，存在腐败和权力寻租的风险。</w:t>
      </w:r>
    </w:p>
    <w:p w14:paraId="7178F176">
      <w:pPr>
        <w:spacing w:line="360" w:lineRule="auto"/>
        <w:rPr>
          <w:b/>
          <w:bCs/>
          <w:szCs w:val="21"/>
        </w:rPr>
      </w:pPr>
      <w:r>
        <w:rPr>
          <w:rFonts w:hint="eastAsia"/>
          <w:b/>
          <w:bCs/>
          <w:szCs w:val="21"/>
        </w:rPr>
        <w:t>二、</w:t>
      </w:r>
      <w:r>
        <w:rPr>
          <w:b/>
          <w:bCs/>
          <w:szCs w:val="21"/>
        </w:rPr>
        <w:t>采购监管制度和采购业务流程优化建议</w:t>
      </w:r>
    </w:p>
    <w:p w14:paraId="47D44210">
      <w:pPr>
        <w:spacing w:line="360" w:lineRule="auto"/>
        <w:ind w:firstLine="420"/>
        <w:rPr>
          <w:szCs w:val="21"/>
        </w:rPr>
      </w:pPr>
      <w:r>
        <w:rPr>
          <w:rFonts w:hint="eastAsia"/>
          <w:szCs w:val="21"/>
        </w:rPr>
        <w:t>根据前期对采购监管制度调研情况组织有关专家进行采购制度改进规划和建议，同时编写规划方案</w:t>
      </w:r>
    </w:p>
    <w:p w14:paraId="34F745F1">
      <w:pPr>
        <w:numPr>
          <w:ilvl w:val="0"/>
          <w:numId w:val="107"/>
        </w:numPr>
        <w:spacing w:line="360" w:lineRule="auto"/>
        <w:jc w:val="left"/>
        <w:rPr>
          <w:szCs w:val="21"/>
        </w:rPr>
      </w:pPr>
      <w:r>
        <w:rPr>
          <w:rFonts w:hint="eastAsia"/>
          <w:b/>
          <w:bCs/>
          <w:szCs w:val="21"/>
        </w:rPr>
        <w:t>采购监管制度优化策略</w:t>
      </w:r>
    </w:p>
    <w:p w14:paraId="0D42F822">
      <w:pPr>
        <w:spacing w:line="360" w:lineRule="auto"/>
        <w:ind w:firstLine="420" w:firstLineChars="200"/>
      </w:pPr>
      <w:r>
        <w:t>建立统一采购管理制度：国家烟草总公司应制定统一的采购管理制度，明确采购活动的基本原则、操作流程、监督方式等，确保各子公司和分支机构遵循相同的标准。强化集中采购管理：设立专门的集中采购中心，负责大宗物资和服务的集中采购，实现规模效应和成本节约。引入竞争机制：在供应商选择过程中，引入竞争机制，如公开招标、邀请招标等方式，提高采购透明度和公平性。建立供应商管理制度：建立供应商评估和退出机制，定期对供应商进行绩效考核，确保供应商质量。加强采购信息管理：建立采购信息系统，实现采购信息的共享和监控，提高采购效率和透明度。</w:t>
      </w:r>
    </w:p>
    <w:p w14:paraId="5D35F210">
      <w:pPr>
        <w:pStyle w:val="73"/>
        <w:numPr>
          <w:ilvl w:val="0"/>
          <w:numId w:val="13"/>
        </w:numPr>
        <w:spacing w:line="360" w:lineRule="auto"/>
        <w:ind w:firstLineChars="0"/>
        <w:rPr>
          <w:szCs w:val="21"/>
        </w:rPr>
      </w:pPr>
      <w:r>
        <w:rPr>
          <w:rFonts w:hint="eastAsia"/>
          <w:szCs w:val="21"/>
        </w:rPr>
        <w:t>实施优化方案</w:t>
      </w:r>
    </w:p>
    <w:p w14:paraId="7994351D">
      <w:pPr>
        <w:spacing w:line="360" w:lineRule="auto"/>
        <w:ind w:firstLine="420" w:firstLineChars="200"/>
      </w:pPr>
      <w:r>
        <w:t>制定实施计划：根据优化方案制定详细的实施计划，明确实施时间、责任人和具体任务。组织培训：对采购人员进行培训，提高其对新制度的理解和执行能力。同时，加强与其他部门的沟通和协作，确保新制度的顺利实施。逐步推进：按照实施计划逐步推进各项优化措施的实施，确保各项措施得到有效落实。</w:t>
      </w:r>
    </w:p>
    <w:p w14:paraId="45C6898E">
      <w:pPr>
        <w:pStyle w:val="73"/>
        <w:numPr>
          <w:ilvl w:val="0"/>
          <w:numId w:val="13"/>
        </w:numPr>
        <w:spacing w:line="360" w:lineRule="auto"/>
        <w:ind w:firstLineChars="0"/>
      </w:pPr>
      <w:r>
        <w:rPr>
          <w:rFonts w:hint="eastAsia"/>
        </w:rPr>
        <w:t>监督与评估</w:t>
      </w:r>
    </w:p>
    <w:p w14:paraId="6C97D557">
      <w:pPr>
        <w:spacing w:line="360" w:lineRule="auto"/>
        <w:ind w:firstLine="420" w:firstLineChars="200"/>
      </w:pPr>
      <w:r>
        <w:t>建立监督机制：建立采购监管制度的监督机制，定期对采购活动进行监督检查和评估。同时，加强对供应商的考核和评价，确保其产品质量和服务水平满足要求。评估效果：对优化后的采购监管制度进行评估，分析其在实际运行中的效果和问</w:t>
      </w:r>
      <w:r>
        <w:rPr>
          <w:rFonts w:hint="eastAsia"/>
        </w:rPr>
        <w:t>题。根据评估结果及时调整和优化制度，确保其持续改进和完善。</w:t>
      </w:r>
    </w:p>
    <w:p w14:paraId="17E052C2">
      <w:pPr>
        <w:pStyle w:val="73"/>
        <w:numPr>
          <w:ilvl w:val="0"/>
          <w:numId w:val="13"/>
        </w:numPr>
        <w:spacing w:line="360" w:lineRule="auto"/>
        <w:ind w:firstLineChars="0"/>
        <w:rPr>
          <w:szCs w:val="21"/>
        </w:rPr>
      </w:pPr>
      <w:r>
        <w:rPr>
          <w:rFonts w:hint="eastAsia"/>
          <w:szCs w:val="21"/>
        </w:rPr>
        <w:t>持续优化与改进</w:t>
      </w:r>
    </w:p>
    <w:p w14:paraId="13D3A28A">
      <w:pPr>
        <w:spacing w:line="360" w:lineRule="auto"/>
        <w:ind w:firstLine="420" w:firstLineChars="200"/>
      </w:pPr>
      <w:r>
        <w:t>跟踪反馈：建立采购监管制度的跟踪反馈机制，及时收集各方面的意见和建议。根据反馈意见对制度进行持续优化和改进。适应变化：随着烟草行业的发展和市场环境的变化，采购监管制度也需要不断适应新的形势和要求。因此，需要定期对制度进行审查和更新，确保其与时俱进、符合实际需求。</w:t>
      </w:r>
    </w:p>
    <w:p w14:paraId="390F353E">
      <w:pPr>
        <w:spacing w:line="360" w:lineRule="auto"/>
        <w:ind w:firstLine="420" w:firstLineChars="200"/>
      </w:pPr>
      <w:r>
        <w:rPr>
          <w:rFonts w:ascii="Segoe UI" w:hAnsi="Segoe UI" w:cs="Segoe UI"/>
          <w:szCs w:val="21"/>
        </w:rPr>
        <w:t>烟草行业采购监管制度的优化是一个持续的过程，需要不断完善和调整以适应新的形势和要求。通过明确优化目标和原则、梳理现有制度、制定优化方案、实施优化方案、监督与评估以及持续优化与改进等步骤，可以逐步建立起科学、规范、高效的采购监管制度，为烟草行业的健康发展提供有力保障。</w:t>
      </w:r>
    </w:p>
    <w:p w14:paraId="177A4C57">
      <w:pPr>
        <w:spacing w:line="360" w:lineRule="auto"/>
        <w:ind w:firstLine="422"/>
        <w:rPr>
          <w:b/>
          <w:szCs w:val="21"/>
        </w:rPr>
      </w:pPr>
      <w:r>
        <w:rPr>
          <w:rFonts w:hint="eastAsia"/>
          <w:b/>
          <w:szCs w:val="21"/>
        </w:rPr>
        <w:t>（二）</w:t>
      </w:r>
      <w:r>
        <w:rPr>
          <w:b/>
          <w:szCs w:val="21"/>
        </w:rPr>
        <w:t>采购业务流程优化</w:t>
      </w:r>
    </w:p>
    <w:p w14:paraId="49CF5DA7">
      <w:pPr>
        <w:spacing w:line="360" w:lineRule="auto"/>
        <w:ind w:firstLine="420"/>
        <w:rPr>
          <w:szCs w:val="21"/>
        </w:rPr>
      </w:pPr>
      <w:r>
        <w:rPr>
          <w:szCs w:val="21"/>
        </w:rPr>
        <w:t>烟草行业采购业务的优化流程实施是一个系统性工程，涉及多个环节和部门之间的协同合作。在实施采购业务优化流程前，烟草企业需明确优化目标与原则，如降低成本、提高效率、确保质量、加强风险管理等。这些目标与原则将指导整个优化流程的实施。</w:t>
      </w:r>
    </w:p>
    <w:p w14:paraId="3348A46A">
      <w:pPr>
        <w:spacing w:line="360" w:lineRule="auto"/>
        <w:ind w:firstLine="420"/>
        <w:rPr>
          <w:szCs w:val="21"/>
        </w:rPr>
      </w:pPr>
      <w:r>
        <w:rPr>
          <w:szCs w:val="21"/>
        </w:rPr>
        <w:t>烟草行业采购业务优化流程的实施需要明确优化目标与原则、进行采购需求分析与计划制定、加强供应商管理与优化、优化采购流程、加强采购质量管理与风险控制、进行采购绩效评估与持续改进以及加强信息化建设等多个方面的协同推进。通过这些措施的实施，可以不断提高采购效率和质量，降低采购成本和风险，为烟草企业的持续发展提供有力保障。</w:t>
      </w:r>
    </w:p>
    <w:p w14:paraId="04D83AB2">
      <w:pPr>
        <w:spacing w:line="360" w:lineRule="auto"/>
        <w:rPr>
          <w:b/>
          <w:bCs/>
          <w:szCs w:val="21"/>
        </w:rPr>
      </w:pPr>
      <w:r>
        <w:rPr>
          <w:rFonts w:hint="eastAsia"/>
          <w:b/>
          <w:bCs/>
          <w:szCs w:val="21"/>
        </w:rPr>
        <w:t>三、重点规划行业</w:t>
      </w:r>
      <w:r>
        <w:rPr>
          <w:b/>
          <w:bCs/>
          <w:szCs w:val="21"/>
        </w:rPr>
        <w:t>制度清单和制度草案</w:t>
      </w:r>
    </w:p>
    <w:p w14:paraId="76507D60">
      <w:pPr>
        <w:spacing w:line="360" w:lineRule="auto"/>
        <w:ind w:firstLine="422" w:firstLineChars="200"/>
        <w:rPr>
          <w:b/>
          <w:bCs/>
          <w:szCs w:val="21"/>
        </w:rPr>
      </w:pPr>
      <w:r>
        <w:rPr>
          <w:rFonts w:hint="eastAsia"/>
          <w:b/>
          <w:bCs/>
          <w:szCs w:val="21"/>
        </w:rPr>
        <w:t>根据前期对采购组织架构调研情况组织有关专家进行组织机构改进规划和建议，同时编写规划方案</w:t>
      </w:r>
    </w:p>
    <w:p w14:paraId="08E6CD5B">
      <w:pPr>
        <w:spacing w:line="360" w:lineRule="auto"/>
        <w:ind w:firstLine="422" w:firstLineChars="200"/>
        <w:rPr>
          <w:b/>
          <w:bCs/>
          <w:szCs w:val="21"/>
        </w:rPr>
      </w:pPr>
      <w:r>
        <w:rPr>
          <w:rFonts w:hint="eastAsia"/>
          <w:b/>
          <w:bCs/>
          <w:szCs w:val="21"/>
        </w:rPr>
        <w:t>1.</w:t>
      </w:r>
      <w:r>
        <w:rPr>
          <w:b/>
          <w:bCs/>
          <w:szCs w:val="21"/>
        </w:rPr>
        <w:t>针对烟草行业的采购制度规划</w:t>
      </w:r>
    </w:p>
    <w:p w14:paraId="1960CABE">
      <w:pPr>
        <w:numPr>
          <w:ilvl w:val="0"/>
          <w:numId w:val="108"/>
        </w:numPr>
        <w:spacing w:line="360" w:lineRule="auto"/>
      </w:pPr>
      <w:r>
        <w:t>《烟草行业采购管理制度》</w:t>
      </w:r>
    </w:p>
    <w:p w14:paraId="314E94B8">
      <w:pPr>
        <w:numPr>
          <w:ilvl w:val="0"/>
          <w:numId w:val="108"/>
        </w:numPr>
        <w:spacing w:line="360" w:lineRule="auto"/>
      </w:pPr>
      <w:r>
        <w:t>《烟草行业供应商管理制度</w:t>
      </w:r>
      <w:r>
        <w:rPr>
          <w:rFonts w:hint="eastAsia"/>
        </w:rPr>
        <w:t>（含代理机构）</w:t>
      </w:r>
      <w:r>
        <w:t>》</w:t>
      </w:r>
    </w:p>
    <w:p w14:paraId="2EAC2B70">
      <w:pPr>
        <w:numPr>
          <w:ilvl w:val="0"/>
          <w:numId w:val="108"/>
        </w:numPr>
        <w:spacing w:line="360" w:lineRule="auto"/>
      </w:pPr>
      <w:r>
        <w:t>《烟草行业采购合同管理规定》</w:t>
      </w:r>
    </w:p>
    <w:p w14:paraId="1E0B444D">
      <w:pPr>
        <w:numPr>
          <w:ilvl w:val="0"/>
          <w:numId w:val="108"/>
        </w:numPr>
        <w:spacing w:line="360" w:lineRule="auto"/>
      </w:pPr>
      <w:r>
        <w:t>《烟草行业采购信息公开制度》</w:t>
      </w:r>
    </w:p>
    <w:p w14:paraId="314804EE">
      <w:pPr>
        <w:numPr>
          <w:ilvl w:val="0"/>
          <w:numId w:val="108"/>
        </w:numPr>
        <w:spacing w:line="360" w:lineRule="auto"/>
      </w:pPr>
      <w:r>
        <w:t>《烟草行业采购监督与检查规定》</w:t>
      </w:r>
    </w:p>
    <w:p w14:paraId="32F1F8D3">
      <w:pPr>
        <w:numPr>
          <w:ilvl w:val="0"/>
          <w:numId w:val="108"/>
        </w:numPr>
        <w:spacing w:line="360" w:lineRule="auto"/>
      </w:pPr>
      <w:r>
        <w:t>《烟草行业采购风险管理规定》</w:t>
      </w:r>
    </w:p>
    <w:p w14:paraId="07E392BE">
      <w:pPr>
        <w:numPr>
          <w:ilvl w:val="0"/>
          <w:numId w:val="108"/>
        </w:numPr>
        <w:spacing w:line="360" w:lineRule="auto"/>
      </w:pPr>
      <w:r>
        <w:t>《烟草行业采购费用管理规定》</w:t>
      </w:r>
    </w:p>
    <w:p w14:paraId="40813F91">
      <w:pPr>
        <w:spacing w:line="360" w:lineRule="auto"/>
        <w:ind w:firstLine="422" w:firstLineChars="200"/>
        <w:rPr>
          <w:b/>
          <w:bCs/>
          <w:szCs w:val="21"/>
        </w:rPr>
      </w:pPr>
      <w:r>
        <w:rPr>
          <w:rFonts w:hint="eastAsia"/>
          <w:b/>
          <w:bCs/>
          <w:szCs w:val="21"/>
        </w:rPr>
        <w:t>2.规划优化制度清单概述</w:t>
      </w:r>
    </w:p>
    <w:p w14:paraId="39706E86">
      <w:pPr>
        <w:pStyle w:val="99"/>
        <w:numPr>
          <w:ilvl w:val="0"/>
          <w:numId w:val="109"/>
        </w:numPr>
        <w:spacing w:line="360" w:lineRule="auto"/>
      </w:pPr>
      <w:r>
        <w:t>《烟草行业采购管理制度》</w:t>
      </w:r>
    </w:p>
    <w:p w14:paraId="294CE425">
      <w:pPr>
        <w:pStyle w:val="99"/>
        <w:spacing w:line="360" w:lineRule="auto"/>
        <w:ind w:firstLine="420"/>
      </w:pPr>
      <w:r>
        <w:t>目的：规范烟草行业采购行为，提高采购效率和质量，降低采购成本。</w:t>
      </w:r>
    </w:p>
    <w:p w14:paraId="05D934A4">
      <w:pPr>
        <w:pStyle w:val="99"/>
        <w:spacing w:line="360" w:lineRule="auto"/>
        <w:ind w:firstLine="420"/>
      </w:pPr>
      <w:r>
        <w:t>内容：明确采购原则、采购流程、采购方式、供应商选择与管理等关键要素。</w:t>
      </w:r>
    </w:p>
    <w:p w14:paraId="78C518D8">
      <w:pPr>
        <w:pStyle w:val="99"/>
        <w:spacing w:line="360" w:lineRule="auto"/>
        <w:ind w:firstLine="420"/>
      </w:pPr>
      <w:r>
        <w:t>实施：要求各级烟草企业遵循制度要求，确保采购活动的合法性和合规性。</w:t>
      </w:r>
    </w:p>
    <w:p w14:paraId="3C57092F">
      <w:pPr>
        <w:pStyle w:val="99"/>
        <w:numPr>
          <w:ilvl w:val="0"/>
          <w:numId w:val="109"/>
        </w:numPr>
        <w:spacing w:line="360" w:lineRule="auto"/>
      </w:pPr>
      <w:r>
        <w:t>《烟草行业供应商管理制度</w:t>
      </w:r>
      <w:r>
        <w:rPr>
          <w:rFonts w:hint="eastAsia"/>
        </w:rPr>
        <w:t>（含代理机构）</w:t>
      </w:r>
      <w:r>
        <w:t>》</w:t>
      </w:r>
    </w:p>
    <w:p w14:paraId="72082D82">
      <w:pPr>
        <w:pStyle w:val="99"/>
        <w:spacing w:line="360" w:lineRule="auto"/>
        <w:ind w:firstLine="420"/>
      </w:pPr>
      <w:r>
        <w:t>目的：建立供应商准入、评估、退出机制，确保供应商质量。</w:t>
      </w:r>
    </w:p>
    <w:p w14:paraId="3EC6C179">
      <w:pPr>
        <w:pStyle w:val="99"/>
        <w:spacing w:line="360" w:lineRule="auto"/>
        <w:ind w:firstLine="420"/>
      </w:pPr>
      <w:r>
        <w:t>内容：规定供应商资质要求、评估标准、考核周期、奖惩措施等。</w:t>
      </w:r>
    </w:p>
    <w:p w14:paraId="69F91280">
      <w:pPr>
        <w:pStyle w:val="99"/>
        <w:spacing w:line="360" w:lineRule="auto"/>
        <w:ind w:firstLine="420"/>
      </w:pPr>
      <w:r>
        <w:t>实施：要求各级烟草企业对供应商进行动态管理，定期评估供应商绩效。</w:t>
      </w:r>
    </w:p>
    <w:p w14:paraId="1347A6A6">
      <w:pPr>
        <w:pStyle w:val="99"/>
        <w:numPr>
          <w:ilvl w:val="0"/>
          <w:numId w:val="109"/>
        </w:numPr>
        <w:spacing w:line="360" w:lineRule="auto"/>
      </w:pPr>
      <w:r>
        <w:t>《烟草行业采购合同管理规定》</w:t>
      </w:r>
    </w:p>
    <w:p w14:paraId="3ED0E23B">
      <w:pPr>
        <w:pStyle w:val="99"/>
        <w:spacing w:line="360" w:lineRule="auto"/>
        <w:ind w:firstLine="420"/>
      </w:pPr>
      <w:r>
        <w:t>目的：规范采购合同的签订、履行、变更和解除过程。</w:t>
      </w:r>
    </w:p>
    <w:p w14:paraId="6E83C68D">
      <w:pPr>
        <w:pStyle w:val="99"/>
        <w:spacing w:line="360" w:lineRule="auto"/>
        <w:ind w:firstLine="420"/>
      </w:pPr>
      <w:r>
        <w:t>内容：明确合同内容、签订程序、保密事项、违约责任和解决争议的方式。</w:t>
      </w:r>
    </w:p>
    <w:p w14:paraId="5064F640">
      <w:pPr>
        <w:pStyle w:val="99"/>
        <w:spacing w:line="360" w:lineRule="auto"/>
        <w:ind w:firstLine="420"/>
      </w:pPr>
      <w:r>
        <w:t>实施：要求各级烟草企业加强合同管理，确保合同的有效性和合规性。</w:t>
      </w:r>
    </w:p>
    <w:p w14:paraId="4C47C5CC">
      <w:pPr>
        <w:pStyle w:val="99"/>
        <w:numPr>
          <w:ilvl w:val="0"/>
          <w:numId w:val="109"/>
        </w:numPr>
        <w:spacing w:line="360" w:lineRule="auto"/>
      </w:pPr>
      <w:r>
        <w:t>《烟草行业采购信息公开制度》</w:t>
      </w:r>
    </w:p>
    <w:p w14:paraId="787C0710">
      <w:pPr>
        <w:pStyle w:val="99"/>
        <w:spacing w:line="360" w:lineRule="auto"/>
        <w:ind w:firstLine="420"/>
      </w:pPr>
      <w:r>
        <w:t>目的：提高采购活动的透明度和竞争性。</w:t>
      </w:r>
    </w:p>
    <w:p w14:paraId="4927D67D">
      <w:pPr>
        <w:pStyle w:val="99"/>
        <w:spacing w:line="360" w:lineRule="auto"/>
        <w:ind w:firstLine="420"/>
      </w:pPr>
      <w:r>
        <w:t>内容：规定采购信息的公开范围、公开方式、公开时间等。</w:t>
      </w:r>
    </w:p>
    <w:p w14:paraId="185C65FC">
      <w:pPr>
        <w:pStyle w:val="99"/>
        <w:spacing w:line="360" w:lineRule="auto"/>
        <w:ind w:firstLine="420"/>
      </w:pPr>
      <w:r>
        <w:t>实施：要求各级烟草企业及时公开采购信息，接受社会监督。</w:t>
      </w:r>
    </w:p>
    <w:p w14:paraId="2BC12F98">
      <w:pPr>
        <w:pStyle w:val="99"/>
        <w:numPr>
          <w:ilvl w:val="0"/>
          <w:numId w:val="109"/>
        </w:numPr>
        <w:spacing w:line="360" w:lineRule="auto"/>
      </w:pPr>
      <w:r>
        <w:t>《烟草行业采购监督与检查规定》</w:t>
      </w:r>
    </w:p>
    <w:p w14:paraId="2D4B92CB">
      <w:pPr>
        <w:pStyle w:val="99"/>
        <w:spacing w:line="360" w:lineRule="auto"/>
        <w:ind w:firstLine="420"/>
      </w:pPr>
      <w:r>
        <w:t>目的：加强对采购活动的监督和检查，确保采购活动的合法性和合规性。</w:t>
      </w:r>
    </w:p>
    <w:p w14:paraId="474B2E8B">
      <w:pPr>
        <w:pStyle w:val="99"/>
        <w:spacing w:line="360" w:lineRule="auto"/>
        <w:ind w:firstLine="420"/>
      </w:pPr>
      <w:r>
        <w:t>内容：规定监督机构、监督方式、检查内容、处罚措施等。</w:t>
      </w:r>
    </w:p>
    <w:p w14:paraId="2A455833">
      <w:pPr>
        <w:pStyle w:val="99"/>
        <w:spacing w:line="360" w:lineRule="auto"/>
        <w:ind w:firstLine="420"/>
      </w:pPr>
      <w:r>
        <w:t>实施：要求各级烟草企业建立健全监督机制，加强对采购活动的日常监督和定期检查。</w:t>
      </w:r>
    </w:p>
    <w:p w14:paraId="41555DDD">
      <w:pPr>
        <w:pStyle w:val="99"/>
        <w:numPr>
          <w:ilvl w:val="0"/>
          <w:numId w:val="109"/>
        </w:numPr>
        <w:spacing w:line="360" w:lineRule="auto"/>
      </w:pPr>
      <w:r>
        <w:t>《烟草行业采购风险管理规定》</w:t>
      </w:r>
    </w:p>
    <w:p w14:paraId="02FED01D">
      <w:pPr>
        <w:pStyle w:val="99"/>
        <w:spacing w:line="360" w:lineRule="auto"/>
        <w:ind w:firstLine="420"/>
      </w:pPr>
      <w:r>
        <w:t>目的：识别、评估和应对采购过程中的风险。</w:t>
      </w:r>
    </w:p>
    <w:p w14:paraId="0482A070">
      <w:pPr>
        <w:pStyle w:val="99"/>
        <w:spacing w:line="360" w:lineRule="auto"/>
        <w:ind w:firstLine="420"/>
      </w:pPr>
      <w:r>
        <w:t>内容：规定风险评估方法、风险应对措施、风险监控机制等。</w:t>
      </w:r>
    </w:p>
    <w:p w14:paraId="22518923">
      <w:pPr>
        <w:pStyle w:val="99"/>
        <w:spacing w:line="360" w:lineRule="auto"/>
        <w:ind w:firstLine="420"/>
      </w:pPr>
      <w:r>
        <w:t>实施：要求各级烟草企业建立风险管理机制，定期对采购风险进行评估和监控。</w:t>
      </w:r>
    </w:p>
    <w:p w14:paraId="2D06C0C6">
      <w:pPr>
        <w:pStyle w:val="99"/>
        <w:numPr>
          <w:ilvl w:val="0"/>
          <w:numId w:val="109"/>
        </w:numPr>
        <w:spacing w:line="360" w:lineRule="auto"/>
      </w:pPr>
      <w:r>
        <w:t>《烟草行业采购费用管理规定》</w:t>
      </w:r>
    </w:p>
    <w:p w14:paraId="771E37F1">
      <w:pPr>
        <w:pStyle w:val="99"/>
        <w:spacing w:line="360" w:lineRule="auto"/>
        <w:ind w:firstLine="420"/>
      </w:pPr>
      <w:r>
        <w:t>目的：规范采购费用的核算和使用方式。</w:t>
      </w:r>
    </w:p>
    <w:p w14:paraId="5D551019">
      <w:pPr>
        <w:pStyle w:val="99"/>
        <w:spacing w:line="360" w:lineRule="auto"/>
        <w:ind w:firstLine="420"/>
      </w:pPr>
      <w:r>
        <w:t>内容：规定采购费用的预算、审批、支付、报销等流程。</w:t>
      </w:r>
    </w:p>
    <w:p w14:paraId="235774C3">
      <w:pPr>
        <w:pStyle w:val="99"/>
        <w:spacing w:line="360" w:lineRule="auto"/>
        <w:ind w:firstLine="420"/>
      </w:pPr>
      <w:r>
        <w:t>实施：要求各级烟草企业加强采购费用管理，确保费用合理且符合预算。</w:t>
      </w:r>
    </w:p>
    <w:p w14:paraId="6D2722F8">
      <w:pPr>
        <w:pStyle w:val="99"/>
        <w:spacing w:line="360" w:lineRule="auto"/>
        <w:ind w:firstLine="420"/>
      </w:pPr>
      <w:r>
        <w:t>以上制度清单和制度概述为烟草行业采购制度规划提供了基本框架和核心内容。各级烟草企业可根据实际情况进一步细化和完善相关制度，以确保采购活动的合法性、合规性和高效性。</w:t>
      </w:r>
      <w:r>
        <w:rPr>
          <w:szCs w:val="21"/>
        </w:rPr>
        <w:t>通过本次采购制度规划，国家烟草总公司将建立起一套统一、规范、高效的采购管理制度和流程，强化采购过程控制，提高采购效率和透明度，降低采购成本，为企业的可持续发展提供有力保障。同时，该规划也将为烟草行业的其他企业提供有益的参考和借鉴。</w:t>
      </w:r>
    </w:p>
    <w:p w14:paraId="117584E6">
      <w:pPr>
        <w:pStyle w:val="6"/>
        <w:rPr>
          <w:szCs w:val="24"/>
        </w:rPr>
      </w:pPr>
      <w:bookmarkStart w:id="322" w:name="_Toc180265697"/>
      <w:r>
        <w:rPr>
          <w:szCs w:val="24"/>
        </w:rPr>
        <w:t>采购策略规划</w:t>
      </w:r>
      <w:r>
        <w:rPr>
          <w:rFonts w:hint="eastAsia"/>
          <w:szCs w:val="24"/>
        </w:rPr>
        <w:t>实施方案</w:t>
      </w:r>
      <w:bookmarkEnd w:id="322"/>
    </w:p>
    <w:p w14:paraId="64782852">
      <w:pPr>
        <w:spacing w:line="360" w:lineRule="auto"/>
        <w:ind w:firstLine="422"/>
        <w:rPr>
          <w:b/>
          <w:bCs/>
          <w:szCs w:val="21"/>
        </w:rPr>
      </w:pPr>
      <w:r>
        <w:rPr>
          <w:rFonts w:hint="eastAsia"/>
          <w:b/>
          <w:bCs/>
          <w:szCs w:val="21"/>
        </w:rPr>
        <w:t>一、</w:t>
      </w:r>
      <w:r>
        <w:rPr>
          <w:b/>
          <w:bCs/>
          <w:szCs w:val="21"/>
        </w:rPr>
        <w:t>行业采购</w:t>
      </w:r>
      <w:r>
        <w:rPr>
          <w:rFonts w:hint="eastAsia"/>
          <w:b/>
          <w:bCs/>
          <w:szCs w:val="21"/>
        </w:rPr>
        <w:t>策略</w:t>
      </w:r>
      <w:r>
        <w:rPr>
          <w:b/>
          <w:bCs/>
          <w:szCs w:val="21"/>
        </w:rPr>
        <w:t>现状</w:t>
      </w:r>
      <w:r>
        <w:rPr>
          <w:rFonts w:hint="eastAsia"/>
          <w:b/>
          <w:bCs/>
          <w:szCs w:val="21"/>
        </w:rPr>
        <w:t>调研</w:t>
      </w:r>
      <w:r>
        <w:rPr>
          <w:b/>
          <w:bCs/>
          <w:szCs w:val="21"/>
        </w:rPr>
        <w:t>分析</w:t>
      </w:r>
    </w:p>
    <w:p w14:paraId="70AFB78A">
      <w:pPr>
        <w:spacing w:line="360" w:lineRule="auto"/>
        <w:ind w:firstLine="420"/>
        <w:rPr>
          <w:szCs w:val="21"/>
        </w:rPr>
      </w:pPr>
      <w:r>
        <w:rPr>
          <w:szCs w:val="21"/>
        </w:rPr>
        <w:t>烟草行业在物资采购方面经过多年的发展，已在规范性和效率性方面取得了长足的进步。然而，面对日益激烈的市场竞争和不断变化的外部环境，当前的采购工作仍</w:t>
      </w:r>
      <w:r>
        <w:rPr>
          <w:rFonts w:hint="eastAsia"/>
          <w:szCs w:val="21"/>
        </w:rPr>
        <w:t>可能</w:t>
      </w:r>
      <w:r>
        <w:rPr>
          <w:szCs w:val="21"/>
        </w:rPr>
        <w:t>存在一些问题</w:t>
      </w:r>
      <w:r>
        <w:rPr>
          <w:rFonts w:hint="eastAsia"/>
          <w:szCs w:val="21"/>
        </w:rPr>
        <w:t>，对重点可能存在的问题进行调研分析。主要包括</w:t>
      </w:r>
      <w:r>
        <w:rPr>
          <w:rFonts w:hint="eastAsia"/>
        </w:rPr>
        <w:t>采购</w:t>
      </w:r>
      <w:r>
        <w:t>人员素质参差不齐</w:t>
      </w:r>
      <w:r>
        <w:rPr>
          <w:rFonts w:hint="eastAsia"/>
        </w:rPr>
        <w:t>分析；</w:t>
      </w:r>
      <w:r>
        <w:t>采购前瞻性不足</w:t>
      </w:r>
      <w:r>
        <w:rPr>
          <w:rFonts w:hint="eastAsia"/>
        </w:rPr>
        <w:t>分析；</w:t>
      </w:r>
      <w:r>
        <w:t>信息系统落后</w:t>
      </w:r>
      <w:r>
        <w:rPr>
          <w:rFonts w:hint="eastAsia"/>
        </w:rPr>
        <w:t>分析；</w:t>
      </w:r>
      <w:r>
        <w:t>高效的采购管理信息化平台</w:t>
      </w:r>
      <w:r>
        <w:rPr>
          <w:rFonts w:hint="eastAsia"/>
        </w:rPr>
        <w:t>情况进行分析；</w:t>
      </w:r>
      <w:r>
        <w:t>管理粗放</w:t>
      </w:r>
      <w:r>
        <w:rPr>
          <w:rFonts w:hint="eastAsia"/>
        </w:rPr>
        <w:t>分析等</w:t>
      </w:r>
      <w:r>
        <w:t>没有形成系统的管理体系，影响了采购工作的规范性和效率</w:t>
      </w:r>
      <w:r>
        <w:rPr>
          <w:rFonts w:hint="eastAsia"/>
        </w:rPr>
        <w:t>问题进行调研分析</w:t>
      </w:r>
      <w:r>
        <w:t>。</w:t>
      </w:r>
    </w:p>
    <w:p w14:paraId="20211C99">
      <w:pPr>
        <w:spacing w:line="360" w:lineRule="auto"/>
        <w:ind w:firstLine="422"/>
        <w:rPr>
          <w:b/>
          <w:bCs/>
          <w:szCs w:val="21"/>
        </w:rPr>
      </w:pPr>
      <w:r>
        <w:rPr>
          <w:rFonts w:hint="eastAsia"/>
          <w:b/>
          <w:bCs/>
          <w:szCs w:val="21"/>
        </w:rPr>
        <w:t>二、规划和建议</w:t>
      </w:r>
      <w:r>
        <w:rPr>
          <w:b/>
          <w:bCs/>
          <w:szCs w:val="21"/>
        </w:rPr>
        <w:t>采购管理策略</w:t>
      </w:r>
    </w:p>
    <w:p w14:paraId="3152EFFA">
      <w:pPr>
        <w:spacing w:line="360" w:lineRule="auto"/>
        <w:ind w:firstLine="420" w:firstLineChars="200"/>
        <w:rPr>
          <w:b/>
          <w:bCs/>
          <w:szCs w:val="21"/>
        </w:rPr>
      </w:pPr>
      <w:r>
        <w:rPr>
          <w:rFonts w:hint="eastAsia"/>
        </w:rPr>
        <w:t>根据前期对采购采购管理调研情况组织有关专家进行采购管理改进规划和建议，</w:t>
      </w:r>
      <w:r>
        <w:rPr>
          <w:szCs w:val="21"/>
        </w:rPr>
        <w:t>结合采购领域的先进理念，</w:t>
      </w:r>
      <w:r>
        <w:rPr>
          <w:rFonts w:hint="eastAsia"/>
          <w:szCs w:val="21"/>
        </w:rPr>
        <w:t>建议</w:t>
      </w:r>
      <w:r>
        <w:rPr>
          <w:szCs w:val="21"/>
        </w:rPr>
        <w:t>烟草行业</w:t>
      </w:r>
      <w:r>
        <w:rPr>
          <w:rFonts w:hint="eastAsia"/>
          <w:szCs w:val="21"/>
        </w:rPr>
        <w:t>采购结合</w:t>
      </w:r>
      <w:r>
        <w:rPr>
          <w:szCs w:val="21"/>
        </w:rPr>
        <w:t>以下原则：</w:t>
      </w:r>
      <w:r>
        <w:t>高质量发展：以高质量发展为目标，推动采购管理的规范化、精细化和智能化。公开透明：坚持采购过程的公开透明，确保采购活动的公正、公平和合法。精准匹配：根据生产需求和市场变化，精准匹配采购资源，提高采购效率和供应保障能力。风险管理：加强采购风险管理，建立健全风险防控机制，确保采购工作的安全稳定。</w:t>
      </w:r>
    </w:p>
    <w:p w14:paraId="55CD0DDB">
      <w:pPr>
        <w:spacing w:line="360" w:lineRule="auto"/>
        <w:ind w:firstLine="420"/>
        <w:rPr>
          <w:szCs w:val="21"/>
        </w:rPr>
      </w:pPr>
      <w:r>
        <w:rPr>
          <w:rFonts w:hint="eastAsia"/>
        </w:rPr>
        <w:t>重点规划内容如下，同时编写规划方案</w:t>
      </w:r>
    </w:p>
    <w:p w14:paraId="369961B3">
      <w:pPr>
        <w:spacing w:line="360" w:lineRule="auto"/>
        <w:rPr>
          <w:b/>
          <w:bCs/>
          <w:szCs w:val="21"/>
        </w:rPr>
      </w:pPr>
      <w:r>
        <w:rPr>
          <w:rFonts w:hint="eastAsia"/>
          <w:b/>
          <w:bCs/>
          <w:szCs w:val="21"/>
        </w:rPr>
        <w:t>（一）</w:t>
      </w:r>
      <w:r>
        <w:rPr>
          <w:b/>
          <w:bCs/>
          <w:szCs w:val="21"/>
        </w:rPr>
        <w:t>集中采购策略</w:t>
      </w:r>
    </w:p>
    <w:p w14:paraId="3545F362">
      <w:pPr>
        <w:tabs>
          <w:tab w:val="left" w:pos="3531"/>
        </w:tabs>
        <w:spacing w:line="360" w:lineRule="auto"/>
        <w:ind w:firstLine="420"/>
        <w:rPr>
          <w:b/>
          <w:bCs/>
          <w:szCs w:val="21"/>
        </w:rPr>
      </w:pPr>
      <w:r>
        <w:rPr>
          <w:rFonts w:hint="eastAsia"/>
          <w:szCs w:val="21"/>
        </w:rPr>
        <w:t>集中采购可以发挥规模采购优势，降低采购成本，提高采购效率；规范采购行为，增加采购活动的透明度，防范廉政风险；优化供应链管理，与优秀供应商形成战略合作关系；集中采购策略结合信息化系统，可以发挥出大数据及信息化优势。推行标准化和信息化的集中采购，可以提高采购和供应环节的准确性、及时性和匹配性；提高产品和服务质量，获得优质供应商的产品和服务。</w:t>
      </w:r>
    </w:p>
    <w:p w14:paraId="5796CAE5">
      <w:pPr>
        <w:spacing w:line="360" w:lineRule="auto"/>
        <w:rPr>
          <w:b/>
          <w:bCs/>
          <w:szCs w:val="21"/>
        </w:rPr>
      </w:pPr>
      <w:r>
        <w:rPr>
          <w:rFonts w:hint="eastAsia"/>
          <w:b/>
          <w:bCs/>
          <w:szCs w:val="21"/>
        </w:rPr>
        <w:t>1.集中采购策略原则</w:t>
      </w:r>
    </w:p>
    <w:p w14:paraId="4EF29A4B">
      <w:pPr>
        <w:spacing w:line="360" w:lineRule="auto"/>
        <w:ind w:firstLine="420" w:firstLineChars="200"/>
        <w:jc w:val="left"/>
      </w:pPr>
      <w:r>
        <w:t>决策权集中：将采购的决策权和组织权集中到相关部门或单位，集中负责计划编制、采购立项和实施。流程优化：梳理采购流程，优化采购程序，将业务、合同、监督、公开等融入统一的采购管理系统，提高采购效率。“应招尽招”：完善采购目录内容和审核机制，确保所有应纳入招标范围的采购活动都严格按照规范流程进行。</w:t>
      </w:r>
    </w:p>
    <w:p w14:paraId="4C1606B0">
      <w:pPr>
        <w:spacing w:line="360" w:lineRule="auto"/>
        <w:rPr>
          <w:b/>
          <w:bCs/>
          <w:szCs w:val="21"/>
        </w:rPr>
      </w:pPr>
      <w:r>
        <w:rPr>
          <w:rFonts w:hint="eastAsia"/>
          <w:b/>
          <w:bCs/>
          <w:szCs w:val="21"/>
        </w:rPr>
        <w:t>2.集中采购策略详细规划</w:t>
      </w:r>
    </w:p>
    <w:p w14:paraId="040B66CE">
      <w:pPr>
        <w:pStyle w:val="99"/>
        <w:spacing w:line="360" w:lineRule="auto"/>
        <w:ind w:firstLine="420"/>
      </w:pPr>
      <w:r>
        <w:t>针对烟草行业的集中采购策略，以下是一些更加具体和深入的规划</w:t>
      </w:r>
      <w:r>
        <w:rPr>
          <w:rFonts w:hint="eastAsia"/>
        </w:rPr>
        <w:t>和设想</w:t>
      </w:r>
      <w:r>
        <w:t>：集中采购组织架构与职责明确</w:t>
      </w:r>
    </w:p>
    <w:p w14:paraId="4473B0A5">
      <w:pPr>
        <w:pStyle w:val="99"/>
        <w:spacing w:line="360" w:lineRule="auto"/>
        <w:ind w:firstLine="420"/>
      </w:pPr>
      <w:r>
        <w:rPr>
          <w:rStyle w:val="45"/>
        </w:rPr>
        <w:t>建立集中采购中心</w:t>
      </w:r>
      <w:r>
        <w:t>：在烟草公司总部或指定区域设立集中采购中心，该中心应具备专业的采购团队、完善的采购流程和信息系统支持。</w:t>
      </w:r>
    </w:p>
    <w:p w14:paraId="254C928B">
      <w:pPr>
        <w:pStyle w:val="99"/>
        <w:spacing w:line="360" w:lineRule="auto"/>
        <w:ind w:firstLine="420"/>
      </w:pPr>
      <w:r>
        <w:rPr>
          <w:rStyle w:val="45"/>
        </w:rPr>
        <w:t>明确职责与权限</w:t>
      </w:r>
      <w:r>
        <w:t>：集中采购中心应明确各岗位的职责与权限，包括采购计划制定、供应商管理、采购合同签订、货物验收与付款等环节。同时，应建立严格的内部审批机制，确保采购决策的科学性和合规性。</w:t>
      </w:r>
    </w:p>
    <w:p w14:paraId="059EA7DB">
      <w:pPr>
        <w:pStyle w:val="99"/>
        <w:spacing w:line="360" w:lineRule="auto"/>
        <w:ind w:firstLine="420"/>
      </w:pPr>
      <w:r>
        <w:rPr>
          <w:rFonts w:ascii="Segoe UI" w:hAnsi="Segoe UI" w:cs="Segoe UI"/>
          <w:szCs w:val="21"/>
        </w:rPr>
        <w:t>综上，烟草行业的集中采购策略应涵盖组织架构与职责明确、采购计划编制与执行、供应商管理与优化、采购成本控制与效率提升以及采购风险管理等多个方面。通过实施这些策略，烟草行业将有效提升采购工作的规范性和效率，推动行业的高质量发展。</w:t>
      </w:r>
    </w:p>
    <w:p w14:paraId="329A295E">
      <w:pPr>
        <w:spacing w:line="360" w:lineRule="auto"/>
        <w:rPr>
          <w:b/>
          <w:bCs/>
          <w:szCs w:val="21"/>
        </w:rPr>
      </w:pPr>
      <w:r>
        <w:rPr>
          <w:rFonts w:hint="eastAsia"/>
          <w:b/>
          <w:bCs/>
          <w:szCs w:val="21"/>
        </w:rPr>
        <w:t>（二）</w:t>
      </w:r>
      <w:r>
        <w:rPr>
          <w:b/>
          <w:bCs/>
          <w:szCs w:val="21"/>
        </w:rPr>
        <w:t>采购绩效管理策略</w:t>
      </w:r>
      <w:r>
        <w:rPr>
          <w:rFonts w:hint="eastAsia"/>
          <w:b/>
          <w:bCs/>
          <w:szCs w:val="21"/>
        </w:rPr>
        <w:t>规划</w:t>
      </w:r>
    </w:p>
    <w:p w14:paraId="5F31C673">
      <w:pPr>
        <w:spacing w:line="360" w:lineRule="auto"/>
        <w:ind w:firstLine="420" w:firstLineChars="200"/>
        <w:rPr>
          <w:szCs w:val="21"/>
        </w:rPr>
      </w:pPr>
      <w:r>
        <w:rPr>
          <w:rFonts w:hint="eastAsia"/>
          <w:szCs w:val="21"/>
        </w:rPr>
        <w:t>采购绩效策略是对采购产出与投入进行对比分析，以全面评价采购效率，并通过关键绩效指标进行管理，旨在提高采购效益和企业竞争力。</w:t>
      </w:r>
    </w:p>
    <w:p w14:paraId="139718AD">
      <w:pPr>
        <w:spacing w:line="360" w:lineRule="auto"/>
        <w:rPr>
          <w:b/>
          <w:bCs/>
          <w:szCs w:val="21"/>
        </w:rPr>
      </w:pPr>
      <w:r>
        <w:rPr>
          <w:rFonts w:hint="eastAsia"/>
          <w:b/>
          <w:bCs/>
          <w:szCs w:val="21"/>
        </w:rPr>
        <w:t>1.采购绩效管理策略规划</w:t>
      </w:r>
    </w:p>
    <w:p w14:paraId="269A51BB">
      <w:pPr>
        <w:spacing w:line="360" w:lineRule="auto"/>
        <w:ind w:firstLine="420" w:firstLineChars="200"/>
      </w:pPr>
      <w:r>
        <w:t>优化考评指标：构建科学、合理、针对性强、具有可操作性的考评指标体系，简化、量化免检指标，提高考评效率。信息化管理：建立线上免检管理系统，实现免检工作的标准化和信息化管理，提高免检工作的质量和效率。持续改进：针对采购管理工作的重点难点，开展有针对性的课题研究，形成高质量的研究成果，为采购绩效的持续改进和创新提供指导。</w:t>
      </w:r>
    </w:p>
    <w:p w14:paraId="093E4535">
      <w:pPr>
        <w:spacing w:line="360" w:lineRule="auto"/>
        <w:rPr>
          <w:b/>
          <w:bCs/>
          <w:szCs w:val="21"/>
        </w:rPr>
      </w:pPr>
      <w:r>
        <w:rPr>
          <w:rFonts w:hint="eastAsia"/>
          <w:b/>
          <w:bCs/>
          <w:szCs w:val="21"/>
        </w:rPr>
        <w:t>2.采购绩效和成本控制策略规划</w:t>
      </w:r>
    </w:p>
    <w:p w14:paraId="34F1C6AA">
      <w:pPr>
        <w:spacing w:line="360" w:lineRule="auto"/>
        <w:ind w:firstLine="420" w:firstLineChars="200"/>
        <w:rPr>
          <w:szCs w:val="21"/>
        </w:rPr>
      </w:pPr>
      <w:r>
        <w:rPr>
          <w:szCs w:val="21"/>
        </w:rPr>
        <w:t>在烟草行业中，采购成本控制与效率提升的具体措施可以包括以下几个方面：</w:t>
      </w:r>
    </w:p>
    <w:p w14:paraId="3A5F3B61">
      <w:pPr>
        <w:pStyle w:val="73"/>
        <w:numPr>
          <w:ilvl w:val="0"/>
          <w:numId w:val="13"/>
        </w:numPr>
        <w:spacing w:line="360" w:lineRule="auto"/>
        <w:ind w:firstLineChars="0"/>
        <w:rPr>
          <w:szCs w:val="21"/>
        </w:rPr>
      </w:pPr>
      <w:r>
        <w:rPr>
          <w:szCs w:val="21"/>
        </w:rPr>
        <w:t>采购成本控制</w:t>
      </w:r>
    </w:p>
    <w:p w14:paraId="7275C6FC">
      <w:pPr>
        <w:pStyle w:val="73"/>
        <w:numPr>
          <w:ilvl w:val="0"/>
          <w:numId w:val="13"/>
        </w:numPr>
        <w:spacing w:line="360" w:lineRule="auto"/>
        <w:ind w:firstLineChars="0"/>
        <w:rPr>
          <w:szCs w:val="21"/>
        </w:rPr>
      </w:pPr>
      <w:r>
        <w:t>加强需求预测与计划管理</w:t>
      </w:r>
    </w:p>
    <w:p w14:paraId="2B5FAE14">
      <w:pPr>
        <w:pStyle w:val="73"/>
        <w:numPr>
          <w:ilvl w:val="0"/>
          <w:numId w:val="13"/>
        </w:numPr>
        <w:spacing w:line="360" w:lineRule="auto"/>
        <w:ind w:firstLineChars="0"/>
        <w:rPr>
          <w:szCs w:val="21"/>
        </w:rPr>
      </w:pPr>
      <w:r>
        <w:t>优化采购流程</w:t>
      </w:r>
    </w:p>
    <w:p w14:paraId="10A60AE9">
      <w:pPr>
        <w:pStyle w:val="73"/>
        <w:numPr>
          <w:ilvl w:val="0"/>
          <w:numId w:val="13"/>
        </w:numPr>
        <w:spacing w:line="360" w:lineRule="auto"/>
        <w:ind w:firstLineChars="0"/>
        <w:rPr>
          <w:szCs w:val="21"/>
        </w:rPr>
      </w:pPr>
      <w:r>
        <w:t>加强供应商管理</w:t>
      </w:r>
    </w:p>
    <w:p w14:paraId="4CFD57B9">
      <w:pPr>
        <w:pStyle w:val="73"/>
        <w:numPr>
          <w:ilvl w:val="0"/>
          <w:numId w:val="13"/>
        </w:numPr>
        <w:spacing w:line="360" w:lineRule="auto"/>
        <w:ind w:firstLineChars="0"/>
        <w:rPr>
          <w:szCs w:val="21"/>
        </w:rPr>
      </w:pPr>
      <w:r>
        <w:t>推行集中采购</w:t>
      </w:r>
    </w:p>
    <w:p w14:paraId="2E1B2E33">
      <w:pPr>
        <w:pStyle w:val="73"/>
        <w:numPr>
          <w:ilvl w:val="0"/>
          <w:numId w:val="13"/>
        </w:numPr>
        <w:spacing w:line="360" w:lineRule="auto"/>
        <w:ind w:firstLineChars="0"/>
        <w:rPr>
          <w:szCs w:val="21"/>
        </w:rPr>
      </w:pPr>
      <w:r>
        <w:t>加强库存管理</w:t>
      </w:r>
    </w:p>
    <w:p w14:paraId="63C813C5">
      <w:pPr>
        <w:pStyle w:val="73"/>
        <w:numPr>
          <w:ilvl w:val="0"/>
          <w:numId w:val="13"/>
        </w:numPr>
        <w:spacing w:line="360" w:lineRule="auto"/>
        <w:ind w:firstLineChars="0"/>
        <w:rPr>
          <w:szCs w:val="21"/>
        </w:rPr>
      </w:pPr>
      <w:r>
        <w:t>推行精益采购</w:t>
      </w:r>
    </w:p>
    <w:p w14:paraId="0DAB6415">
      <w:pPr>
        <w:spacing w:line="360" w:lineRule="auto"/>
        <w:rPr>
          <w:b/>
          <w:bCs/>
          <w:szCs w:val="21"/>
        </w:rPr>
      </w:pPr>
      <w:r>
        <w:rPr>
          <w:rFonts w:hint="eastAsia"/>
          <w:b/>
          <w:bCs/>
          <w:szCs w:val="21"/>
        </w:rPr>
        <w:t>3.采购效率提升</w:t>
      </w:r>
    </w:p>
    <w:p w14:paraId="032B223E">
      <w:pPr>
        <w:pStyle w:val="73"/>
        <w:numPr>
          <w:ilvl w:val="0"/>
          <w:numId w:val="110"/>
        </w:numPr>
        <w:spacing w:line="360" w:lineRule="auto"/>
        <w:ind w:firstLineChars="0"/>
      </w:pPr>
      <w:r>
        <w:t>采用先进的采购技术</w:t>
      </w:r>
    </w:p>
    <w:p w14:paraId="28CD693C">
      <w:pPr>
        <w:pStyle w:val="73"/>
        <w:numPr>
          <w:ilvl w:val="0"/>
          <w:numId w:val="110"/>
        </w:numPr>
        <w:spacing w:line="360" w:lineRule="auto"/>
        <w:ind w:firstLineChars="0"/>
      </w:pPr>
      <w:r>
        <w:t>加强内部协同</w:t>
      </w:r>
    </w:p>
    <w:p w14:paraId="6B4AEBED">
      <w:pPr>
        <w:pStyle w:val="73"/>
        <w:numPr>
          <w:ilvl w:val="0"/>
          <w:numId w:val="110"/>
        </w:numPr>
        <w:spacing w:line="360" w:lineRule="auto"/>
        <w:ind w:firstLineChars="0"/>
      </w:pPr>
      <w:r>
        <w:t>优化采购流程</w:t>
      </w:r>
    </w:p>
    <w:p w14:paraId="3449DEBB">
      <w:pPr>
        <w:pStyle w:val="73"/>
        <w:numPr>
          <w:ilvl w:val="0"/>
          <w:numId w:val="110"/>
        </w:numPr>
        <w:spacing w:line="360" w:lineRule="auto"/>
        <w:ind w:firstLineChars="0"/>
      </w:pPr>
      <w:r>
        <w:t>加强员工培训</w:t>
      </w:r>
    </w:p>
    <w:p w14:paraId="10F27AB0">
      <w:pPr>
        <w:pStyle w:val="73"/>
        <w:numPr>
          <w:ilvl w:val="0"/>
          <w:numId w:val="110"/>
        </w:numPr>
        <w:spacing w:line="360" w:lineRule="auto"/>
        <w:ind w:firstLineChars="0"/>
      </w:pPr>
      <w:r>
        <w:t>建立绩效考核机制</w:t>
      </w:r>
    </w:p>
    <w:p w14:paraId="415961BE">
      <w:pPr>
        <w:spacing w:line="360" w:lineRule="auto"/>
        <w:ind w:firstLine="420" w:firstLineChars="200"/>
        <w:rPr>
          <w:szCs w:val="21"/>
        </w:rPr>
      </w:pPr>
      <w:r>
        <w:rPr>
          <w:szCs w:val="21"/>
        </w:rPr>
        <w:t>烟草行业在采购成本控制与效率提升方面可以采取多种措施。这些措施的实施将有助于降低采购成本、提高采购效率，从而提升企业的竞争力和盈利能力。</w:t>
      </w:r>
    </w:p>
    <w:p w14:paraId="1D078B85">
      <w:pPr>
        <w:spacing w:line="360" w:lineRule="auto"/>
        <w:rPr>
          <w:b/>
          <w:bCs/>
          <w:szCs w:val="21"/>
        </w:rPr>
      </w:pPr>
      <w:r>
        <w:rPr>
          <w:rFonts w:hint="eastAsia"/>
          <w:b/>
          <w:bCs/>
          <w:szCs w:val="21"/>
        </w:rPr>
        <w:t>（三）</w:t>
      </w:r>
      <w:r>
        <w:rPr>
          <w:b/>
          <w:bCs/>
          <w:szCs w:val="21"/>
        </w:rPr>
        <w:t xml:space="preserve"> 采购风险管理策略</w:t>
      </w:r>
      <w:r>
        <w:rPr>
          <w:rFonts w:hint="eastAsia"/>
          <w:b/>
          <w:bCs/>
          <w:szCs w:val="21"/>
        </w:rPr>
        <w:t>规划</w:t>
      </w:r>
    </w:p>
    <w:p w14:paraId="45802A75">
      <w:pPr>
        <w:spacing w:line="360" w:lineRule="auto"/>
        <w:ind w:firstLine="420"/>
        <w:rPr>
          <w:szCs w:val="21"/>
        </w:rPr>
      </w:pPr>
      <w:r>
        <w:rPr>
          <w:rFonts w:hint="eastAsia"/>
          <w:szCs w:val="21"/>
        </w:rPr>
        <w:t>采购风险策略的核心在于识别、评估和控制采购过程中可能出现的各种风险，以确保采购活动的顺利进行。</w:t>
      </w:r>
      <w:r>
        <w:t>风险点梳理：围绕采购相关流程，梳理出各个风险点，对每一个风险点拟定</w:t>
      </w:r>
      <w:r>
        <w:rPr>
          <w:rFonts w:hint="eastAsia"/>
        </w:rPr>
        <w:t>应对</w:t>
      </w:r>
      <w:r>
        <w:t>措施。全程监管：建立健全采购监督机制，明确监督职责和权限，确保采购工作的公正、公平和透明。应急机制：建立采购应急机制，应对突发事件和紧急情况，确保采购工作的连续性和稳定性。</w:t>
      </w:r>
    </w:p>
    <w:p w14:paraId="60E9ACBC">
      <w:pPr>
        <w:spacing w:line="360" w:lineRule="auto"/>
        <w:ind w:firstLine="420"/>
        <w:rPr>
          <w:szCs w:val="21"/>
        </w:rPr>
      </w:pPr>
      <w:r>
        <w:rPr>
          <w:szCs w:val="21"/>
        </w:rPr>
        <w:t>通过实施上述采购管理策略，烟草行业将有效提升采购工作的规范性和效率，推动行业的高质量发展。同时，加强供应商管理、采购绩效管理和风险管理，将为企业的发展提供有力保障。未来，烟草行业应继续深化采购管理改革，不断创新采购理念和模式，以适应市场变化和行业发展的需求。</w:t>
      </w:r>
    </w:p>
    <w:p w14:paraId="7F948727">
      <w:pPr>
        <w:pStyle w:val="6"/>
        <w:rPr>
          <w:szCs w:val="24"/>
        </w:rPr>
      </w:pPr>
      <w:bookmarkStart w:id="323" w:name="_Toc180265698"/>
      <w:r>
        <w:rPr>
          <w:rFonts w:asciiTheme="minorEastAsia" w:hAnsiTheme="minorEastAsia" w:eastAsiaTheme="minorEastAsia"/>
          <w:szCs w:val="24"/>
        </w:rPr>
        <w:t>采购信息化规划</w:t>
      </w:r>
      <w:r>
        <w:rPr>
          <w:rFonts w:hint="eastAsia"/>
          <w:szCs w:val="24"/>
        </w:rPr>
        <w:t>实施</w:t>
      </w:r>
      <w:r>
        <w:rPr>
          <w:szCs w:val="24"/>
        </w:rPr>
        <w:t>方案</w:t>
      </w:r>
      <w:bookmarkEnd w:id="323"/>
    </w:p>
    <w:p w14:paraId="0011E1BA">
      <w:pPr>
        <w:spacing w:line="360" w:lineRule="auto"/>
        <w:rPr>
          <w:b/>
          <w:bCs/>
          <w:szCs w:val="21"/>
        </w:rPr>
      </w:pPr>
      <w:r>
        <w:rPr>
          <w:rFonts w:hint="eastAsia"/>
          <w:b/>
          <w:bCs/>
          <w:szCs w:val="21"/>
        </w:rPr>
        <w:t>一、</w:t>
      </w:r>
      <w:r>
        <w:rPr>
          <w:b/>
          <w:bCs/>
          <w:szCs w:val="21"/>
        </w:rPr>
        <w:t>烟草行业采购信息化现状</w:t>
      </w:r>
      <w:r>
        <w:rPr>
          <w:rFonts w:hint="eastAsia"/>
          <w:b/>
          <w:bCs/>
          <w:szCs w:val="21"/>
        </w:rPr>
        <w:t>调研分析</w:t>
      </w:r>
    </w:p>
    <w:p w14:paraId="5EF9D179">
      <w:pPr>
        <w:spacing w:line="360" w:lineRule="auto"/>
        <w:ind w:firstLine="420"/>
        <w:rPr>
          <w:szCs w:val="21"/>
        </w:rPr>
      </w:pPr>
      <w:r>
        <w:rPr>
          <w:rFonts w:hint="eastAsia"/>
          <w:szCs w:val="21"/>
        </w:rPr>
        <w:t>当前，烟草行业在采购管理方面面临诸多挑战。可能存在传统采购流程繁琐、环节过多、执行周期长、供应商管理不够科学、评估依据不全面，合作关系不够紧密。同时采购数据收集不全面、信息沟通不畅、系统集成不完善，限制了采购管理的科学性和高效性。此外，业务部门之间信息系统相对独立，数据难以共享和流通，可能形成了“信息孤岛”，导致工作协同效率低下，决策缺乏全面准确的数据支持。建议全行业采购业务均在电子交易平台中完成。采购流程和标准化文件固化在平台内，平台连接采购单位、专业部门、采购管理部门、专业采购代理机构、评标和评审专家、采购监督人员、供应商等采购参与各方，全流程工作均通过采购平台线上完成。实现采购管理全流程信息化和业务闭环。 建议随着平台优化完善及业务发展，建立专业专职信息化团队，统筹规划采购信息化和数字化工作，已期望在采购数据分析，数据决策，物资全生命周期管理等方面，推动物资资源创造新价值。</w:t>
      </w:r>
    </w:p>
    <w:p w14:paraId="490D481A">
      <w:pPr>
        <w:spacing w:line="360" w:lineRule="auto"/>
        <w:ind w:firstLine="420"/>
        <w:rPr>
          <w:szCs w:val="21"/>
        </w:rPr>
      </w:pPr>
      <w:r>
        <w:rPr>
          <w:rFonts w:hint="eastAsia"/>
          <w:szCs w:val="21"/>
        </w:rPr>
        <w:t>为做好行业采购信息化现状调研分析，主要从以下几个方面着手：</w:t>
      </w:r>
    </w:p>
    <w:p w14:paraId="1D93FBBE">
      <w:pPr>
        <w:numPr>
          <w:ilvl w:val="0"/>
          <w:numId w:val="111"/>
        </w:numPr>
        <w:spacing w:line="360" w:lineRule="auto"/>
        <w:ind w:firstLine="420" w:firstLineChars="200"/>
        <w:rPr>
          <w:szCs w:val="21"/>
        </w:rPr>
      </w:pPr>
      <w:r>
        <w:rPr>
          <w:rFonts w:hint="eastAsia"/>
          <w:szCs w:val="21"/>
        </w:rPr>
        <w:t>明确方向和目标</w:t>
      </w:r>
    </w:p>
    <w:p w14:paraId="512D7786">
      <w:pPr>
        <w:spacing w:line="360" w:lineRule="auto"/>
        <w:ind w:firstLine="420"/>
        <w:rPr>
          <w:szCs w:val="21"/>
        </w:rPr>
      </w:pPr>
      <w:r>
        <w:rPr>
          <w:rFonts w:hint="eastAsia"/>
          <w:szCs w:val="21"/>
        </w:rPr>
        <w:t>首先确定烟草行业采购信息化规划的目的，通过信息化对于监管系统进行设计，并对监管平台的全周期运营运维设计合理化方案，实现行业采购数字化转型规划。</w:t>
      </w:r>
    </w:p>
    <w:p w14:paraId="584F1ECE">
      <w:pPr>
        <w:numPr>
          <w:ilvl w:val="0"/>
          <w:numId w:val="111"/>
        </w:numPr>
        <w:spacing w:line="360" w:lineRule="auto"/>
        <w:ind w:firstLine="420" w:firstLineChars="200"/>
        <w:rPr>
          <w:szCs w:val="21"/>
        </w:rPr>
      </w:pPr>
      <w:r>
        <w:rPr>
          <w:rFonts w:hint="eastAsia"/>
          <w:szCs w:val="21"/>
        </w:rPr>
        <w:t>需求分析方式方法</w:t>
      </w:r>
    </w:p>
    <w:p w14:paraId="6E5D977B">
      <w:pPr>
        <w:spacing w:line="360" w:lineRule="auto"/>
        <w:ind w:firstLine="420"/>
        <w:rPr>
          <w:szCs w:val="21"/>
        </w:rPr>
      </w:pPr>
      <w:r>
        <w:rPr>
          <w:rFonts w:hint="eastAsia"/>
          <w:szCs w:val="21"/>
        </w:rPr>
        <w:t>本次规划编制需要了解烟草行业内部采购信息化业务流程、组织架构、管理模式以及现有采购管理信息系统等情况，确定调研时间、地点的参与的人员以及方法，并制定调研计划。按照计划开始收集和数据分析，结合问卷调查、实地考察、访谈等多种方式进行数据收集和分析，形成调研报告，据此评估烟草行业采购信息化的现状和问题，为后续规划制定提供依据。</w:t>
      </w:r>
    </w:p>
    <w:p w14:paraId="178930F0">
      <w:pPr>
        <w:numPr>
          <w:ilvl w:val="0"/>
          <w:numId w:val="111"/>
        </w:numPr>
        <w:spacing w:line="360" w:lineRule="auto"/>
        <w:ind w:firstLine="420" w:firstLineChars="200"/>
        <w:rPr>
          <w:szCs w:val="21"/>
        </w:rPr>
      </w:pPr>
      <w:r>
        <w:rPr>
          <w:rFonts w:hint="eastAsia"/>
          <w:szCs w:val="21"/>
        </w:rPr>
        <w:t>识别目前采购信息化需要规划实施的内容</w:t>
      </w:r>
    </w:p>
    <w:p w14:paraId="0527265B">
      <w:pPr>
        <w:spacing w:line="360" w:lineRule="auto"/>
        <w:ind w:firstLine="420"/>
        <w:rPr>
          <w:szCs w:val="21"/>
        </w:rPr>
      </w:pPr>
      <w:r>
        <w:rPr>
          <w:rFonts w:hint="eastAsia"/>
          <w:szCs w:val="21"/>
        </w:rPr>
        <w:t>通过前期对于业务部门调研情况，寻找业务部门需求和痛点，使信息化系统更加紧密地与业务流程结合，重点解决好行业采购监管系统设计方案、行业采购交易监管平台全生命周期运营运维方案、行业采购数字化转型规划。</w:t>
      </w:r>
    </w:p>
    <w:p w14:paraId="49F72941">
      <w:pPr>
        <w:spacing w:line="360" w:lineRule="auto"/>
        <w:rPr>
          <w:b/>
          <w:bCs/>
          <w:szCs w:val="21"/>
        </w:rPr>
      </w:pPr>
      <w:r>
        <w:rPr>
          <w:rFonts w:hint="eastAsia"/>
          <w:b/>
          <w:bCs/>
          <w:szCs w:val="21"/>
        </w:rPr>
        <w:t>二、采购信息化规划实施内容</w:t>
      </w:r>
    </w:p>
    <w:p w14:paraId="29F6854C">
      <w:pPr>
        <w:pStyle w:val="99"/>
        <w:spacing w:line="360" w:lineRule="auto"/>
        <w:ind w:firstLine="422"/>
        <w:rPr>
          <w:b/>
        </w:rPr>
      </w:pPr>
      <w:r>
        <w:rPr>
          <w:rFonts w:hint="eastAsia"/>
          <w:b/>
        </w:rPr>
        <w:t>（1）</w:t>
      </w:r>
      <w:r>
        <w:rPr>
          <w:b/>
        </w:rPr>
        <w:t>行业采购监管系统</w:t>
      </w:r>
      <w:r>
        <w:rPr>
          <w:rFonts w:hint="eastAsia"/>
          <w:b/>
        </w:rPr>
        <w:t>规划</w:t>
      </w:r>
      <w:r>
        <w:rPr>
          <w:b/>
        </w:rPr>
        <w:t>设计</w:t>
      </w:r>
      <w:r>
        <w:rPr>
          <w:rFonts w:hint="eastAsia"/>
          <w:b/>
        </w:rPr>
        <w:t>实施</w:t>
      </w:r>
      <w:r>
        <w:rPr>
          <w:b/>
        </w:rPr>
        <w:t>方案</w:t>
      </w:r>
    </w:p>
    <w:p w14:paraId="7164708D">
      <w:pPr>
        <w:tabs>
          <w:tab w:val="left" w:pos="3531"/>
        </w:tabs>
        <w:spacing w:line="360" w:lineRule="auto"/>
        <w:ind w:firstLine="420"/>
        <w:rPr>
          <w:rFonts w:hint="eastAsia" w:hAnsi="宋体" w:cs="宋体"/>
          <w:b/>
          <w:bCs/>
          <w:szCs w:val="21"/>
        </w:rPr>
      </w:pPr>
      <w:r>
        <w:rPr>
          <w:rFonts w:hint="eastAsia" w:hAnsi="宋体" w:cs="宋体"/>
          <w:szCs w:val="21"/>
        </w:rPr>
        <w:t>根据烟草内部采购管理的监管需求，结合烟草行业特色需求，可对监管系统的模块进行整体设计，针对常用采购功能如风险监控、采购项目监管等功能进行开发设计。</w:t>
      </w:r>
    </w:p>
    <w:p w14:paraId="353EB70D">
      <w:pPr>
        <w:tabs>
          <w:tab w:val="left" w:pos="3531"/>
        </w:tabs>
        <w:spacing w:line="360" w:lineRule="auto"/>
        <w:ind w:firstLine="420"/>
        <w:rPr>
          <w:rFonts w:hint="eastAsia" w:hAnsi="宋体" w:cs="宋体"/>
          <w:szCs w:val="21"/>
        </w:rPr>
      </w:pPr>
      <w:r>
        <w:rPr>
          <w:rFonts w:hint="eastAsia" w:hAnsi="宋体" w:cs="宋体"/>
          <w:szCs w:val="21"/>
        </w:rPr>
        <w:t>结合烟草行业监管模式，可将监管系统打造成内外两部分。内部行业性质监管部分为动态日常监管与定期专项监管相结合的，外部监管则通过与供应商管理系统联通，形成社会性质监管。打造烟草行业日常目标、问题和结果等多导向的交互系统，实现采购流程规范化、合规化，并在反馈中不断对流程及制度进行优化，在未来结合人工智能大模型，实现智慧监管，打造烟草专属采购监管系统，并为烟草行业供应链整体管理监管提供赋能。</w:t>
      </w:r>
    </w:p>
    <w:p w14:paraId="420141DE">
      <w:pPr>
        <w:spacing w:line="360" w:lineRule="auto"/>
        <w:ind w:firstLine="422" w:firstLineChars="200"/>
        <w:rPr>
          <w:b/>
          <w:bCs/>
          <w:szCs w:val="21"/>
        </w:rPr>
      </w:pPr>
      <w:r>
        <w:rPr>
          <w:rFonts w:hint="eastAsia"/>
          <w:b/>
          <w:bCs/>
          <w:szCs w:val="21"/>
        </w:rPr>
        <w:t>（2）</w:t>
      </w:r>
      <w:r>
        <w:rPr>
          <w:b/>
          <w:bCs/>
          <w:szCs w:val="21"/>
        </w:rPr>
        <w:t>行业采购交易监管平台全生命周期运营运维</w:t>
      </w:r>
      <w:r>
        <w:rPr>
          <w:rFonts w:hint="eastAsia"/>
          <w:b/>
          <w:bCs/>
          <w:szCs w:val="21"/>
        </w:rPr>
        <w:t>实施方案</w:t>
      </w:r>
    </w:p>
    <w:p w14:paraId="4548BAD0">
      <w:pPr>
        <w:tabs>
          <w:tab w:val="left" w:pos="3531"/>
        </w:tabs>
        <w:spacing w:line="360" w:lineRule="auto"/>
        <w:ind w:firstLine="420"/>
        <w:rPr>
          <w:rFonts w:hint="eastAsia" w:hAnsi="宋体" w:cs="宋体"/>
          <w:szCs w:val="21"/>
        </w:rPr>
      </w:pPr>
      <w:r>
        <w:rPr>
          <w:rFonts w:hint="eastAsia" w:hAnsi="宋体" w:cs="宋体"/>
          <w:szCs w:val="21"/>
        </w:rPr>
        <w:t>烟草交易监管平台全生命周期运营运维，对保障采购交易监管平台的正常运营、运转起着至关重要的作用，为做好全周期运营运维方案的规划，要做好以下几点：</w:t>
      </w:r>
    </w:p>
    <w:p w14:paraId="12339D40">
      <w:pPr>
        <w:tabs>
          <w:tab w:val="left" w:pos="3531"/>
        </w:tabs>
        <w:spacing w:line="360" w:lineRule="auto"/>
        <w:ind w:firstLine="420"/>
        <w:rPr>
          <w:rFonts w:hint="eastAsia" w:hAnsi="宋体" w:cs="宋体"/>
          <w:szCs w:val="21"/>
        </w:rPr>
      </w:pPr>
      <w:r>
        <w:rPr>
          <w:rFonts w:hint="eastAsia" w:hAnsi="宋体" w:cs="宋体"/>
          <w:szCs w:val="21"/>
        </w:rPr>
        <w:t>1. 明确运营运维的目标：确保采购活动的真实性、合法性，优化营商环境，降低采购风险，促进绿色低碳经济发展。</w:t>
      </w:r>
    </w:p>
    <w:p w14:paraId="61245200">
      <w:pPr>
        <w:tabs>
          <w:tab w:val="left" w:pos="3531"/>
        </w:tabs>
        <w:spacing w:line="360" w:lineRule="auto"/>
        <w:ind w:firstLine="420"/>
        <w:rPr>
          <w:rFonts w:hint="eastAsia" w:hAnsi="宋体" w:cs="宋体"/>
          <w:szCs w:val="21"/>
        </w:rPr>
      </w:pPr>
      <w:r>
        <w:rPr>
          <w:rFonts w:hint="eastAsia" w:hAnsi="宋体" w:cs="宋体"/>
          <w:szCs w:val="21"/>
        </w:rPr>
        <w:t>2. 梳理运营运维相关的制度建设与合规性</w:t>
      </w:r>
    </w:p>
    <w:p w14:paraId="496ABB37">
      <w:pPr>
        <w:tabs>
          <w:tab w:val="left" w:pos="3531"/>
        </w:tabs>
        <w:spacing w:line="360" w:lineRule="auto"/>
        <w:ind w:firstLine="420"/>
        <w:rPr>
          <w:rFonts w:hint="eastAsia" w:hAnsi="宋体" w:cs="宋体"/>
          <w:szCs w:val="21"/>
        </w:rPr>
      </w:pPr>
      <w:r>
        <w:rPr>
          <w:rFonts w:hint="eastAsia" w:hAnsi="宋体" w:cs="宋体"/>
          <w:szCs w:val="21"/>
        </w:rPr>
        <w:t>制定符合烟草行业采购交易监管平台全生命周期运营运维相关的管理流程、规则、制度和标准，确保运营运维工作有章可循。</w:t>
      </w:r>
    </w:p>
    <w:p w14:paraId="1E9D186E">
      <w:pPr>
        <w:tabs>
          <w:tab w:val="left" w:pos="3531"/>
        </w:tabs>
        <w:spacing w:line="360" w:lineRule="auto"/>
        <w:ind w:firstLine="420"/>
        <w:rPr>
          <w:rFonts w:hint="eastAsia" w:hAnsi="宋体" w:cs="宋体"/>
          <w:szCs w:val="21"/>
        </w:rPr>
      </w:pPr>
      <w:r>
        <w:rPr>
          <w:rFonts w:hint="eastAsia" w:hAnsi="宋体" w:cs="宋体"/>
          <w:szCs w:val="21"/>
        </w:rPr>
        <w:t>3. 运营运维内容梳理与分析</w:t>
      </w:r>
    </w:p>
    <w:p w14:paraId="0BBEF993">
      <w:pPr>
        <w:tabs>
          <w:tab w:val="left" w:pos="3531"/>
        </w:tabs>
        <w:spacing w:line="360" w:lineRule="auto"/>
        <w:ind w:firstLine="420"/>
        <w:rPr>
          <w:rFonts w:hint="eastAsia" w:ascii="宋体" w:hAnsi="宋体" w:cs="宋体"/>
          <w:szCs w:val="21"/>
        </w:rPr>
      </w:pPr>
      <w:r>
        <w:rPr>
          <w:rFonts w:hAnsi="宋体" w:cs="宋体"/>
          <w:szCs w:val="21"/>
        </w:rPr>
        <w:t>平台</w:t>
      </w:r>
      <w:r>
        <w:rPr>
          <w:rFonts w:hint="eastAsia" w:hAnsi="宋体" w:cs="宋体"/>
          <w:szCs w:val="21"/>
        </w:rPr>
        <w:t>全生命周期的运营</w:t>
      </w:r>
      <w:r>
        <w:rPr>
          <w:rFonts w:hAnsi="宋体" w:cs="宋体"/>
          <w:szCs w:val="21"/>
        </w:rPr>
        <w:t>运维是一个复杂而系统的过程，涉及多个方面</w:t>
      </w:r>
      <w:r>
        <w:rPr>
          <w:rFonts w:hint="eastAsia" w:hAnsi="宋体" w:cs="宋体"/>
          <w:szCs w:val="21"/>
        </w:rPr>
        <w:t>内容</w:t>
      </w:r>
      <w:r>
        <w:rPr>
          <w:rFonts w:hAnsi="宋体" w:cs="宋体"/>
          <w:szCs w:val="21"/>
        </w:rPr>
        <w:t>和环节。</w:t>
      </w:r>
      <w:r>
        <w:rPr>
          <w:rFonts w:hint="eastAsia" w:hAnsi="宋体" w:cs="宋体"/>
          <w:szCs w:val="21"/>
        </w:rPr>
        <w:t>通过</w:t>
      </w:r>
      <w:r>
        <w:rPr>
          <w:rFonts w:hAnsi="宋体" w:cs="宋体"/>
          <w:szCs w:val="21"/>
        </w:rPr>
        <w:t>建立</w:t>
      </w:r>
      <w:r>
        <w:rPr>
          <w:rFonts w:hint="eastAsia" w:hAnsi="宋体" w:cs="宋体"/>
          <w:szCs w:val="21"/>
        </w:rPr>
        <w:t>不同</w:t>
      </w:r>
      <w:r>
        <w:rPr>
          <w:rFonts w:hAnsi="宋体" w:cs="宋体"/>
          <w:szCs w:val="21"/>
        </w:rPr>
        <w:t>专业的</w:t>
      </w:r>
      <w:r>
        <w:rPr>
          <w:rFonts w:hint="eastAsia" w:hAnsi="宋体" w:cs="宋体"/>
          <w:szCs w:val="21"/>
        </w:rPr>
        <w:t>运营</w:t>
      </w:r>
      <w:r>
        <w:rPr>
          <w:rFonts w:hAnsi="宋体" w:cs="宋体"/>
          <w:szCs w:val="21"/>
        </w:rPr>
        <w:t>运维团队</w:t>
      </w:r>
      <w:r>
        <w:rPr>
          <w:rFonts w:hint="eastAsia" w:hAnsi="宋体" w:cs="宋体"/>
          <w:szCs w:val="21"/>
        </w:rPr>
        <w:t>来完成工作，工作内容包括并不限于</w:t>
      </w:r>
      <w:r>
        <w:rPr>
          <w:rFonts w:hint="eastAsia" w:ascii="宋体" w:hAnsi="宋体" w:cs="宋体"/>
          <w:szCs w:val="21"/>
        </w:rPr>
        <w:t>包括但不限于投标企业、招标代理机构、专家库、招标人（总公司及行业直属单位等）等交易信息库主数据管理；业务流程服务；热线电话和企业在线客服咨询；技术解答服务；项目保障技术支撑服务；处理交易主体数据改动申请需求；配合相关部门提供专项调档服务；配合临时突击性工作；日常文档整理、工作汇报；配合提供驻场服务、远程异地评标服务、数据统计分析服务等系统业务运营服务，保障烟草行业的采购业务正常开展。</w:t>
      </w:r>
    </w:p>
    <w:p w14:paraId="38792610">
      <w:pPr>
        <w:spacing w:line="360" w:lineRule="auto"/>
        <w:ind w:firstLine="420"/>
        <w:jc w:val="left"/>
        <w:rPr>
          <w:rFonts w:hint="eastAsia" w:ascii="宋体" w:hAnsi="宋体" w:cs="宋体"/>
          <w:szCs w:val="21"/>
        </w:rPr>
      </w:pPr>
      <w:r>
        <w:rPr>
          <w:rFonts w:hint="eastAsia" w:ascii="宋体" w:hAnsi="宋体" w:cs="宋体"/>
          <w:szCs w:val="21"/>
        </w:rPr>
        <w:t>运维内容包括并不限于为保证系统正常稳定运行或满足采购相关的国家法律法规、政策变化的系统扩充、版本更新升级服务、必要的相关应用系统改造支持和其它现场技术支持服务，如提出改进系统性能的各项建议，包括系统资源分配与效率改进建议、软件配置规划和性能优化建议、系统容量预测建议等，并进行有效实施。</w:t>
      </w:r>
    </w:p>
    <w:p w14:paraId="1AB60D5B">
      <w:pPr>
        <w:tabs>
          <w:tab w:val="left" w:pos="3531"/>
        </w:tabs>
        <w:spacing w:line="360" w:lineRule="auto"/>
        <w:ind w:firstLine="420"/>
        <w:rPr>
          <w:rFonts w:hint="eastAsia" w:hAnsi="宋体" w:cs="宋体"/>
          <w:szCs w:val="21"/>
        </w:rPr>
      </w:pPr>
      <w:r>
        <w:rPr>
          <w:rFonts w:hint="eastAsia" w:hAnsi="宋体" w:cs="宋体"/>
          <w:szCs w:val="21"/>
        </w:rPr>
        <w:t>4. 识别运营运维风险管理与应对</w:t>
      </w:r>
    </w:p>
    <w:p w14:paraId="552B11DB">
      <w:pPr>
        <w:tabs>
          <w:tab w:val="left" w:pos="3531"/>
        </w:tabs>
        <w:spacing w:line="360" w:lineRule="auto"/>
        <w:ind w:firstLine="420"/>
        <w:rPr>
          <w:rFonts w:hint="eastAsia" w:hAnsi="宋体" w:cs="宋体"/>
          <w:szCs w:val="21"/>
        </w:rPr>
      </w:pPr>
      <w:r>
        <w:rPr>
          <w:rFonts w:hint="eastAsia" w:hAnsi="宋体" w:cs="宋体"/>
          <w:szCs w:val="21"/>
        </w:rPr>
        <w:t>制定针对整个平台运营运维工作的风险评估，识别潜在的风险点和薄弱环节，并制定出风险应对预案和措施，确保在风险发生时能够迅速响应并有效处置。</w:t>
      </w:r>
    </w:p>
    <w:p w14:paraId="7058E86E">
      <w:pPr>
        <w:spacing w:line="360" w:lineRule="auto"/>
        <w:ind w:firstLine="211" w:firstLineChars="100"/>
        <w:rPr>
          <w:b/>
          <w:bCs/>
          <w:szCs w:val="21"/>
        </w:rPr>
      </w:pPr>
      <w:r>
        <w:rPr>
          <w:rFonts w:hint="eastAsia"/>
          <w:b/>
          <w:bCs/>
          <w:szCs w:val="21"/>
        </w:rPr>
        <w:t>（3）</w:t>
      </w:r>
      <w:r>
        <w:rPr>
          <w:b/>
          <w:bCs/>
          <w:szCs w:val="21"/>
        </w:rPr>
        <w:t>行业采购数字化转型规划</w:t>
      </w:r>
      <w:r>
        <w:rPr>
          <w:rFonts w:hint="eastAsia"/>
          <w:b/>
          <w:bCs/>
          <w:szCs w:val="21"/>
        </w:rPr>
        <w:t>实施方案</w:t>
      </w:r>
    </w:p>
    <w:p w14:paraId="1DD9B70E">
      <w:pPr>
        <w:spacing w:line="360" w:lineRule="auto"/>
        <w:ind w:firstLine="420"/>
        <w:rPr>
          <w:szCs w:val="21"/>
        </w:rPr>
      </w:pPr>
      <w:r>
        <w:rPr>
          <w:rFonts w:hint="eastAsia"/>
          <w:szCs w:val="21"/>
        </w:rPr>
        <w:t>1. 明确采购数字化转型策略编制目标</w:t>
      </w:r>
    </w:p>
    <w:p w14:paraId="44504790">
      <w:pPr>
        <w:spacing w:line="360" w:lineRule="auto"/>
        <w:ind w:firstLine="420"/>
        <w:rPr>
          <w:szCs w:val="21"/>
        </w:rPr>
      </w:pPr>
      <w:r>
        <w:rPr>
          <w:rFonts w:hint="eastAsia"/>
          <w:szCs w:val="21"/>
        </w:rPr>
        <w:t>通过对烟草现有行业一体化平台进行深入研究，了解全产业链、全治理链、全生态圈和全生产要素通过信息化系统如何进行整合以及“1242”架构的应用情况。了解新数基体系技术架构，对其包含的行业云平台、行业数字中台、行业工业互联网平台、行业标识解析体系等进行研究，通过多层次结构方式理解烟草未来数字化系统底座，制定出与之相符的烟草行业采购数字化转型方案。</w:t>
      </w:r>
    </w:p>
    <w:p w14:paraId="56D630FC">
      <w:pPr>
        <w:spacing w:line="360" w:lineRule="auto"/>
        <w:ind w:firstLine="420"/>
        <w:rPr>
          <w:szCs w:val="21"/>
        </w:rPr>
      </w:pPr>
      <w:r>
        <w:rPr>
          <w:rFonts w:hint="eastAsia"/>
          <w:szCs w:val="21"/>
        </w:rPr>
        <w:t>2. 方案实施组织规划</w:t>
      </w:r>
    </w:p>
    <w:p w14:paraId="72220CEF">
      <w:pPr>
        <w:pStyle w:val="99"/>
        <w:spacing w:line="360" w:lineRule="auto"/>
        <w:ind w:firstLine="420"/>
      </w:pPr>
      <w:r>
        <w:rPr>
          <w:rFonts w:hint="eastAsia"/>
        </w:rPr>
        <w:t>通过</w:t>
      </w:r>
      <w:r>
        <w:t>制定详细的数字化转型计划和时间表，明确转型的目标、任务和关键节点。成立数字化转型领导小组和工作小组，负责转型工作的组织、协调和推进。加强与供应商、合作伙伴和行业协会的沟通与合作，共同推动数字化转型的进程。</w:t>
      </w:r>
    </w:p>
    <w:p w14:paraId="1F57216A">
      <w:pPr>
        <w:pStyle w:val="99"/>
        <w:spacing w:line="360" w:lineRule="auto"/>
        <w:ind w:firstLine="420"/>
        <w:rPr>
          <w:szCs w:val="21"/>
        </w:rPr>
      </w:pPr>
      <w:r>
        <w:rPr>
          <w:rFonts w:hint="eastAsia"/>
        </w:rPr>
        <w:t xml:space="preserve">3. </w:t>
      </w:r>
      <w:r>
        <w:rPr>
          <w:szCs w:val="21"/>
        </w:rPr>
        <w:t>行业采购数字化转型规划</w:t>
      </w:r>
      <w:r>
        <w:rPr>
          <w:rFonts w:hint="eastAsia"/>
          <w:szCs w:val="21"/>
        </w:rPr>
        <w:t>内容规划</w:t>
      </w:r>
    </w:p>
    <w:p w14:paraId="6CA9AB42">
      <w:pPr>
        <w:pStyle w:val="99"/>
        <w:numPr>
          <w:ilvl w:val="0"/>
          <w:numId w:val="112"/>
        </w:numPr>
        <w:spacing w:line="360" w:lineRule="auto"/>
      </w:pPr>
      <w:r>
        <w:t>明确转型目标与愿景</w:t>
      </w:r>
      <w:r>
        <w:rPr>
          <w:rFonts w:hint="eastAsia"/>
        </w:rPr>
        <w:t>。</w:t>
      </w:r>
    </w:p>
    <w:p w14:paraId="441BF551">
      <w:pPr>
        <w:pStyle w:val="99"/>
        <w:numPr>
          <w:ilvl w:val="0"/>
          <w:numId w:val="112"/>
        </w:numPr>
        <w:spacing w:line="360" w:lineRule="auto"/>
      </w:pPr>
      <w:r>
        <w:t>构建</w:t>
      </w:r>
      <w:r>
        <w:rPr>
          <w:rFonts w:hint="eastAsia"/>
        </w:rPr>
        <w:t>烟草行业</w:t>
      </w:r>
      <w:r>
        <w:t>数字化采购平台</w:t>
      </w:r>
      <w:r>
        <w:rPr>
          <w:rFonts w:hint="eastAsia"/>
        </w:rPr>
        <w:t>，在烟草行业数字基座之上</w:t>
      </w:r>
      <w:r>
        <w:t>构建数字化采购平台是烟草行业采购数字化转型的核心任务。</w:t>
      </w:r>
    </w:p>
    <w:p w14:paraId="7F9F0574">
      <w:pPr>
        <w:pStyle w:val="99"/>
        <w:numPr>
          <w:ilvl w:val="0"/>
          <w:numId w:val="112"/>
        </w:numPr>
        <w:tabs>
          <w:tab w:val="left" w:pos="0"/>
        </w:tabs>
        <w:spacing w:line="360" w:lineRule="auto"/>
        <w:rPr>
          <w:b/>
          <w:bCs/>
        </w:rPr>
      </w:pPr>
      <w:r>
        <w:rPr>
          <w:rFonts w:hint="eastAsia"/>
        </w:rPr>
        <w:t>提出</w:t>
      </w:r>
      <w:r>
        <w:t>优化</w:t>
      </w:r>
      <w:r>
        <w:rPr>
          <w:rFonts w:hint="eastAsia"/>
        </w:rPr>
        <w:t>烟草行业的</w:t>
      </w:r>
      <w:r>
        <w:t>采购流程与策略</w:t>
      </w:r>
      <w:r>
        <w:rPr>
          <w:rFonts w:hint="eastAsia"/>
        </w:rPr>
        <w:t>，</w:t>
      </w:r>
      <w:r>
        <w:t>在数字化转型过程中，烟草行业需要优化采购流程和策略</w:t>
      </w:r>
    </w:p>
    <w:p w14:paraId="12A13BF6">
      <w:pPr>
        <w:pStyle w:val="99"/>
        <w:numPr>
          <w:ilvl w:val="0"/>
          <w:numId w:val="112"/>
        </w:numPr>
        <w:tabs>
          <w:tab w:val="left" w:pos="0"/>
        </w:tabs>
        <w:spacing w:line="360" w:lineRule="auto"/>
      </w:pPr>
      <w:r>
        <w:t>加强数据整合与分析</w:t>
      </w:r>
      <w:r>
        <w:rPr>
          <w:rFonts w:hint="eastAsia"/>
        </w:rPr>
        <w:t>，</w:t>
      </w:r>
      <w:r>
        <w:t>数据是数字化转型的基础。烟草行业需要加强数据整合与分析，包括建立数据共享机制：实现采购数据、销售数据、生产数据等跨部门的整合和共享。利用大数据技术：对海量数据进行深度挖掘和分析，发现潜在的</w:t>
      </w:r>
      <w:r>
        <w:rPr>
          <w:rFonts w:hint="eastAsia"/>
        </w:rPr>
        <w:t>问题</w:t>
      </w:r>
      <w:r>
        <w:t>和改进点。建立数据治理体系：制定数据标准和规范，确保数据的一致性和准确性。同时，加强网络安全防护，防止数据泄露和黑客攻击。</w:t>
      </w:r>
    </w:p>
    <w:p w14:paraId="4E8619EB">
      <w:pPr>
        <w:pStyle w:val="99"/>
        <w:numPr>
          <w:ilvl w:val="0"/>
          <w:numId w:val="112"/>
        </w:numPr>
        <w:tabs>
          <w:tab w:val="left" w:pos="0"/>
        </w:tabs>
        <w:spacing w:line="360" w:lineRule="auto"/>
      </w:pPr>
      <w:r>
        <w:t>培养数字化人才与团队</w:t>
      </w:r>
      <w:r>
        <w:rPr>
          <w:rFonts w:hint="eastAsia"/>
        </w:rPr>
        <w:t>，</w:t>
      </w:r>
      <w:r>
        <w:t>数字化转型需要具备数字化技能和思维的人才支持。烟草行业需要加强内部培训</w:t>
      </w:r>
      <w:r>
        <w:rPr>
          <w:rFonts w:hint="eastAsia"/>
        </w:rPr>
        <w:t>，</w:t>
      </w:r>
      <w:r>
        <w:t>提升员工的数字化素养和业务能力。</w:t>
      </w:r>
    </w:p>
    <w:p w14:paraId="099D2624">
      <w:pPr>
        <w:pStyle w:val="5"/>
      </w:pPr>
      <w:bookmarkStart w:id="324" w:name="_Toc180265699"/>
      <w:r>
        <w:rPr>
          <w:rFonts w:hint="eastAsia"/>
        </w:rPr>
        <w:t>成果质量管控</w:t>
      </w:r>
      <w:bookmarkEnd w:id="324"/>
      <w:r>
        <w:rPr>
          <w:rFonts w:hint="eastAsia"/>
        </w:rPr>
        <w:t xml:space="preserve"> </w:t>
      </w:r>
    </w:p>
    <w:p w14:paraId="6CCCD76A">
      <w:pPr>
        <w:spacing w:line="360" w:lineRule="auto"/>
        <w:ind w:firstLine="420"/>
        <w:rPr>
          <w:rFonts w:hint="eastAsia" w:ascii="宋体" w:hAnsi="宋体"/>
          <w:szCs w:val="21"/>
        </w:rPr>
      </w:pPr>
      <w:r>
        <w:rPr>
          <w:rFonts w:hint="eastAsia" w:ascii="宋体" w:hAnsi="宋体"/>
          <w:szCs w:val="21"/>
        </w:rPr>
        <w:t>本章节旨在制定规划行业采购体系的成果质量管控方案，以确保项目的顺利进行和最终交付符合需求和质量标准。质量管控方案将涵盖项目的质量目标、质量管理组织、质量管理过程和质量控制措施。</w:t>
      </w:r>
    </w:p>
    <w:p w14:paraId="09710163">
      <w:pPr>
        <w:pStyle w:val="6"/>
        <w:rPr>
          <w:rFonts w:hint="eastAsia" w:ascii="宋体" w:hAnsi="宋体"/>
          <w:szCs w:val="24"/>
        </w:rPr>
      </w:pPr>
      <w:bookmarkStart w:id="325" w:name="_Toc180265700"/>
      <w:r>
        <w:rPr>
          <w:rFonts w:hint="eastAsia" w:ascii="宋体" w:hAnsi="宋体"/>
          <w:szCs w:val="24"/>
        </w:rPr>
        <w:t>质量目标</w:t>
      </w:r>
      <w:bookmarkEnd w:id="325"/>
    </w:p>
    <w:p w14:paraId="4F4EDA74">
      <w:pPr>
        <w:spacing w:line="360" w:lineRule="auto"/>
        <w:ind w:firstLine="420"/>
        <w:rPr>
          <w:rFonts w:hint="eastAsia" w:ascii="宋体" w:hAnsi="宋体" w:eastAsia="宋体"/>
          <w:szCs w:val="21"/>
        </w:rPr>
      </w:pPr>
      <w:r>
        <w:rPr>
          <w:rFonts w:hint="eastAsia" w:ascii="宋体" w:hAnsi="宋体" w:eastAsia="宋体"/>
          <w:szCs w:val="21"/>
        </w:rPr>
        <w:t>为确保规划团队执行的质量，我们制定以下质量目标：</w:t>
      </w:r>
    </w:p>
    <w:p w14:paraId="1F1F636B">
      <w:pPr>
        <w:spacing w:line="360" w:lineRule="auto"/>
        <w:ind w:firstLine="420"/>
        <w:rPr>
          <w:rFonts w:hint="eastAsia" w:ascii="宋体" w:hAnsi="宋体" w:eastAsia="宋体"/>
          <w:szCs w:val="21"/>
        </w:rPr>
      </w:pPr>
      <w:r>
        <w:rPr>
          <w:rFonts w:hint="eastAsia" w:ascii="宋体" w:hAnsi="宋体" w:eastAsia="宋体"/>
          <w:szCs w:val="21"/>
        </w:rPr>
        <w:t>（1）实施全面的质量管理，确保项目交付符合设计要求和相关标准；</w:t>
      </w:r>
    </w:p>
    <w:p w14:paraId="1235BA18">
      <w:pPr>
        <w:spacing w:line="360" w:lineRule="auto"/>
        <w:ind w:firstLine="420"/>
        <w:rPr>
          <w:rFonts w:hint="eastAsia" w:ascii="宋体" w:hAnsi="宋体" w:eastAsia="宋体"/>
          <w:szCs w:val="21"/>
        </w:rPr>
      </w:pPr>
      <w:r>
        <w:rPr>
          <w:rFonts w:hint="eastAsia" w:ascii="宋体" w:hAnsi="宋体" w:eastAsia="宋体"/>
          <w:szCs w:val="21"/>
        </w:rPr>
        <w:t>（2）提供高质量的产品和服务，满足客户的需求和期望；</w:t>
      </w:r>
    </w:p>
    <w:p w14:paraId="3230E35E">
      <w:pPr>
        <w:spacing w:line="360" w:lineRule="auto"/>
        <w:ind w:firstLine="420"/>
        <w:rPr>
          <w:rFonts w:hint="eastAsia" w:ascii="宋体" w:hAnsi="宋体" w:eastAsia="宋体"/>
          <w:szCs w:val="21"/>
        </w:rPr>
      </w:pPr>
      <w:r>
        <w:rPr>
          <w:rFonts w:hint="eastAsia" w:ascii="宋体" w:hAnsi="宋体" w:eastAsia="宋体"/>
          <w:szCs w:val="21"/>
        </w:rPr>
        <w:t>（3）通过合理的质量管理措施，降低项目风险和问题发生率；</w:t>
      </w:r>
    </w:p>
    <w:p w14:paraId="188F4CEA">
      <w:pPr>
        <w:spacing w:line="360" w:lineRule="auto"/>
        <w:ind w:firstLine="420"/>
        <w:rPr>
          <w:rFonts w:hint="eastAsia" w:ascii="宋体" w:hAnsi="宋体" w:eastAsia="宋体"/>
          <w:szCs w:val="21"/>
        </w:rPr>
      </w:pPr>
      <w:r>
        <w:rPr>
          <w:rFonts w:hint="eastAsia" w:ascii="宋体" w:hAnsi="宋体" w:eastAsia="宋体"/>
          <w:szCs w:val="21"/>
        </w:rPr>
        <w:t>（4）持续改进质量管理的方法和工具，提高效率和效果。</w:t>
      </w:r>
    </w:p>
    <w:p w14:paraId="4C867696">
      <w:pPr>
        <w:pStyle w:val="6"/>
        <w:rPr>
          <w:rFonts w:hint="eastAsia" w:ascii="宋体" w:hAnsi="宋体"/>
          <w:szCs w:val="24"/>
        </w:rPr>
      </w:pPr>
      <w:bookmarkStart w:id="326" w:name="_Toc180265701"/>
      <w:r>
        <w:rPr>
          <w:rFonts w:hint="eastAsia" w:ascii="宋体" w:hAnsi="宋体"/>
          <w:szCs w:val="24"/>
        </w:rPr>
        <w:t>质量管理组织</w:t>
      </w:r>
      <w:bookmarkEnd w:id="326"/>
    </w:p>
    <w:p w14:paraId="5D804091">
      <w:pPr>
        <w:spacing w:line="360" w:lineRule="auto"/>
        <w:ind w:firstLine="420"/>
        <w:rPr>
          <w:rFonts w:hint="eastAsia" w:ascii="宋体" w:hAnsi="宋体" w:eastAsia="宋体"/>
          <w:szCs w:val="21"/>
        </w:rPr>
      </w:pPr>
      <w:r>
        <w:rPr>
          <w:rFonts w:hint="eastAsia" w:ascii="宋体" w:hAnsi="宋体" w:eastAsia="宋体"/>
          <w:szCs w:val="21"/>
        </w:rPr>
        <w:t>为有效管理规划团队执行的质量，我们将设立以下质量管理组织：</w:t>
      </w:r>
    </w:p>
    <w:p w14:paraId="1C39DFFB">
      <w:pPr>
        <w:spacing w:line="360" w:lineRule="auto"/>
        <w:ind w:firstLine="420"/>
        <w:rPr>
          <w:rFonts w:hint="eastAsia" w:ascii="宋体" w:hAnsi="宋体" w:eastAsia="宋体"/>
          <w:szCs w:val="21"/>
        </w:rPr>
      </w:pPr>
      <w:r>
        <w:rPr>
          <w:rFonts w:hint="eastAsia" w:ascii="宋体" w:hAnsi="宋体" w:eastAsia="宋体"/>
          <w:szCs w:val="21"/>
        </w:rPr>
        <w:t>（1）质量管理委员会</w:t>
      </w:r>
    </w:p>
    <w:p w14:paraId="735269D6">
      <w:pPr>
        <w:spacing w:line="360" w:lineRule="auto"/>
        <w:ind w:firstLine="420"/>
        <w:rPr>
          <w:rFonts w:hint="eastAsia" w:ascii="宋体" w:hAnsi="宋体" w:eastAsia="宋体"/>
          <w:szCs w:val="21"/>
        </w:rPr>
      </w:pPr>
      <w:r>
        <w:rPr>
          <w:rFonts w:hint="eastAsia" w:ascii="宋体" w:hAnsi="宋体" w:eastAsia="宋体"/>
          <w:szCs w:val="21"/>
        </w:rPr>
        <w:t>质量管理委员会将负责制定和监督项目的质量管理方案，确定质量目标和指标，审查和批准质量控制计划和报告。</w:t>
      </w:r>
    </w:p>
    <w:p w14:paraId="3BB325C9">
      <w:pPr>
        <w:spacing w:line="360" w:lineRule="auto"/>
        <w:ind w:firstLine="420"/>
        <w:rPr>
          <w:rFonts w:hint="eastAsia" w:ascii="宋体" w:hAnsi="宋体" w:eastAsia="宋体"/>
          <w:szCs w:val="21"/>
        </w:rPr>
      </w:pPr>
      <w:r>
        <w:rPr>
          <w:rFonts w:hint="eastAsia" w:ascii="宋体" w:hAnsi="宋体" w:eastAsia="宋体"/>
          <w:szCs w:val="21"/>
        </w:rPr>
        <w:t>（2）项目质量经理</w:t>
      </w:r>
    </w:p>
    <w:p w14:paraId="62BD7159">
      <w:pPr>
        <w:spacing w:line="360" w:lineRule="auto"/>
        <w:ind w:firstLine="420"/>
        <w:rPr>
          <w:rFonts w:hint="eastAsia" w:ascii="宋体" w:hAnsi="宋体" w:eastAsia="宋体"/>
          <w:szCs w:val="21"/>
        </w:rPr>
      </w:pPr>
      <w:r>
        <w:rPr>
          <w:rFonts w:hint="eastAsia" w:ascii="宋体" w:hAnsi="宋体" w:eastAsia="宋体"/>
          <w:szCs w:val="21"/>
        </w:rPr>
        <w:t>项目质量经理将负责项目的整体质量管理工作，包括制定质量管理计划、监督质量控制过程、处理质量问题和改进措施等。</w:t>
      </w:r>
    </w:p>
    <w:p w14:paraId="18B261AA">
      <w:pPr>
        <w:spacing w:line="360" w:lineRule="auto"/>
        <w:ind w:firstLine="420"/>
        <w:rPr>
          <w:rFonts w:hint="eastAsia" w:ascii="宋体" w:hAnsi="宋体" w:eastAsia="宋体"/>
          <w:szCs w:val="21"/>
        </w:rPr>
      </w:pPr>
      <w:r>
        <w:rPr>
          <w:rFonts w:hint="eastAsia" w:ascii="宋体" w:hAnsi="宋体" w:eastAsia="宋体"/>
          <w:szCs w:val="21"/>
        </w:rPr>
        <w:t>（3）质量管理团队</w:t>
      </w:r>
    </w:p>
    <w:p w14:paraId="0E5973AE">
      <w:pPr>
        <w:spacing w:line="360" w:lineRule="auto"/>
        <w:ind w:firstLine="420"/>
        <w:rPr>
          <w:rFonts w:hint="eastAsia" w:ascii="宋体" w:hAnsi="宋体" w:eastAsia="宋体"/>
          <w:szCs w:val="21"/>
        </w:rPr>
      </w:pPr>
      <w:r>
        <w:rPr>
          <w:rFonts w:hint="eastAsia" w:ascii="宋体" w:hAnsi="宋体" w:eastAsia="宋体"/>
          <w:szCs w:val="21"/>
        </w:rPr>
        <w:t>质量管理团队由项目参与方中负责质量管理的人员组成，包括项目经理、工程师、技术专家等。他们将协同工作，确保项目的质量目标得以实现。</w:t>
      </w:r>
    </w:p>
    <w:p w14:paraId="18B7812D">
      <w:pPr>
        <w:pStyle w:val="6"/>
        <w:rPr>
          <w:rFonts w:hint="eastAsia" w:ascii="宋体" w:hAnsi="宋体"/>
          <w:szCs w:val="24"/>
        </w:rPr>
      </w:pPr>
      <w:bookmarkStart w:id="327" w:name="_Toc180265702"/>
      <w:r>
        <w:rPr>
          <w:rFonts w:hint="eastAsia" w:ascii="宋体" w:hAnsi="宋体"/>
          <w:szCs w:val="24"/>
        </w:rPr>
        <w:t>质量管理过程</w:t>
      </w:r>
      <w:bookmarkEnd w:id="327"/>
    </w:p>
    <w:p w14:paraId="52E36035">
      <w:pPr>
        <w:spacing w:line="360" w:lineRule="auto"/>
        <w:ind w:firstLine="420"/>
        <w:rPr>
          <w:rFonts w:hint="eastAsia" w:ascii="宋体" w:hAnsi="宋体"/>
          <w:szCs w:val="21"/>
        </w:rPr>
      </w:pPr>
      <w:r>
        <w:rPr>
          <w:rFonts w:hint="eastAsia" w:ascii="宋体" w:hAnsi="宋体"/>
          <w:szCs w:val="21"/>
        </w:rPr>
        <w:t>本项目的质量管理过程包括质量计划、质量控制和质量改进，具体安排如下：</w:t>
      </w:r>
    </w:p>
    <w:p w14:paraId="77EEA851">
      <w:pPr>
        <w:spacing w:line="360" w:lineRule="auto"/>
        <w:ind w:firstLine="420"/>
        <w:rPr>
          <w:rFonts w:hint="eastAsia" w:ascii="宋体" w:hAnsi="宋体"/>
          <w:szCs w:val="21"/>
        </w:rPr>
      </w:pPr>
      <w:r>
        <w:rPr>
          <w:rFonts w:hint="eastAsia" w:ascii="宋体" w:hAnsi="宋体"/>
          <w:szCs w:val="21"/>
        </w:rPr>
        <w:t>（1）质量计划</w:t>
      </w:r>
    </w:p>
    <w:p w14:paraId="19BC2E2E">
      <w:pPr>
        <w:spacing w:line="360" w:lineRule="auto"/>
        <w:ind w:firstLine="420"/>
        <w:rPr>
          <w:rFonts w:hint="eastAsia" w:ascii="宋体" w:hAnsi="宋体"/>
          <w:szCs w:val="21"/>
        </w:rPr>
      </w:pPr>
      <w:r>
        <w:rPr>
          <w:rFonts w:hint="eastAsia" w:ascii="宋体" w:hAnsi="宋体"/>
          <w:szCs w:val="21"/>
        </w:rPr>
        <w:t>质量计划将在项目启动阶段制定，包括以下内容：</w:t>
      </w:r>
    </w:p>
    <w:p w14:paraId="63444CD6">
      <w:pPr>
        <w:spacing w:line="360" w:lineRule="auto"/>
        <w:ind w:firstLine="420"/>
        <w:rPr>
          <w:rFonts w:hint="eastAsia" w:ascii="宋体" w:hAnsi="宋体"/>
          <w:szCs w:val="21"/>
        </w:rPr>
      </w:pPr>
      <w:r>
        <w:rPr>
          <w:rFonts w:hint="eastAsia" w:ascii="宋体" w:hAnsi="宋体"/>
          <w:szCs w:val="21"/>
        </w:rPr>
        <w:t>•确定质量目标和指标；</w:t>
      </w:r>
    </w:p>
    <w:p w14:paraId="4E449B70">
      <w:pPr>
        <w:spacing w:line="360" w:lineRule="auto"/>
        <w:ind w:firstLine="420"/>
        <w:rPr>
          <w:rFonts w:hint="eastAsia" w:ascii="宋体" w:hAnsi="宋体"/>
          <w:szCs w:val="21"/>
        </w:rPr>
      </w:pPr>
      <w:r>
        <w:rPr>
          <w:rFonts w:hint="eastAsia" w:ascii="宋体" w:hAnsi="宋体"/>
          <w:szCs w:val="21"/>
        </w:rPr>
        <w:t>•制定质量控制计划和质量保证措施；</w:t>
      </w:r>
    </w:p>
    <w:p w14:paraId="390BEE88">
      <w:pPr>
        <w:spacing w:line="360" w:lineRule="auto"/>
        <w:ind w:firstLine="420"/>
        <w:rPr>
          <w:rFonts w:hint="eastAsia" w:ascii="宋体" w:hAnsi="宋体"/>
          <w:szCs w:val="21"/>
        </w:rPr>
      </w:pPr>
      <w:r>
        <w:rPr>
          <w:rFonts w:hint="eastAsia" w:ascii="宋体" w:hAnsi="宋体"/>
          <w:szCs w:val="21"/>
        </w:rPr>
        <w:t>•确定质量审核和评估方法；</w:t>
      </w:r>
    </w:p>
    <w:p w14:paraId="19CA9EE4">
      <w:pPr>
        <w:spacing w:line="360" w:lineRule="auto"/>
        <w:ind w:firstLine="420"/>
        <w:rPr>
          <w:rFonts w:hint="eastAsia" w:ascii="宋体" w:hAnsi="宋体"/>
          <w:szCs w:val="21"/>
        </w:rPr>
      </w:pPr>
      <w:r>
        <w:rPr>
          <w:rFonts w:hint="eastAsia" w:ascii="宋体" w:hAnsi="宋体"/>
          <w:szCs w:val="21"/>
        </w:rPr>
        <w:t>•制定问题解决和改进措施。</w:t>
      </w:r>
    </w:p>
    <w:p w14:paraId="0D3E4F3F">
      <w:pPr>
        <w:spacing w:line="360" w:lineRule="auto"/>
        <w:ind w:firstLine="420"/>
        <w:rPr>
          <w:rFonts w:hint="eastAsia" w:ascii="宋体" w:hAnsi="宋体"/>
          <w:szCs w:val="21"/>
        </w:rPr>
      </w:pPr>
      <w:r>
        <w:rPr>
          <w:rFonts w:hint="eastAsia" w:ascii="宋体" w:hAnsi="宋体"/>
          <w:szCs w:val="21"/>
        </w:rPr>
        <w:t>（2）质量控制</w:t>
      </w:r>
    </w:p>
    <w:p w14:paraId="2A72E321">
      <w:pPr>
        <w:spacing w:line="360" w:lineRule="auto"/>
        <w:ind w:firstLine="420"/>
        <w:rPr>
          <w:rFonts w:hint="eastAsia" w:ascii="宋体" w:hAnsi="宋体"/>
          <w:szCs w:val="21"/>
        </w:rPr>
      </w:pPr>
      <w:r>
        <w:rPr>
          <w:rFonts w:hint="eastAsia" w:ascii="宋体" w:hAnsi="宋体"/>
          <w:szCs w:val="21"/>
        </w:rPr>
        <w:t>质量控制将在项目实施过程中进行，以确保项目交付的质量符合要求。具体控制措施包括：</w:t>
      </w:r>
    </w:p>
    <w:p w14:paraId="14802828">
      <w:pPr>
        <w:spacing w:line="360" w:lineRule="auto"/>
        <w:ind w:firstLine="420"/>
        <w:rPr>
          <w:rFonts w:hint="eastAsia" w:ascii="宋体" w:hAnsi="宋体"/>
          <w:szCs w:val="21"/>
        </w:rPr>
      </w:pPr>
      <w:r>
        <w:rPr>
          <w:rFonts w:hint="eastAsia" w:ascii="宋体" w:hAnsi="宋体"/>
          <w:szCs w:val="21"/>
        </w:rPr>
        <w:t>•定期进行质量检查，确保规划方案和服务的合格性；</w:t>
      </w:r>
    </w:p>
    <w:p w14:paraId="13913EBB">
      <w:pPr>
        <w:spacing w:line="360" w:lineRule="auto"/>
        <w:ind w:firstLine="420"/>
        <w:rPr>
          <w:rFonts w:hint="eastAsia" w:ascii="宋体" w:hAnsi="宋体"/>
          <w:szCs w:val="21"/>
        </w:rPr>
      </w:pPr>
      <w:r>
        <w:rPr>
          <w:rFonts w:hint="eastAsia" w:ascii="宋体" w:hAnsi="宋体"/>
          <w:szCs w:val="21"/>
        </w:rPr>
        <w:t>•监控规划团队的执行情况，确保他们遵守项目的质量要求；</w:t>
      </w:r>
    </w:p>
    <w:p w14:paraId="46204840">
      <w:pPr>
        <w:spacing w:line="360" w:lineRule="auto"/>
        <w:ind w:firstLine="420"/>
        <w:rPr>
          <w:rFonts w:hint="eastAsia" w:ascii="宋体" w:hAnsi="宋体"/>
          <w:szCs w:val="21"/>
        </w:rPr>
      </w:pPr>
      <w:r>
        <w:rPr>
          <w:rFonts w:hint="eastAsia" w:ascii="宋体" w:hAnsi="宋体"/>
          <w:szCs w:val="21"/>
        </w:rPr>
        <w:t>•及时处理质量问题和纠正措施。</w:t>
      </w:r>
    </w:p>
    <w:p w14:paraId="5F80A18E">
      <w:pPr>
        <w:spacing w:line="360" w:lineRule="auto"/>
        <w:ind w:firstLine="420"/>
        <w:rPr>
          <w:rFonts w:hint="eastAsia" w:ascii="宋体" w:hAnsi="宋体"/>
          <w:szCs w:val="21"/>
        </w:rPr>
      </w:pPr>
      <w:r>
        <w:rPr>
          <w:rFonts w:hint="eastAsia" w:ascii="宋体" w:hAnsi="宋体"/>
          <w:szCs w:val="21"/>
        </w:rPr>
        <w:t>（3）质量改进</w:t>
      </w:r>
    </w:p>
    <w:p w14:paraId="64C2AA69">
      <w:pPr>
        <w:spacing w:line="360" w:lineRule="auto"/>
        <w:ind w:firstLine="420"/>
        <w:rPr>
          <w:rFonts w:hint="eastAsia" w:ascii="宋体" w:hAnsi="宋体"/>
          <w:szCs w:val="21"/>
        </w:rPr>
      </w:pPr>
      <w:r>
        <w:rPr>
          <w:rFonts w:hint="eastAsia" w:ascii="宋体" w:hAnsi="宋体"/>
          <w:szCs w:val="21"/>
        </w:rPr>
        <w:t>质量改进是一个持续的过程，旨在提高质量管理过程的效率和效果。质量改进包括以下方面：</w:t>
      </w:r>
    </w:p>
    <w:p w14:paraId="1B107894">
      <w:pPr>
        <w:spacing w:line="360" w:lineRule="auto"/>
        <w:ind w:firstLine="420"/>
        <w:rPr>
          <w:rFonts w:hint="eastAsia" w:ascii="宋体" w:hAnsi="宋体"/>
          <w:szCs w:val="21"/>
        </w:rPr>
      </w:pPr>
      <w:r>
        <w:rPr>
          <w:rFonts w:hint="eastAsia" w:ascii="宋体" w:hAnsi="宋体"/>
          <w:szCs w:val="21"/>
        </w:rPr>
        <w:t>•定期评估项目的质量绩效，寻找问题和改进机会；</w:t>
      </w:r>
    </w:p>
    <w:p w14:paraId="61EE97F6">
      <w:pPr>
        <w:spacing w:line="360" w:lineRule="auto"/>
        <w:ind w:firstLine="420"/>
        <w:rPr>
          <w:rFonts w:hint="eastAsia" w:ascii="宋体" w:hAnsi="宋体"/>
          <w:szCs w:val="21"/>
        </w:rPr>
      </w:pPr>
      <w:r>
        <w:rPr>
          <w:rFonts w:hint="eastAsia" w:ascii="宋体" w:hAnsi="宋体"/>
          <w:szCs w:val="21"/>
        </w:rPr>
        <w:t>•提出质量改进方案并实施。</w:t>
      </w:r>
    </w:p>
    <w:p w14:paraId="19489C2D">
      <w:pPr>
        <w:pStyle w:val="6"/>
        <w:rPr>
          <w:szCs w:val="24"/>
        </w:rPr>
      </w:pPr>
      <w:bookmarkStart w:id="328" w:name="_Toc180265703"/>
      <w:r>
        <w:rPr>
          <w:rFonts w:hint="eastAsia"/>
          <w:szCs w:val="24"/>
        </w:rPr>
        <w:t>质量控制措施</w:t>
      </w:r>
      <w:bookmarkEnd w:id="328"/>
    </w:p>
    <w:p w14:paraId="119C1BBB">
      <w:pPr>
        <w:spacing w:line="360" w:lineRule="auto"/>
        <w:ind w:firstLine="420"/>
        <w:rPr>
          <w:rFonts w:hint="eastAsia" w:ascii="宋体" w:hAnsi="宋体"/>
          <w:szCs w:val="21"/>
        </w:rPr>
      </w:pPr>
      <w:r>
        <w:rPr>
          <w:rFonts w:hint="eastAsia" w:ascii="宋体" w:hAnsi="宋体"/>
          <w:szCs w:val="21"/>
        </w:rPr>
        <w:t>为确保项目规划的质量，我们将采取以下控制措施：</w:t>
      </w:r>
    </w:p>
    <w:p w14:paraId="2CE07CF2">
      <w:pPr>
        <w:spacing w:line="360" w:lineRule="auto"/>
        <w:ind w:firstLine="420"/>
        <w:rPr>
          <w:rFonts w:hint="eastAsia" w:ascii="宋体" w:hAnsi="宋体"/>
          <w:szCs w:val="21"/>
        </w:rPr>
      </w:pPr>
      <w:r>
        <w:rPr>
          <w:rFonts w:hint="eastAsia" w:ascii="宋体" w:hAnsi="宋体"/>
          <w:szCs w:val="21"/>
        </w:rPr>
        <w:t>•确保规划团队人员具备相关资质和经验，并定期进行评估；</w:t>
      </w:r>
    </w:p>
    <w:p w14:paraId="3B26299B">
      <w:pPr>
        <w:spacing w:line="360" w:lineRule="auto"/>
        <w:ind w:firstLine="420"/>
        <w:rPr>
          <w:rFonts w:hint="eastAsia" w:ascii="宋体" w:hAnsi="宋体"/>
          <w:szCs w:val="21"/>
        </w:rPr>
      </w:pPr>
      <w:r>
        <w:rPr>
          <w:rFonts w:hint="eastAsia" w:ascii="宋体" w:hAnsi="宋体"/>
          <w:szCs w:val="21"/>
        </w:rPr>
        <w:t>•提前制定详细的建设要求和标准；</w:t>
      </w:r>
    </w:p>
    <w:p w14:paraId="4216E30B">
      <w:pPr>
        <w:spacing w:line="360" w:lineRule="auto"/>
        <w:ind w:firstLine="420"/>
        <w:rPr>
          <w:rFonts w:hint="eastAsia" w:ascii="宋体" w:hAnsi="宋体"/>
          <w:szCs w:val="21"/>
        </w:rPr>
      </w:pPr>
      <w:r>
        <w:rPr>
          <w:rFonts w:hint="eastAsia" w:ascii="宋体" w:hAnsi="宋体"/>
          <w:szCs w:val="21"/>
        </w:rPr>
        <w:t>•跟踪和监控规划团队人员的工作进展，及时发现和纠正质量问题。</w:t>
      </w:r>
    </w:p>
    <w:p w14:paraId="0310FEA2">
      <w:pPr>
        <w:spacing w:line="360" w:lineRule="auto"/>
        <w:ind w:firstLine="420"/>
        <w:rPr>
          <w:rFonts w:hint="eastAsia" w:ascii="宋体" w:hAnsi="宋体"/>
          <w:szCs w:val="21"/>
        </w:rPr>
      </w:pPr>
    </w:p>
    <w:p w14:paraId="3E0533F7">
      <w:pPr>
        <w:spacing w:line="360" w:lineRule="auto"/>
        <w:ind w:firstLine="420"/>
        <w:rPr>
          <w:rFonts w:hint="eastAsia" w:ascii="宋体" w:hAnsi="宋体"/>
          <w:szCs w:val="21"/>
        </w:rPr>
      </w:pPr>
      <w:r>
        <w:rPr>
          <w:rFonts w:hint="eastAsia" w:ascii="宋体" w:hAnsi="宋体"/>
          <w:szCs w:val="21"/>
        </w:rPr>
        <w:t>本章节概述了规划行业采购体系的质量管理方案，包括质量目标、质量管理组织、质量管理过程和质量控制措施。通过有效的质量管理，我们将确保项目交付的质量符合要求，满足客户的需求和期望。同时，我们将持续改进质量管理的方法和工具，提高质量管理效率和效果。</w:t>
      </w:r>
    </w:p>
    <w:p w14:paraId="68A75D87">
      <w:pPr>
        <w:spacing w:line="360" w:lineRule="auto"/>
        <w:ind w:firstLine="420"/>
        <w:rPr>
          <w:szCs w:val="21"/>
        </w:rPr>
      </w:pPr>
    </w:p>
    <w:p w14:paraId="77BBE9DE">
      <w:pPr>
        <w:pStyle w:val="5"/>
        <w:rPr>
          <w:rFonts w:hint="eastAsia" w:ascii="宋体" w:hAnsi="宋体"/>
        </w:rPr>
      </w:pPr>
      <w:bookmarkStart w:id="329" w:name="_Toc180265704"/>
      <w:r>
        <w:rPr>
          <w:rFonts w:hint="eastAsia" w:ascii="宋体" w:hAnsi="宋体"/>
        </w:rPr>
        <w:t>进度保障措施</w:t>
      </w:r>
      <w:bookmarkEnd w:id="329"/>
      <w:r>
        <w:rPr>
          <w:rFonts w:hint="eastAsia" w:ascii="宋体" w:hAnsi="宋体"/>
        </w:rPr>
        <w:t xml:space="preserve"> </w:t>
      </w:r>
    </w:p>
    <w:p w14:paraId="7F07E414">
      <w:pPr>
        <w:pStyle w:val="6"/>
        <w:rPr>
          <w:rFonts w:hint="eastAsia" w:ascii="宋体" w:hAnsi="宋体"/>
          <w:szCs w:val="24"/>
        </w:rPr>
      </w:pPr>
      <w:bookmarkStart w:id="330" w:name="_Toc180265705"/>
      <w:r>
        <w:rPr>
          <w:rFonts w:hint="eastAsia" w:ascii="宋体" w:hAnsi="宋体"/>
          <w:szCs w:val="24"/>
        </w:rPr>
        <w:t>进度计划</w:t>
      </w:r>
      <w:bookmarkEnd w:id="330"/>
    </w:p>
    <w:p w14:paraId="6CC5CBF9">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1. 明确项目目标：清晰界定项目的最终目标、范围、预期成果等。</w:t>
      </w:r>
    </w:p>
    <w:p w14:paraId="7B2F0145">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2. 编制进度计划：使用项目管理工具（如Microsoft Project、JIRA等）编制详细的项目进度计划，包括各阶段的任务、里程碑、责任人、开始和结束时间等。</w:t>
      </w:r>
    </w:p>
    <w:p w14:paraId="5550B0F9">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3. 资源分配：根据项目需求，合理分配人力、物力、财力等资源，确保各项任务能够顺利进行。</w:t>
      </w:r>
    </w:p>
    <w:p w14:paraId="13A21282">
      <w:pPr>
        <w:pStyle w:val="6"/>
        <w:rPr>
          <w:rFonts w:hint="eastAsia" w:ascii="宋体" w:hAnsi="宋体"/>
          <w:szCs w:val="24"/>
        </w:rPr>
      </w:pPr>
      <w:bookmarkStart w:id="331" w:name="_Toc180265706"/>
      <w:r>
        <w:rPr>
          <w:rFonts w:hint="eastAsia" w:ascii="宋体" w:hAnsi="宋体"/>
          <w:szCs w:val="24"/>
        </w:rPr>
        <w:t>关键路径和风险管理</w:t>
      </w:r>
      <w:bookmarkEnd w:id="331"/>
    </w:p>
    <w:p w14:paraId="4BACB4BB">
      <w:pPr>
        <w:snapToGrid w:val="0"/>
        <w:spacing w:line="360" w:lineRule="auto"/>
        <w:ind w:firstLine="420"/>
        <w:contextualSpacing/>
        <w:rPr>
          <w:rFonts w:hint="eastAsia" w:ascii="宋体" w:hAnsi="宋体" w:cs="宋体"/>
          <w:szCs w:val="21"/>
        </w:rPr>
      </w:pPr>
      <w:r>
        <w:rPr>
          <w:rFonts w:hint="eastAsia" w:ascii="宋体" w:hAnsi="宋体" w:cs="宋体"/>
          <w:szCs w:val="21"/>
        </w:rPr>
        <w:t>1. 识别关键路径：在工作进度安排方案中找出关键路径，它决定了进度能否得到保障。</w:t>
      </w:r>
    </w:p>
    <w:p w14:paraId="3B9E49EB">
      <w:pPr>
        <w:snapToGrid w:val="0"/>
        <w:spacing w:line="360" w:lineRule="auto"/>
        <w:ind w:firstLine="420"/>
        <w:contextualSpacing/>
        <w:rPr>
          <w:rFonts w:hint="eastAsia" w:ascii="宋体" w:hAnsi="宋体" w:cs="宋体"/>
          <w:szCs w:val="21"/>
        </w:rPr>
      </w:pPr>
      <w:r>
        <w:rPr>
          <w:rFonts w:hint="eastAsia" w:ascii="宋体" w:hAnsi="宋体" w:cs="宋体"/>
          <w:szCs w:val="21"/>
        </w:rPr>
        <w:t>2. 风险管理：</w:t>
      </w:r>
    </w:p>
    <w:p w14:paraId="428689FF">
      <w:pPr>
        <w:snapToGrid w:val="0"/>
        <w:spacing w:line="360" w:lineRule="auto"/>
        <w:ind w:firstLine="420" w:firstLineChars="200"/>
        <w:contextualSpacing/>
        <w:rPr>
          <w:rFonts w:hint="eastAsia" w:ascii="宋体" w:hAnsi="宋体" w:cs="宋体"/>
          <w:szCs w:val="21"/>
        </w:rPr>
      </w:pPr>
      <w:r>
        <w:rPr>
          <w:rFonts w:hint="eastAsia" w:ascii="宋体" w:hAnsi="宋体" w:cs="宋体"/>
          <w:szCs w:val="21"/>
        </w:rPr>
        <w:t>识别风险：通过历史数据、专家访谈等方式识别可能影响项目进度的风险因素。</w:t>
      </w:r>
    </w:p>
    <w:p w14:paraId="3E68DC5F">
      <w:pPr>
        <w:snapToGrid w:val="0"/>
        <w:spacing w:line="360" w:lineRule="auto"/>
        <w:ind w:firstLine="420" w:firstLineChars="200"/>
        <w:contextualSpacing/>
        <w:rPr>
          <w:rFonts w:hint="eastAsia" w:ascii="宋体" w:hAnsi="宋体" w:cs="宋体"/>
          <w:szCs w:val="21"/>
        </w:rPr>
      </w:pPr>
      <w:r>
        <w:rPr>
          <w:rFonts w:hint="eastAsia" w:ascii="宋体" w:hAnsi="宋体" w:cs="宋体"/>
          <w:szCs w:val="21"/>
        </w:rPr>
        <w:t>评估风险：对识别出的风险进行量化评估，确定其发生的可能性和对项目进度的影响程度。</w:t>
      </w:r>
    </w:p>
    <w:p w14:paraId="57DAEF18">
      <w:pPr>
        <w:snapToGrid w:val="0"/>
        <w:spacing w:line="360" w:lineRule="auto"/>
        <w:ind w:firstLine="420" w:firstLineChars="200"/>
        <w:contextualSpacing/>
        <w:rPr>
          <w:rFonts w:hint="eastAsia" w:ascii="宋体" w:hAnsi="宋体" w:cs="宋体"/>
          <w:szCs w:val="21"/>
        </w:rPr>
      </w:pPr>
      <w:r>
        <w:rPr>
          <w:rFonts w:hint="eastAsia" w:ascii="宋体" w:hAnsi="宋体" w:cs="宋体"/>
          <w:szCs w:val="21"/>
        </w:rPr>
        <w:t>制定应对措施：针对高风险因素制定具体的应对措施和预案，以减少风险对项目进度的影响。</w:t>
      </w:r>
    </w:p>
    <w:p w14:paraId="0513499C">
      <w:pPr>
        <w:pStyle w:val="6"/>
        <w:rPr>
          <w:rFonts w:hint="eastAsia" w:ascii="宋体" w:hAnsi="宋体"/>
          <w:szCs w:val="24"/>
        </w:rPr>
      </w:pPr>
      <w:bookmarkStart w:id="332" w:name="_Toc180265707"/>
      <w:r>
        <w:rPr>
          <w:rFonts w:hint="eastAsia" w:ascii="宋体" w:hAnsi="宋体"/>
          <w:szCs w:val="24"/>
        </w:rPr>
        <w:t>项目进度监控</w:t>
      </w:r>
      <w:bookmarkEnd w:id="332"/>
    </w:p>
    <w:p w14:paraId="4FFB89A3">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1. 定期跟踪：通过周报、月报等形式定期跟踪项目进度，确保各项任务按计划进行。</w:t>
      </w:r>
    </w:p>
    <w:p w14:paraId="7FDC133E">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2. 偏差分析：当发现项目进度与计划存在偏差时，及时分析原因并采取相应的纠正措施。</w:t>
      </w:r>
    </w:p>
    <w:p w14:paraId="38DB3A58">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3. 调整计划：根据偏差分析的结果，适时调整项目进度计划，确保项目能够按时完成。</w:t>
      </w:r>
    </w:p>
    <w:p w14:paraId="4D5A0F85">
      <w:pPr>
        <w:pStyle w:val="6"/>
        <w:rPr>
          <w:rFonts w:hint="eastAsia" w:ascii="宋体" w:hAnsi="宋体"/>
          <w:szCs w:val="24"/>
        </w:rPr>
      </w:pPr>
      <w:bookmarkStart w:id="333" w:name="_Toc180265708"/>
      <w:r>
        <w:rPr>
          <w:rFonts w:hint="eastAsia" w:ascii="宋体" w:hAnsi="宋体"/>
          <w:szCs w:val="24"/>
        </w:rPr>
        <w:t>团队协作与沟通</w:t>
      </w:r>
      <w:bookmarkEnd w:id="333"/>
    </w:p>
    <w:p w14:paraId="13123B15">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1. 建立沟通机制：建立有效的沟通渠道和机制，确保项目团队成员之间能够及时、准确地传递信息。</w:t>
      </w:r>
    </w:p>
    <w:p w14:paraId="3D715F55">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2. 强化团队协作：通过团队建设活动、定期会议等方式增强团队凝聚力，提高团队协作效率。</w:t>
      </w:r>
    </w:p>
    <w:p w14:paraId="41631D64">
      <w:pPr>
        <w:snapToGrid w:val="0"/>
        <w:spacing w:line="360" w:lineRule="auto"/>
        <w:ind w:firstLine="420"/>
        <w:contextualSpacing/>
        <w:rPr>
          <w:rFonts w:hint="eastAsia" w:ascii="宋体" w:hAnsi="宋体" w:eastAsia="宋体" w:cs="宋体"/>
          <w:b/>
          <w:bCs/>
          <w:szCs w:val="21"/>
        </w:rPr>
      </w:pPr>
      <w:r>
        <w:rPr>
          <w:rFonts w:hint="eastAsia" w:ascii="宋体" w:hAnsi="宋体" w:eastAsia="宋体" w:cs="宋体"/>
          <w:szCs w:val="21"/>
        </w:rPr>
        <w:t>3. 明确职责分工：明确各团队成员的职责和分工，确保每个人都能够清晰地了解自己的任务和目标。</w:t>
      </w:r>
    </w:p>
    <w:p w14:paraId="126B532F">
      <w:pPr>
        <w:pStyle w:val="6"/>
        <w:rPr>
          <w:rFonts w:hint="eastAsia" w:ascii="宋体" w:hAnsi="宋体"/>
          <w:szCs w:val="24"/>
        </w:rPr>
      </w:pPr>
      <w:bookmarkStart w:id="334" w:name="_Toc180265709"/>
      <w:r>
        <w:rPr>
          <w:rFonts w:hint="eastAsia" w:ascii="宋体" w:hAnsi="宋体"/>
          <w:szCs w:val="24"/>
        </w:rPr>
        <w:t>技术和管理措施</w:t>
      </w:r>
      <w:bookmarkEnd w:id="334"/>
    </w:p>
    <w:p w14:paraId="3A62DAFC">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1. 技术保障：</w:t>
      </w:r>
    </w:p>
    <w:p w14:paraId="7D77D620">
      <w:pPr>
        <w:snapToGri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采用先进技术：根据项目需求采用先进的技术手段和方法，提高工作效率和质量。</w:t>
      </w:r>
    </w:p>
    <w:p w14:paraId="795E8EFF">
      <w:pPr>
        <w:snapToGri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加强技术培训：定期对项目团队成员进行技术培训，提高其专业技能和水平。</w:t>
      </w:r>
    </w:p>
    <w:p w14:paraId="3BA0B2C4">
      <w:pPr>
        <w:snapToGrid w:val="0"/>
        <w:spacing w:line="360" w:lineRule="auto"/>
        <w:ind w:firstLine="420"/>
        <w:contextualSpacing/>
        <w:rPr>
          <w:rFonts w:hint="eastAsia" w:ascii="宋体" w:hAnsi="宋体" w:eastAsia="宋体" w:cs="宋体"/>
          <w:szCs w:val="21"/>
        </w:rPr>
      </w:pPr>
      <w:r>
        <w:rPr>
          <w:rFonts w:hint="eastAsia" w:ascii="宋体" w:hAnsi="宋体" w:eastAsia="宋体" w:cs="宋体"/>
          <w:szCs w:val="21"/>
        </w:rPr>
        <w:t>2. 管理保障：</w:t>
      </w:r>
    </w:p>
    <w:p w14:paraId="1EF6D2DC">
      <w:pPr>
        <w:snapToGri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建立项目管理体系：建立和完善项目管理体系，包括项目管理制度、流程、标准等。</w:t>
      </w:r>
    </w:p>
    <w:p w14:paraId="7E040A99">
      <w:pPr>
        <w:snapToGrid w:val="0"/>
        <w:spacing w:line="360" w:lineRule="auto"/>
        <w:ind w:firstLine="420" w:firstLineChars="200"/>
        <w:contextualSpacing/>
        <w:rPr>
          <w:rFonts w:hint="eastAsia" w:ascii="宋体" w:hAnsi="宋体" w:eastAsia="宋体" w:cs="宋体"/>
          <w:szCs w:val="21"/>
        </w:rPr>
      </w:pPr>
      <w:r>
        <w:rPr>
          <w:rFonts w:hint="eastAsia" w:ascii="宋体" w:hAnsi="宋体" w:eastAsia="宋体" w:cs="宋体"/>
          <w:szCs w:val="21"/>
        </w:rPr>
        <w:t>强化项目管理：加强项目管理的力度和深度，确保项目能够按照预定的目标和计划顺利推进。</w:t>
      </w:r>
    </w:p>
    <w:p w14:paraId="7C179720">
      <w:pPr>
        <w:pStyle w:val="6"/>
        <w:rPr>
          <w:rFonts w:hint="eastAsia" w:ascii="宋体" w:hAnsi="宋体"/>
          <w:szCs w:val="24"/>
        </w:rPr>
      </w:pPr>
      <w:bookmarkStart w:id="335" w:name="_Toc180265710"/>
      <w:r>
        <w:rPr>
          <w:rFonts w:hint="eastAsia" w:ascii="宋体" w:hAnsi="宋体"/>
          <w:szCs w:val="24"/>
        </w:rPr>
        <w:t>应急响应计划</w:t>
      </w:r>
      <w:bookmarkEnd w:id="335"/>
    </w:p>
    <w:p w14:paraId="300D9718">
      <w:pPr>
        <w:snapToGrid w:val="0"/>
        <w:spacing w:line="360" w:lineRule="auto"/>
        <w:ind w:firstLine="420"/>
        <w:contextualSpacing/>
        <w:rPr>
          <w:rFonts w:hint="eastAsia" w:ascii="宋体" w:hAnsi="宋体" w:cs="宋体"/>
          <w:szCs w:val="21"/>
        </w:rPr>
      </w:pPr>
      <w:r>
        <w:rPr>
          <w:rFonts w:hint="eastAsia" w:ascii="宋体" w:hAnsi="宋体" w:cs="宋体"/>
          <w:szCs w:val="21"/>
        </w:rPr>
        <w:t>1. 制定应急响应计划：针对可能出现的突发事件和紧急情况制定具体的应急响应计划。</w:t>
      </w:r>
    </w:p>
    <w:p w14:paraId="146A3FEC">
      <w:pPr>
        <w:snapToGrid w:val="0"/>
        <w:spacing w:line="360" w:lineRule="auto"/>
        <w:ind w:firstLine="420"/>
        <w:contextualSpacing/>
        <w:rPr>
          <w:rFonts w:hint="eastAsia" w:ascii="宋体" w:hAnsi="宋体" w:cs="宋体"/>
          <w:szCs w:val="21"/>
        </w:rPr>
      </w:pPr>
      <w:r>
        <w:rPr>
          <w:rFonts w:hint="eastAsia" w:ascii="宋体" w:hAnsi="宋体" w:cs="宋体"/>
          <w:szCs w:val="21"/>
        </w:rPr>
        <w:t>2. 应急演练：定期组织应急演练活动，提高项目团队成员的应急响应能力和水平。</w:t>
      </w:r>
    </w:p>
    <w:p w14:paraId="4B231028">
      <w:pPr>
        <w:snapToGrid w:val="0"/>
        <w:spacing w:line="360" w:lineRule="auto"/>
        <w:ind w:firstLine="420"/>
        <w:contextualSpacing/>
        <w:rPr>
          <w:rFonts w:hint="eastAsia" w:ascii="宋体" w:hAnsi="宋体" w:cs="宋体"/>
          <w:szCs w:val="21"/>
        </w:rPr>
      </w:pPr>
      <w:r>
        <w:rPr>
          <w:rFonts w:hint="eastAsia" w:ascii="宋体" w:hAnsi="宋体" w:cs="宋体"/>
          <w:szCs w:val="21"/>
        </w:rPr>
        <w:t>3. 资源储备：储备必要的应急资源（如人员、物资、资金等），以应对可能出现的紧急情况。</w:t>
      </w:r>
    </w:p>
    <w:p w14:paraId="1B2FBD0E">
      <w:pPr>
        <w:snapToGrid w:val="0"/>
        <w:spacing w:line="360" w:lineRule="auto"/>
        <w:ind w:firstLine="420"/>
        <w:contextualSpacing/>
        <w:rPr>
          <w:rFonts w:hint="eastAsia" w:ascii="宋体" w:hAnsi="宋体" w:cs="宋体"/>
          <w:szCs w:val="21"/>
        </w:rPr>
      </w:pPr>
      <w:r>
        <w:rPr>
          <w:rFonts w:hint="eastAsia" w:ascii="宋体" w:hAnsi="宋体" w:cs="宋体"/>
          <w:szCs w:val="21"/>
        </w:rPr>
        <w:t>综上所述，进度保障方案需要从多个方面入手，通过制定详细的项目计划、确定关键路径和风险管理、实施项目进度监控、加强团队协作与沟通、采取技术和管理措施以及制定应急响应计划等措施来确保项目能够按时完成并达到预期目标。</w:t>
      </w:r>
    </w:p>
    <w:p w14:paraId="1174727E">
      <w:pPr>
        <w:snapToGrid w:val="0"/>
        <w:spacing w:line="360" w:lineRule="auto"/>
        <w:ind w:firstLine="420"/>
        <w:contextualSpacing/>
        <w:rPr>
          <w:rFonts w:hint="eastAsia" w:ascii="宋体" w:hAnsi="宋体" w:cs="宋体"/>
          <w:szCs w:val="21"/>
        </w:rPr>
      </w:pPr>
    </w:p>
    <w:p w14:paraId="3B590C4A">
      <w:pPr>
        <w:snapToGrid w:val="0"/>
        <w:spacing w:line="360" w:lineRule="auto"/>
        <w:ind w:firstLine="420"/>
        <w:contextualSpacing/>
        <w:rPr>
          <w:rFonts w:hint="eastAsia" w:ascii="宋体" w:hAnsi="宋体" w:cs="宋体"/>
          <w:szCs w:val="21"/>
        </w:rPr>
      </w:pPr>
    </w:p>
    <w:p w14:paraId="6239356B">
      <w:pPr>
        <w:spacing w:line="360" w:lineRule="auto"/>
        <w:ind w:firstLine="420"/>
        <w:rPr>
          <w:szCs w:val="21"/>
        </w:rPr>
      </w:pPr>
    </w:p>
    <w:p w14:paraId="47C32F19">
      <w:pPr>
        <w:widowControl/>
        <w:spacing w:line="360" w:lineRule="auto"/>
        <w:jc w:val="left"/>
        <w:rPr>
          <w:rFonts w:hint="eastAsia" w:asciiTheme="minorEastAsia" w:hAnsiTheme="minorEastAsia"/>
          <w:b/>
          <w:bCs/>
          <w:kern w:val="44"/>
          <w:sz w:val="32"/>
          <w:szCs w:val="44"/>
        </w:rPr>
      </w:pPr>
      <w:r>
        <w:rPr>
          <w:rFonts w:asciiTheme="minorEastAsia" w:hAnsiTheme="minorEastAsia"/>
        </w:rPr>
        <w:br w:type="page"/>
      </w:r>
    </w:p>
    <w:p w14:paraId="25F2BB22">
      <w:pPr>
        <w:pStyle w:val="4"/>
        <w:numPr>
          <w:ilvl w:val="0"/>
          <w:numId w:val="113"/>
        </w:numPr>
        <w:rPr>
          <w:rFonts w:hint="eastAsia" w:asciiTheme="minorEastAsia" w:hAnsiTheme="minorEastAsia" w:eastAsiaTheme="minorEastAsia"/>
        </w:rPr>
      </w:pPr>
      <w:bookmarkStart w:id="336" w:name="_Toc180265711"/>
      <w:r>
        <w:rPr>
          <w:rFonts w:hint="eastAsia" w:asciiTheme="minorEastAsia" w:hAnsiTheme="minorEastAsia" w:eastAsiaTheme="minorEastAsia"/>
        </w:rPr>
        <w:t>运营运维服务方案</w:t>
      </w:r>
      <w:bookmarkEnd w:id="336"/>
    </w:p>
    <w:p w14:paraId="6C01D427">
      <w:pPr>
        <w:pStyle w:val="73"/>
        <w:keepNext/>
        <w:keepLines/>
        <w:numPr>
          <w:ilvl w:val="0"/>
          <w:numId w:val="114"/>
        </w:numPr>
        <w:spacing w:before="260" w:after="260" w:line="360" w:lineRule="auto"/>
        <w:ind w:firstLineChars="0"/>
        <w:outlineLvl w:val="1"/>
        <w:rPr>
          <w:rFonts w:hint="eastAsia" w:ascii="宋体" w:hAnsi="宋体" w:eastAsia="宋体" w:cstheme="majorBidi"/>
          <w:b/>
          <w:bCs/>
          <w:vanish/>
          <w:sz w:val="28"/>
          <w:szCs w:val="28"/>
        </w:rPr>
      </w:pPr>
      <w:bookmarkStart w:id="337" w:name="_Toc180265712"/>
      <w:bookmarkEnd w:id="337"/>
    </w:p>
    <w:p w14:paraId="1D34BCFA">
      <w:pPr>
        <w:pStyle w:val="73"/>
        <w:keepNext/>
        <w:keepLines/>
        <w:numPr>
          <w:ilvl w:val="0"/>
          <w:numId w:val="114"/>
        </w:numPr>
        <w:spacing w:before="260" w:after="260" w:line="360" w:lineRule="auto"/>
        <w:ind w:firstLineChars="0"/>
        <w:outlineLvl w:val="1"/>
        <w:rPr>
          <w:rFonts w:hint="eastAsia" w:ascii="宋体" w:hAnsi="宋体" w:eastAsia="宋体" w:cstheme="majorBidi"/>
          <w:b/>
          <w:bCs/>
          <w:vanish/>
          <w:sz w:val="28"/>
          <w:szCs w:val="28"/>
        </w:rPr>
      </w:pPr>
      <w:bookmarkStart w:id="338" w:name="_Toc180265713"/>
      <w:bookmarkEnd w:id="338"/>
    </w:p>
    <w:p w14:paraId="0B429060">
      <w:pPr>
        <w:pStyle w:val="73"/>
        <w:keepNext/>
        <w:keepLines/>
        <w:numPr>
          <w:ilvl w:val="0"/>
          <w:numId w:val="114"/>
        </w:numPr>
        <w:spacing w:before="260" w:after="260" w:line="360" w:lineRule="auto"/>
        <w:ind w:firstLineChars="0"/>
        <w:outlineLvl w:val="1"/>
        <w:rPr>
          <w:rFonts w:hint="eastAsia" w:ascii="宋体" w:hAnsi="宋体" w:eastAsia="宋体" w:cstheme="majorBidi"/>
          <w:b/>
          <w:bCs/>
          <w:vanish/>
          <w:sz w:val="28"/>
          <w:szCs w:val="28"/>
        </w:rPr>
      </w:pPr>
      <w:bookmarkStart w:id="339" w:name="_Toc180265714"/>
      <w:bookmarkEnd w:id="339"/>
    </w:p>
    <w:p w14:paraId="13A96647">
      <w:pPr>
        <w:pStyle w:val="5"/>
        <w:numPr>
          <w:ilvl w:val="1"/>
          <w:numId w:val="114"/>
        </w:numPr>
        <w:spacing w:before="260" w:after="260"/>
        <w:jc w:val="both"/>
        <w:rPr>
          <w:rFonts w:hint="eastAsia" w:ascii="宋体" w:hAnsi="宋体"/>
          <w:szCs w:val="28"/>
        </w:rPr>
      </w:pPr>
      <w:bookmarkStart w:id="340" w:name="_Toc180265715"/>
      <w:r>
        <w:rPr>
          <w:rFonts w:hint="eastAsia" w:ascii="宋体" w:hAnsi="宋体"/>
          <w:szCs w:val="28"/>
        </w:rPr>
        <w:t>运营服务方案</w:t>
      </w:r>
      <w:bookmarkEnd w:id="340"/>
    </w:p>
    <w:p w14:paraId="64C57C7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为保障系统运营期内的服务质量，特制定系统运营服务方案，通过系统性的规划和实施，构建一个合规、高效、安全、持续优化的系统运营体系。</w:t>
      </w:r>
    </w:p>
    <w:p w14:paraId="0745F1A7">
      <w:pPr>
        <w:pStyle w:val="6"/>
        <w:spacing w:before="260" w:after="260" w:line="416" w:lineRule="auto"/>
        <w:jc w:val="both"/>
        <w:rPr>
          <w:rFonts w:hint="eastAsia" w:ascii="宋体" w:hAnsi="宋体" w:cstheme="majorBidi"/>
          <w:szCs w:val="24"/>
        </w:rPr>
      </w:pPr>
      <w:bookmarkStart w:id="341" w:name="_Toc180265716"/>
      <w:r>
        <w:rPr>
          <w:rFonts w:hint="eastAsia" w:ascii="宋体" w:hAnsi="宋体" w:cstheme="majorBidi"/>
          <w:szCs w:val="24"/>
        </w:rPr>
        <w:t>运营目标</w:t>
      </w:r>
      <w:bookmarkEnd w:id="341"/>
    </w:p>
    <w:p w14:paraId="21543B2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合规性目标：确保系统建设、运营、维护过程符合相关法律法规及制度规范要求。</w:t>
      </w:r>
    </w:p>
    <w:p w14:paraId="376E3CCE">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高效性目标：高效解决各角色用户使用过程总的疑问或问题，反馈并跟踪问题，持续优化系统功能及业务流转，提高业务处理速度和响应能力，降低运营成本。</w:t>
      </w:r>
    </w:p>
    <w:p w14:paraId="1B1F8B6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安全性目标：加强人员安全意识建设，加强数据保护，方式信息泄露、非法访问或篡改数据，确保数据安全和系统运营安全。</w:t>
      </w:r>
    </w:p>
    <w:p w14:paraId="243466E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用户满意度目标：持续优化对外服务，及时响应和解决用户的问题和需求，建立用户反馈渠道，定期收集用户的意见和建议，不断改进运营服务的质量和效率，提高用户对运营服务的满意度。</w:t>
      </w:r>
    </w:p>
    <w:p w14:paraId="095BABD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持续优化目标：针对运营过程中的收集到的用户意见或建议，持续完善系统功能，提升系统易用性，按照协议及招标人要求及时扩展功能或升级系统，适应不断发展的业务需求。</w:t>
      </w:r>
    </w:p>
    <w:p w14:paraId="1CDD2D3B">
      <w:pPr>
        <w:pStyle w:val="6"/>
        <w:spacing w:before="260" w:after="260" w:line="416" w:lineRule="auto"/>
        <w:jc w:val="both"/>
        <w:rPr>
          <w:rFonts w:hint="eastAsia" w:ascii="宋体" w:hAnsi="宋体" w:cstheme="majorBidi"/>
          <w:szCs w:val="24"/>
        </w:rPr>
      </w:pPr>
      <w:bookmarkStart w:id="342" w:name="_Toc180265717"/>
      <w:r>
        <w:rPr>
          <w:rFonts w:hint="eastAsia" w:ascii="宋体" w:hAnsi="宋体" w:cstheme="majorBidi"/>
          <w:szCs w:val="24"/>
        </w:rPr>
        <w:t>运营服务内容</w:t>
      </w:r>
      <w:bookmarkEnd w:id="342"/>
    </w:p>
    <w:p w14:paraId="6C1CF22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我司承诺按照招标文件及协议要求，在运营服务期内提供运营服务，服务内容分为技术类、持续运营管理类、面向用户系统实施服务类、电话/线上客服类四类内容：包括且不限于下述10条具体服务内容。</w:t>
      </w:r>
    </w:p>
    <w:p w14:paraId="2D825ABF">
      <w:pPr>
        <w:spacing w:line="360" w:lineRule="auto"/>
        <w:ind w:firstLine="420"/>
        <w:rPr>
          <w:rFonts w:hint="eastAsia" w:ascii="宋体" w:hAnsi="宋体" w:eastAsia="宋体" w:cs="宋体"/>
          <w:szCs w:val="21"/>
        </w:rPr>
      </w:pPr>
      <w:r>
        <w:rPr>
          <w:rFonts w:hint="eastAsia" w:ascii="宋体" w:hAnsi="宋体" w:eastAsia="宋体" w:cs="宋体"/>
          <w:szCs w:val="21"/>
        </w:rPr>
        <w:t>技术类服务内容如：</w:t>
      </w:r>
    </w:p>
    <w:p w14:paraId="7CE01B0A">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系统交付服务：按照要求完成电子采购系统交付后，系统上线运营。</w:t>
      </w:r>
    </w:p>
    <w:p w14:paraId="3C7A3DAD">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持续优化服务：按照与招标人协商一致的结果对系统进行持续优化升级服务。</w:t>
      </w:r>
    </w:p>
    <w:p w14:paraId="389CF72E">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系统集成服务：按照招标人决定，实现与其他集成商、开发商的技术协调和系统集成服务，包括且不限于门户集成、开评标现场数据集成、国家局规范管理信息系统改造等。</w:t>
      </w:r>
    </w:p>
    <w:p w14:paraId="78C377AC">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系统检测认证相关服务：按照招标人要求，完成电子采购系统的电子招标投标系统三星认证及其他合同约定的检测认证，认证费用我司承担；</w:t>
      </w:r>
    </w:p>
    <w:p w14:paraId="7DD30B20">
      <w:pPr>
        <w:spacing w:line="360" w:lineRule="auto"/>
        <w:ind w:firstLine="420"/>
        <w:rPr>
          <w:rFonts w:hint="eastAsia" w:ascii="宋体" w:hAnsi="宋体" w:eastAsia="宋体" w:cs="宋体"/>
          <w:szCs w:val="21"/>
        </w:rPr>
      </w:pPr>
      <w:r>
        <w:rPr>
          <w:rFonts w:hint="eastAsia" w:ascii="宋体" w:hAnsi="宋体" w:eastAsia="宋体" w:cs="宋体"/>
          <w:szCs w:val="21"/>
        </w:rPr>
        <w:t>持续运营管理类服务内容如：</w:t>
      </w:r>
    </w:p>
    <w:p w14:paraId="245EBE64">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培训服务：按照运营服务相关要求和招标人要求，为招标人的运营提供不少于【2次】的现场培训服务，确保培训人次5人次以上。并承诺配合招标人需要，在运营期内配合增加培训安排，以确保相关人员掌握工作所需系统知识及操作能力。具体培训方案参见【18.4培训措施】章节描述。</w:t>
      </w:r>
    </w:p>
    <w:p w14:paraId="61BACE3B">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CA运营服务：系统将按照招标人要求及技术研发需要，对接所需的CA数字证书。如对接使用的CA数字证书在系统运营服务过程，需要设置相关证书办理、资料审核等服务岗位和人员，我司承诺将提供相关人员和服务岗位，满足系统运营所需的CA运营服务相关要求。</w:t>
      </w:r>
    </w:p>
    <w:p w14:paraId="56868759">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注册信息审核服务：在系统运营期间，预计会有大量投标人等系统用户角色不定时进行系统注册，我司承诺在运营团队中提供专人进行注册信息审核服务，并将根据业务发展和招标人需要，增加适当的岗位和人员安排，以满足及时审核注册信息的业务需要。</w:t>
      </w:r>
    </w:p>
    <w:p w14:paraId="020339FA">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系统管理服务：参照招标文件及协议要求，配置系统管理人员提供交易信息库主数据管理、电子采购系统配置管理相关服务，确保系统管理运营稳定、高效。保障招标人采购业务开展顺利。</w:t>
      </w:r>
    </w:p>
    <w:p w14:paraId="50D3DABA">
      <w:pPr>
        <w:spacing w:line="360" w:lineRule="auto"/>
        <w:ind w:firstLine="420"/>
        <w:rPr>
          <w:rFonts w:hint="eastAsia" w:ascii="宋体" w:hAnsi="宋体" w:eastAsia="宋体" w:cs="宋体"/>
          <w:szCs w:val="21"/>
        </w:rPr>
      </w:pPr>
      <w:r>
        <w:rPr>
          <w:rFonts w:hint="eastAsia" w:ascii="宋体" w:hAnsi="宋体" w:eastAsia="宋体" w:cs="宋体"/>
          <w:szCs w:val="21"/>
        </w:rPr>
        <w:t>用户系统实施服务类服务内容如：</w:t>
      </w:r>
    </w:p>
    <w:p w14:paraId="6A7AE02C">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项目支持服务：参照招标文件及协议要求，配置运营支持服务人员提供业务流程支持服务、技术解答服务、项目保障技术支撑服务；按照与招标人约定一致的工作流程和工作规范处理交易主体数据改动申请需求、配合相关部门提供专项调档服务、配合临时性、突击性工作安排；按照招标人要求和合同约定，配合提供驻场服务、远程异地评标服务，数据统计分析服务等业务运营服务。同时会提供日常工作所需文档编制及整理、工作汇报等日常支持服务内容，以保障招标人采购业务正常开展。</w:t>
      </w:r>
    </w:p>
    <w:p w14:paraId="06F6D739">
      <w:pPr>
        <w:spacing w:line="360" w:lineRule="auto"/>
        <w:ind w:firstLine="420"/>
        <w:rPr>
          <w:rFonts w:hint="eastAsia" w:ascii="宋体" w:hAnsi="宋体" w:eastAsia="宋体" w:cs="宋体"/>
          <w:szCs w:val="21"/>
        </w:rPr>
      </w:pPr>
      <w:r>
        <w:rPr>
          <w:rFonts w:hint="eastAsia" w:ascii="宋体" w:hAnsi="宋体" w:eastAsia="宋体" w:cs="宋体"/>
          <w:szCs w:val="21"/>
        </w:rPr>
        <w:t>电话/线上客服类服务内容如：</w:t>
      </w:r>
    </w:p>
    <w:p w14:paraId="46AB5403">
      <w:pPr>
        <w:numPr>
          <w:ilvl w:val="0"/>
          <w:numId w:val="115"/>
        </w:numPr>
        <w:spacing w:line="360" w:lineRule="auto"/>
        <w:rPr>
          <w:rFonts w:hint="eastAsia" w:ascii="宋体" w:hAnsi="宋体" w:eastAsia="宋体" w:cs="宋体"/>
          <w:szCs w:val="21"/>
        </w:rPr>
      </w:pPr>
      <w:r>
        <w:rPr>
          <w:rFonts w:hint="eastAsia" w:ascii="宋体" w:hAnsi="宋体" w:eastAsia="宋体" w:cs="宋体"/>
          <w:szCs w:val="21"/>
        </w:rPr>
        <w:t>电话热线等客户服务：设置用户服务热线电话及企业在线客服咨询渠道，配置专门的客服团队以及时响应用户的事项咨询和问题反馈。客服团队将在招标人规定的时间内响应用户来电，解答用户咨询。针对复杂技术问题咨询及特殊问题处理，客服团队将判断用户问题性质及复杂度，及时协调相关运维保障人员协助处理，确保用户的业务不受影响。</w:t>
      </w:r>
    </w:p>
    <w:p w14:paraId="35C2DAAC">
      <w:pPr>
        <w:pStyle w:val="6"/>
        <w:spacing w:before="260" w:after="260" w:line="416" w:lineRule="auto"/>
        <w:jc w:val="both"/>
        <w:rPr>
          <w:rFonts w:hint="eastAsia" w:ascii="宋体" w:hAnsi="宋体" w:cstheme="majorBidi"/>
          <w:szCs w:val="24"/>
        </w:rPr>
      </w:pPr>
      <w:bookmarkStart w:id="343" w:name="_Toc180265718"/>
      <w:r>
        <w:rPr>
          <w:rFonts w:hint="eastAsia" w:ascii="宋体" w:hAnsi="宋体" w:cstheme="majorBidi"/>
          <w:szCs w:val="24"/>
        </w:rPr>
        <w:t>运营能力保障</w:t>
      </w:r>
      <w:bookmarkEnd w:id="343"/>
    </w:p>
    <w:p w14:paraId="0F4BBB53">
      <w:pPr>
        <w:spacing w:line="360" w:lineRule="auto"/>
        <w:ind w:left="420"/>
        <w:rPr>
          <w:rFonts w:hint="eastAsia" w:ascii="宋体" w:hAnsi="宋体" w:eastAsia="宋体" w:cs="宋体"/>
          <w:szCs w:val="21"/>
        </w:rPr>
      </w:pPr>
      <w:r>
        <w:rPr>
          <w:rFonts w:hint="eastAsia" w:ascii="宋体" w:hAnsi="宋体" w:eastAsia="宋体" w:cs="宋体"/>
          <w:szCs w:val="21"/>
        </w:rPr>
        <w:t>1、技术类服务内容的能力保障</w:t>
      </w:r>
    </w:p>
    <w:p w14:paraId="675E1386">
      <w:pPr>
        <w:spacing w:line="360" w:lineRule="auto"/>
        <w:ind w:left="420" w:firstLine="420"/>
        <w:rPr>
          <w:rFonts w:hint="eastAsia" w:ascii="宋体" w:hAnsi="宋体" w:eastAsia="宋体" w:cs="宋体"/>
          <w:szCs w:val="21"/>
        </w:rPr>
      </w:pPr>
      <w:r>
        <w:rPr>
          <w:rFonts w:hint="eastAsia" w:ascii="宋体" w:hAnsi="宋体" w:eastAsia="宋体" w:cs="宋体"/>
          <w:szCs w:val="21"/>
        </w:rPr>
        <w:t>考虑技术类服务内容具有较高的专业性和针对性，在运营维护期间除运营运维团队外，项目组成员中的产品、研发、测试等相关团队成员也将全程参与并保障系统交付、系统集成、功能持续优化、系统相关检测认证工作的顺利进行。具体工作开展方式于要求可参见第16章节“系统实施方案”相关内容。</w:t>
      </w:r>
    </w:p>
    <w:p w14:paraId="1F1FFA9C">
      <w:pPr>
        <w:numPr>
          <w:ilvl w:val="0"/>
          <w:numId w:val="116"/>
        </w:numPr>
        <w:spacing w:line="360" w:lineRule="auto"/>
        <w:ind w:firstLine="420"/>
        <w:rPr>
          <w:rFonts w:hint="eastAsia" w:ascii="宋体" w:hAnsi="宋体" w:eastAsia="宋体" w:cs="宋体"/>
          <w:szCs w:val="21"/>
        </w:rPr>
      </w:pPr>
      <w:r>
        <w:rPr>
          <w:rFonts w:hint="eastAsia" w:ascii="宋体" w:hAnsi="宋体" w:eastAsia="宋体" w:cs="宋体"/>
          <w:szCs w:val="21"/>
        </w:rPr>
        <w:t>持续运营管理类服务能力保障</w:t>
      </w:r>
    </w:p>
    <w:p w14:paraId="28DE00F9">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招标采购平台是“一平台多驻户”模式的持续运营管理平台。自2016年平台上线起持续至今，平台上已有千余家采购人及采购代理机构用户在线使用平台，投标人账户注册数每年新增约10万个，在线运行项目数每年新增约8万个，因此我司积累了丰富的运营管理相关经验。</w:t>
      </w:r>
    </w:p>
    <w:p w14:paraId="67D8232D">
      <w:pPr>
        <w:spacing w:line="360" w:lineRule="auto"/>
        <w:ind w:left="420" w:firstLine="420"/>
        <w:rPr>
          <w:rFonts w:hint="eastAsia" w:ascii="宋体" w:hAnsi="宋体" w:eastAsia="宋体" w:cs="宋体"/>
          <w:szCs w:val="21"/>
        </w:rPr>
      </w:pPr>
      <w:r>
        <w:rPr>
          <w:rFonts w:hint="eastAsia" w:ascii="宋体" w:hAnsi="宋体" w:eastAsia="宋体" w:cs="宋体"/>
          <w:szCs w:val="21"/>
        </w:rPr>
        <w:t>持续运营管理能力保障主要从两方面开展：</w:t>
      </w:r>
    </w:p>
    <w:p w14:paraId="69CA6391">
      <w:pPr>
        <w:numPr>
          <w:ilvl w:val="0"/>
          <w:numId w:val="117"/>
        </w:numPr>
        <w:spacing w:line="360" w:lineRule="auto"/>
        <w:rPr>
          <w:rFonts w:hint="eastAsia" w:ascii="宋体" w:hAnsi="宋体" w:eastAsia="宋体" w:cs="宋体"/>
          <w:szCs w:val="21"/>
        </w:rPr>
      </w:pPr>
      <w:r>
        <w:rPr>
          <w:rFonts w:hint="eastAsia" w:ascii="宋体" w:hAnsi="宋体" w:eastAsia="宋体" w:cs="宋体"/>
          <w:szCs w:val="21"/>
        </w:rPr>
        <w:t>资源配置保障</w:t>
      </w:r>
    </w:p>
    <w:p w14:paraId="145A92F0">
      <w:pPr>
        <w:spacing w:line="360" w:lineRule="auto"/>
        <w:ind w:left="420" w:firstLine="420"/>
        <w:rPr>
          <w:rFonts w:hint="eastAsia" w:ascii="宋体" w:hAnsi="宋体" w:eastAsia="宋体" w:cs="宋体"/>
          <w:szCs w:val="21"/>
        </w:rPr>
      </w:pPr>
      <w:r>
        <w:rPr>
          <w:rFonts w:hint="eastAsia" w:ascii="宋体" w:hAnsi="宋体" w:eastAsia="宋体" w:cs="宋体"/>
          <w:szCs w:val="21"/>
        </w:rPr>
        <w:t>通常系统上线运营初期，注册审核、CA运营管理等业务需求较少，随系统稳定运行和持续推进应用，注册审核、CA运营、培训、系统管理等业务需求也会逐步增加。鉴于此，我司承诺运营团队支持人员不少于5人，并将根据注册审核业务、CA运营管理业务、培训业务、系统配置管理业务的实际发展趋势和采购人要求，及时增配服务人员，确保系统运营服务质量不受影响。</w:t>
      </w:r>
    </w:p>
    <w:p w14:paraId="71C3ABD2">
      <w:pPr>
        <w:numPr>
          <w:ilvl w:val="0"/>
          <w:numId w:val="117"/>
        </w:numPr>
        <w:spacing w:line="360" w:lineRule="auto"/>
        <w:rPr>
          <w:rFonts w:hint="eastAsia" w:ascii="宋体" w:hAnsi="宋体" w:eastAsia="宋体" w:cs="宋体"/>
          <w:szCs w:val="21"/>
        </w:rPr>
      </w:pPr>
      <w:r>
        <w:rPr>
          <w:rFonts w:hint="eastAsia" w:ascii="宋体" w:hAnsi="宋体" w:eastAsia="宋体" w:cs="宋体"/>
          <w:szCs w:val="21"/>
        </w:rPr>
        <w:t>制度保障</w:t>
      </w:r>
    </w:p>
    <w:p w14:paraId="7AA37EB0">
      <w:pPr>
        <w:spacing w:line="360" w:lineRule="auto"/>
        <w:ind w:left="420" w:firstLine="420"/>
        <w:rPr>
          <w:rFonts w:hint="eastAsia" w:ascii="宋体" w:hAnsi="宋体" w:eastAsia="宋体" w:cs="宋体"/>
          <w:szCs w:val="21"/>
        </w:rPr>
      </w:pPr>
      <w:r>
        <w:rPr>
          <w:rFonts w:hint="eastAsia" w:ascii="宋体" w:hAnsi="宋体" w:eastAsia="宋体" w:cs="宋体"/>
          <w:szCs w:val="21"/>
        </w:rPr>
        <w:t>优质的服务依赖于好的管理。我司将在系统实施后期及运营服务前期，基于中招联合招标采购平台多年运营管理的经验，结合烟草行业项目特点及烟草系统内部管理要求，制定出烟草行业采购交易监管平台系统的运营管理工作流程、考核标准及运营管理制度的建议方案。以促进行业采购交易监管平台系统的良好运营发展。</w:t>
      </w:r>
    </w:p>
    <w:p w14:paraId="6D401940">
      <w:pPr>
        <w:numPr>
          <w:ilvl w:val="0"/>
          <w:numId w:val="116"/>
        </w:numPr>
        <w:spacing w:line="360" w:lineRule="auto"/>
        <w:ind w:firstLine="420"/>
        <w:rPr>
          <w:rFonts w:hint="eastAsia" w:ascii="宋体" w:hAnsi="宋体" w:eastAsia="宋体" w:cs="宋体"/>
          <w:szCs w:val="21"/>
        </w:rPr>
      </w:pPr>
      <w:r>
        <w:rPr>
          <w:rFonts w:hint="eastAsia" w:ascii="宋体" w:hAnsi="宋体" w:eastAsia="宋体" w:cs="宋体"/>
          <w:szCs w:val="21"/>
        </w:rPr>
        <w:t>用户系统实施服务能力保障</w:t>
      </w:r>
    </w:p>
    <w:p w14:paraId="4F159B11">
      <w:pPr>
        <w:spacing w:line="360" w:lineRule="auto"/>
        <w:ind w:left="420" w:firstLine="420"/>
        <w:rPr>
          <w:rFonts w:hint="eastAsia" w:ascii="宋体" w:hAnsi="宋体" w:eastAsia="宋体" w:cs="宋体"/>
          <w:bCs/>
          <w:szCs w:val="21"/>
        </w:rPr>
      </w:pPr>
      <w:r>
        <w:rPr>
          <w:rFonts w:hint="eastAsia" w:ascii="宋体" w:hAnsi="宋体" w:eastAsia="宋体" w:cs="宋体"/>
          <w:szCs w:val="21"/>
        </w:rPr>
        <w:t>行业采购交易监管平台系统在用户实施服务阶段</w:t>
      </w:r>
      <w:r>
        <w:rPr>
          <w:rFonts w:hint="eastAsia" w:ascii="宋体" w:hAnsi="宋体" w:eastAsia="宋体" w:cs="宋体"/>
          <w:bCs/>
          <w:szCs w:val="21"/>
        </w:rPr>
        <w:t>，将面临烟草系统全国33个省级烟草专卖局（公司）（含大连、深圳），19个省级工业公司，450家地市级烟草专卖局（公司），2393家县级烟草专卖局（分公司或营销部）及92家卷烟厂等大量烟草系统相关单位的实施服务工作压力。即使采取分批进行，专项推进的实施方式，仅靠几个人的实施团队也是无法保障工作效率和工作质量的。想要做好系统用户实施服务相关工作，中招联合信息股份有限公司有着天然的优势。</w:t>
      </w:r>
    </w:p>
    <w:p w14:paraId="0AEACDE5">
      <w:pPr>
        <w:numPr>
          <w:ilvl w:val="0"/>
          <w:numId w:val="118"/>
        </w:numPr>
        <w:tabs>
          <w:tab w:val="left" w:pos="420"/>
        </w:tabs>
        <w:spacing w:line="360" w:lineRule="auto"/>
        <w:rPr>
          <w:rFonts w:hint="eastAsia" w:ascii="宋体" w:hAnsi="宋体" w:eastAsia="宋体" w:cs="宋体"/>
          <w:szCs w:val="21"/>
        </w:rPr>
      </w:pPr>
      <w:r>
        <w:rPr>
          <w:rFonts w:hint="eastAsia" w:ascii="宋体" w:hAnsi="宋体" w:eastAsia="宋体" w:cs="宋体"/>
          <w:szCs w:val="21"/>
        </w:rPr>
        <w:t>经验保障</w:t>
      </w:r>
    </w:p>
    <w:p w14:paraId="6CE98130">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用户实施团队积累了丰富的用户实施服务工作经验，千余家平台用户实施均严格按照《中招联合项目实施过程组控制程序》和《用户现场实施服务流程》（详见18.1.5）的要求开展实施服务，以确保实施服务过程标准，质量可控。</w:t>
      </w:r>
    </w:p>
    <w:p w14:paraId="550DF4B7">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陆续服务了河南中烟、河南商烟、甘肃中烟（中标）、湖北中烟、湖北商烟（中标）、江苏中烟（中标）等众多烟草系统单位，中招联合招标采购平台结合实际项目烟草运行情况，为烟草系统采购单位定制开发、优化平台功能70余项。详见本投标文件第12章。因此中招联合实施团队熟悉烟草行业特点和项目需求，能够更好的开展相关实施推进工作。</w:t>
      </w:r>
    </w:p>
    <w:p w14:paraId="1371E813">
      <w:pPr>
        <w:numPr>
          <w:ilvl w:val="0"/>
          <w:numId w:val="118"/>
        </w:numPr>
        <w:tabs>
          <w:tab w:val="left" w:pos="420"/>
        </w:tabs>
        <w:spacing w:line="360" w:lineRule="auto"/>
        <w:rPr>
          <w:rFonts w:hint="eastAsia" w:ascii="宋体" w:hAnsi="宋体" w:eastAsia="宋体" w:cs="宋体"/>
          <w:szCs w:val="21"/>
        </w:rPr>
      </w:pPr>
      <w:r>
        <w:rPr>
          <w:rFonts w:hint="eastAsia" w:ascii="宋体" w:hAnsi="宋体" w:eastAsia="宋体" w:cs="宋体"/>
          <w:szCs w:val="21"/>
        </w:rPr>
        <w:t>本地化实施服务团队保障</w:t>
      </w:r>
    </w:p>
    <w:p w14:paraId="13E0E158">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信息股份有限公司陆续在河北、河南、江苏、广东、甘肃、四川、山西、陕西、吉林、江西、湖北、上海等地建设了区域中心，每个区域中心均组建了本地化实施团队，为当地及周边平台用户提供专业系统实施服务和支持服务。其中河南区域中心、甘肃区域中心、江苏区域中心、湖北区域中心等多个区域中心实施团队此前已经为当地烟草系统单位及代理机构使用中招联合招标采购平台提供了全面、专业的实施服务。</w:t>
      </w:r>
    </w:p>
    <w:p w14:paraId="3531A88A">
      <w:pPr>
        <w:spacing w:line="360" w:lineRule="auto"/>
        <w:ind w:left="420" w:firstLine="420"/>
        <w:rPr>
          <w:rFonts w:hint="eastAsia" w:ascii="宋体" w:hAnsi="宋体" w:eastAsia="宋体" w:cs="宋体"/>
          <w:szCs w:val="21"/>
        </w:rPr>
      </w:pPr>
      <w:r>
        <w:rPr>
          <w:rFonts w:hint="eastAsia" w:ascii="宋体" w:hAnsi="宋体" w:eastAsia="宋体" w:cs="宋体"/>
          <w:szCs w:val="21"/>
        </w:rPr>
        <w:t>因此中招联合在全国各地大量的技术实施服务团队可以作为行业采购交易监管平台系统用户实施服务工作的坚强后盾，在系统实施服务过程中，中招联合各地实施服务团队可根据需要，及时加入系统用户实施工作中，保障用户实施服务工作进度及服务质量。</w:t>
      </w:r>
    </w:p>
    <w:p w14:paraId="4D1B791E">
      <w:pPr>
        <w:numPr>
          <w:ilvl w:val="0"/>
          <w:numId w:val="118"/>
        </w:numPr>
        <w:tabs>
          <w:tab w:val="left" w:pos="420"/>
        </w:tabs>
        <w:spacing w:line="360" w:lineRule="auto"/>
        <w:rPr>
          <w:rFonts w:hint="eastAsia" w:ascii="宋体" w:hAnsi="宋体" w:eastAsia="宋体" w:cs="宋体"/>
          <w:szCs w:val="21"/>
        </w:rPr>
      </w:pPr>
      <w:r>
        <w:rPr>
          <w:rFonts w:hint="eastAsia" w:ascii="宋体" w:hAnsi="宋体" w:eastAsia="宋体" w:cs="宋体"/>
          <w:szCs w:val="21"/>
        </w:rPr>
        <w:t>开评标场地优势及保障</w:t>
      </w:r>
    </w:p>
    <w:p w14:paraId="32025C93">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按照国家电子招标技术规范，行业开标评标场所的建设标准为依据，打造高标准、严要求、规范化的电子开评标综合服务场所。目前在河南、湖北等地共建立了14个高标准的电子开评标场所，通过统一的招标采购平台实现项目“全流程在线招标”，通过全国各区域开评标场地实现“1+N+X”多区域、分布式、远程异地开评标场地本地化服务方案。也积累了丰富的开评标场地建设、管理及与电子采购系统集成的经验。</w:t>
      </w:r>
    </w:p>
    <w:p w14:paraId="1FA643BA">
      <w:pPr>
        <w:spacing w:line="360" w:lineRule="auto"/>
        <w:ind w:left="420" w:firstLine="420"/>
        <w:rPr>
          <w:rFonts w:hint="eastAsia" w:ascii="宋体" w:hAnsi="宋体" w:eastAsia="宋体" w:cs="宋体"/>
          <w:szCs w:val="21"/>
        </w:rPr>
      </w:pPr>
      <w:r>
        <w:rPr>
          <w:rFonts w:hint="eastAsia" w:ascii="宋体" w:hAnsi="宋体" w:eastAsia="宋体" w:cs="宋体"/>
          <w:szCs w:val="21"/>
        </w:rPr>
        <w:t>在行业采购交易监管平台系统运营实施过程中，我司可以电子开评标场地资源、电子开评标场地建设与管理方案等角度提供更多的服务与保障。</w:t>
      </w:r>
    </w:p>
    <w:p w14:paraId="4881059F">
      <w:pPr>
        <w:numPr>
          <w:ilvl w:val="0"/>
          <w:numId w:val="116"/>
        </w:numPr>
        <w:spacing w:line="360" w:lineRule="auto"/>
        <w:ind w:firstLine="420"/>
        <w:rPr>
          <w:rFonts w:hint="eastAsia" w:ascii="宋体" w:hAnsi="宋体" w:eastAsia="宋体" w:cs="宋体"/>
          <w:szCs w:val="21"/>
        </w:rPr>
      </w:pPr>
      <w:r>
        <w:rPr>
          <w:rFonts w:hint="eastAsia" w:ascii="宋体" w:hAnsi="宋体" w:eastAsia="宋体" w:cs="宋体"/>
          <w:szCs w:val="21"/>
        </w:rPr>
        <w:t>电话热线等客户服务保障</w:t>
      </w:r>
    </w:p>
    <w:p w14:paraId="18C17071">
      <w:pPr>
        <w:spacing w:line="360" w:lineRule="auto"/>
        <w:ind w:left="420" w:firstLine="420"/>
        <w:rPr>
          <w:rFonts w:hint="eastAsia" w:ascii="宋体" w:hAnsi="宋体" w:eastAsia="宋体" w:cs="宋体"/>
          <w:szCs w:val="21"/>
        </w:rPr>
      </w:pPr>
      <w:r>
        <w:rPr>
          <w:rFonts w:hint="eastAsia" w:ascii="宋体" w:hAnsi="宋体" w:eastAsia="宋体" w:cs="宋体"/>
          <w:szCs w:val="21"/>
        </w:rPr>
        <w:t>中招联合信息股份有限公司已建设了中招联合客服热线呼叫中心，制定了客服人员招聘制度、工作管理制度、考核评价制度等管理制度，编制了客服工作标准工作用语、客服问题知识库等文档材料，并自行研发了工单管理系统，以保障日常客服人员工作效率及工作质量。</w:t>
      </w:r>
    </w:p>
    <w:p w14:paraId="5003640F">
      <w:pPr>
        <w:spacing w:line="360" w:lineRule="auto"/>
        <w:ind w:left="420" w:firstLine="420"/>
        <w:rPr>
          <w:rFonts w:hint="eastAsia" w:ascii="宋体" w:hAnsi="宋体" w:eastAsia="宋体" w:cs="宋体"/>
          <w:szCs w:val="21"/>
        </w:rPr>
      </w:pPr>
      <w:r>
        <w:rPr>
          <w:rFonts w:hint="eastAsia" w:ascii="宋体" w:hAnsi="宋体" w:eastAsia="宋体" w:cs="宋体"/>
          <w:szCs w:val="21"/>
        </w:rPr>
        <w:t>我司承诺，在行业采购交易监管平台系统电话热线客户服务过程中，将免费提供上述积累的无形资产，保障行业采购交易监管平台系统客服热线工作的顺利进行。</w:t>
      </w:r>
    </w:p>
    <w:p w14:paraId="2D227874">
      <w:pPr>
        <w:pStyle w:val="6"/>
        <w:spacing w:before="260" w:after="260" w:line="416" w:lineRule="auto"/>
        <w:jc w:val="both"/>
        <w:rPr>
          <w:rFonts w:hint="eastAsia" w:ascii="宋体" w:hAnsi="宋体" w:cstheme="majorBidi"/>
          <w:szCs w:val="24"/>
        </w:rPr>
      </w:pPr>
      <w:bookmarkStart w:id="344" w:name="_Toc180265719"/>
      <w:r>
        <w:rPr>
          <w:rFonts w:hint="eastAsia" w:ascii="宋体" w:hAnsi="宋体" w:cstheme="majorBidi"/>
          <w:szCs w:val="24"/>
        </w:rPr>
        <w:t>客服工作台流程及考核</w:t>
      </w:r>
      <w:bookmarkEnd w:id="344"/>
    </w:p>
    <w:p w14:paraId="1E73CE4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1、运营客服工作台工作流程如下表所示：</w:t>
      </w:r>
    </w:p>
    <w:tbl>
      <w:tblPr>
        <w:tblStyle w:val="40"/>
        <w:tblW w:w="934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05"/>
        <w:gridCol w:w="5014"/>
        <w:gridCol w:w="2025"/>
      </w:tblGrid>
      <w:tr w14:paraId="14A3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348" w:type="dxa"/>
            <w:gridSpan w:val="4"/>
            <w:tcBorders>
              <w:top w:val="single" w:color="auto" w:sz="12" w:space="0"/>
              <w:left w:val="single" w:color="auto" w:sz="12" w:space="0"/>
              <w:bottom w:val="single" w:color="auto" w:sz="12" w:space="0"/>
              <w:right w:val="single" w:color="auto" w:sz="12" w:space="0"/>
            </w:tcBorders>
            <w:shd w:val="clear" w:color="auto" w:fill="9ACCFF"/>
            <w:vAlign w:val="center"/>
          </w:tcPr>
          <w:p w14:paraId="5BBD9FAF">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服务台工作流程</w:t>
            </w:r>
          </w:p>
        </w:tc>
      </w:tr>
      <w:tr w14:paraId="6DFA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04" w:type="dxa"/>
            <w:tcBorders>
              <w:top w:val="single" w:color="auto" w:sz="12" w:space="0"/>
              <w:left w:val="single" w:color="auto" w:sz="12" w:space="0"/>
            </w:tcBorders>
            <w:vAlign w:val="center"/>
          </w:tcPr>
          <w:p w14:paraId="6D45A817">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序号</w:t>
            </w:r>
          </w:p>
        </w:tc>
        <w:tc>
          <w:tcPr>
            <w:tcW w:w="1605" w:type="dxa"/>
            <w:tcBorders>
              <w:top w:val="single" w:color="auto" w:sz="12" w:space="0"/>
            </w:tcBorders>
            <w:vAlign w:val="center"/>
          </w:tcPr>
          <w:p w14:paraId="244E6B9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步骤名</w:t>
            </w:r>
          </w:p>
        </w:tc>
        <w:tc>
          <w:tcPr>
            <w:tcW w:w="5014" w:type="dxa"/>
            <w:tcBorders>
              <w:top w:val="single" w:color="auto" w:sz="12" w:space="0"/>
            </w:tcBorders>
            <w:vAlign w:val="center"/>
          </w:tcPr>
          <w:p w14:paraId="6F81AB8F">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说明</w:t>
            </w:r>
          </w:p>
        </w:tc>
        <w:tc>
          <w:tcPr>
            <w:tcW w:w="2025" w:type="dxa"/>
            <w:tcBorders>
              <w:top w:val="single" w:color="auto" w:sz="12" w:space="0"/>
              <w:right w:val="single" w:color="auto" w:sz="12" w:space="0"/>
            </w:tcBorders>
            <w:vAlign w:val="center"/>
          </w:tcPr>
          <w:p w14:paraId="5C9F7FE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备注</w:t>
            </w:r>
          </w:p>
        </w:tc>
      </w:tr>
      <w:tr w14:paraId="67BB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trPr>
        <w:tc>
          <w:tcPr>
            <w:tcW w:w="704" w:type="dxa"/>
            <w:tcBorders>
              <w:left w:val="single" w:color="auto" w:sz="12" w:space="0"/>
            </w:tcBorders>
            <w:vAlign w:val="center"/>
          </w:tcPr>
          <w:p w14:paraId="2EBFB497">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1</w:t>
            </w:r>
          </w:p>
        </w:tc>
        <w:tc>
          <w:tcPr>
            <w:tcW w:w="1605" w:type="dxa"/>
            <w:vAlign w:val="center"/>
          </w:tcPr>
          <w:p w14:paraId="0B7FD56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服务接入</w:t>
            </w:r>
          </w:p>
        </w:tc>
        <w:tc>
          <w:tcPr>
            <w:tcW w:w="5014" w:type="dxa"/>
            <w:vAlign w:val="center"/>
          </w:tcPr>
          <w:p w14:paraId="422AB45F">
            <w:pPr>
              <w:widowControl/>
              <w:spacing w:line="360" w:lineRule="auto"/>
              <w:rPr>
                <w:rFonts w:hint="eastAsia" w:ascii="宋体" w:hAnsi="宋体" w:eastAsia="宋体" w:cs="宋体"/>
                <w:bCs/>
                <w:szCs w:val="21"/>
              </w:rPr>
            </w:pPr>
            <w:r>
              <w:rPr>
                <w:rFonts w:hint="eastAsia" w:ascii="宋体" w:hAnsi="宋体" w:eastAsia="宋体" w:cs="宋体"/>
                <w:bCs/>
                <w:szCs w:val="21"/>
              </w:rPr>
              <w:t>1、客户请求：致电服务台人员、现场交办。在收到客户请求后都要第一时间告知服务台人员，由服务台人员统一对事件进行汇总、记录。</w:t>
            </w:r>
          </w:p>
          <w:p w14:paraId="7B568630">
            <w:pPr>
              <w:widowControl/>
              <w:spacing w:line="360" w:lineRule="auto"/>
              <w:rPr>
                <w:rFonts w:hint="eastAsia" w:ascii="宋体" w:hAnsi="宋体" w:eastAsia="宋体" w:cs="宋体"/>
                <w:bCs/>
                <w:szCs w:val="21"/>
              </w:rPr>
            </w:pPr>
            <w:r>
              <w:rPr>
                <w:rFonts w:hint="eastAsia" w:ascii="宋体" w:hAnsi="宋体" w:eastAsia="宋体" w:cs="宋体"/>
                <w:bCs/>
                <w:szCs w:val="21"/>
              </w:rPr>
              <w:t>2、巡检事件：由巡检人员在现场巡检时发现问题，并反馈至服务台人员。</w:t>
            </w:r>
          </w:p>
          <w:p w14:paraId="4166CBEF">
            <w:pPr>
              <w:widowControl/>
              <w:spacing w:line="360" w:lineRule="auto"/>
              <w:rPr>
                <w:rFonts w:hint="eastAsia" w:ascii="宋体" w:hAnsi="宋体" w:eastAsia="宋体" w:cs="宋体"/>
                <w:bCs/>
                <w:szCs w:val="21"/>
              </w:rPr>
            </w:pPr>
            <w:r>
              <w:rPr>
                <w:rFonts w:hint="eastAsia" w:ascii="宋体" w:hAnsi="宋体" w:eastAsia="宋体" w:cs="宋体"/>
                <w:bCs/>
                <w:szCs w:val="21"/>
              </w:rPr>
              <w:t>3、自动化运维检测</w:t>
            </w:r>
          </w:p>
        </w:tc>
        <w:tc>
          <w:tcPr>
            <w:tcW w:w="2025" w:type="dxa"/>
            <w:tcBorders>
              <w:right w:val="single" w:color="auto" w:sz="12" w:space="0"/>
            </w:tcBorders>
            <w:vAlign w:val="center"/>
          </w:tcPr>
          <w:p w14:paraId="1FAA6A44">
            <w:pPr>
              <w:widowControl/>
              <w:spacing w:line="360" w:lineRule="auto"/>
              <w:jc w:val="center"/>
              <w:rPr>
                <w:rFonts w:hint="eastAsia" w:ascii="宋体" w:hAnsi="宋体" w:eastAsia="宋体" w:cs="宋体"/>
                <w:bCs/>
                <w:szCs w:val="21"/>
              </w:rPr>
            </w:pPr>
          </w:p>
        </w:tc>
      </w:tr>
      <w:tr w14:paraId="6F49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04" w:type="dxa"/>
            <w:tcBorders>
              <w:left w:val="single" w:color="auto" w:sz="12" w:space="0"/>
            </w:tcBorders>
            <w:vAlign w:val="center"/>
          </w:tcPr>
          <w:p w14:paraId="1CAD547A">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2</w:t>
            </w:r>
          </w:p>
        </w:tc>
        <w:tc>
          <w:tcPr>
            <w:tcW w:w="1605" w:type="dxa"/>
            <w:vAlign w:val="center"/>
          </w:tcPr>
          <w:p w14:paraId="408E9D8B">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初步症断</w:t>
            </w:r>
          </w:p>
        </w:tc>
        <w:tc>
          <w:tcPr>
            <w:tcW w:w="5014" w:type="dxa"/>
            <w:vAlign w:val="center"/>
          </w:tcPr>
          <w:p w14:paraId="3A3EB371">
            <w:pPr>
              <w:widowControl/>
              <w:spacing w:line="360" w:lineRule="auto"/>
              <w:rPr>
                <w:rFonts w:hint="eastAsia" w:ascii="宋体" w:hAnsi="宋体" w:eastAsia="宋体" w:cs="宋体"/>
                <w:bCs/>
                <w:szCs w:val="21"/>
              </w:rPr>
            </w:pPr>
            <w:r>
              <w:rPr>
                <w:rFonts w:hint="eastAsia" w:ascii="宋体" w:hAnsi="宋体" w:eastAsia="宋体" w:cs="宋体"/>
                <w:bCs/>
                <w:szCs w:val="21"/>
              </w:rPr>
              <w:t>对事件进行初步的识别和分析和做好对应记录</w:t>
            </w:r>
          </w:p>
        </w:tc>
        <w:tc>
          <w:tcPr>
            <w:tcW w:w="2025" w:type="dxa"/>
            <w:tcBorders>
              <w:right w:val="single" w:color="auto" w:sz="12" w:space="0"/>
            </w:tcBorders>
            <w:vAlign w:val="center"/>
          </w:tcPr>
          <w:p w14:paraId="1276B6A4">
            <w:pPr>
              <w:widowControl/>
              <w:spacing w:line="360" w:lineRule="auto"/>
              <w:jc w:val="center"/>
              <w:rPr>
                <w:rFonts w:hint="eastAsia" w:ascii="宋体" w:hAnsi="宋体" w:eastAsia="宋体" w:cs="宋体"/>
                <w:bCs/>
                <w:szCs w:val="21"/>
              </w:rPr>
            </w:pPr>
          </w:p>
        </w:tc>
      </w:tr>
      <w:tr w14:paraId="1BC0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7103B5BC">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3</w:t>
            </w:r>
          </w:p>
        </w:tc>
        <w:tc>
          <w:tcPr>
            <w:tcW w:w="1605" w:type="dxa"/>
            <w:vAlign w:val="center"/>
          </w:tcPr>
          <w:p w14:paraId="365FD6B9">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记录事件填写（运维服务工单）任务派发</w:t>
            </w:r>
          </w:p>
        </w:tc>
        <w:tc>
          <w:tcPr>
            <w:tcW w:w="5014" w:type="dxa"/>
            <w:vAlign w:val="center"/>
          </w:tcPr>
          <w:p w14:paraId="15BD4091">
            <w:pPr>
              <w:widowControl/>
              <w:spacing w:line="360" w:lineRule="auto"/>
              <w:rPr>
                <w:rFonts w:hint="eastAsia" w:ascii="宋体" w:hAnsi="宋体" w:eastAsia="宋体" w:cs="宋体"/>
                <w:bCs/>
                <w:szCs w:val="21"/>
              </w:rPr>
            </w:pPr>
            <w:r>
              <w:rPr>
                <w:rFonts w:hint="eastAsia" w:ascii="宋体" w:hAnsi="宋体" w:eastAsia="宋体" w:cs="宋体"/>
                <w:bCs/>
                <w:szCs w:val="21"/>
              </w:rPr>
              <w:t>记录事件，并将信息转交给对应人员</w:t>
            </w:r>
          </w:p>
        </w:tc>
        <w:tc>
          <w:tcPr>
            <w:tcW w:w="2025" w:type="dxa"/>
            <w:tcBorders>
              <w:right w:val="single" w:color="auto" w:sz="12" w:space="0"/>
            </w:tcBorders>
            <w:vAlign w:val="center"/>
          </w:tcPr>
          <w:p w14:paraId="1862A77C">
            <w:pPr>
              <w:widowControl/>
              <w:spacing w:line="360" w:lineRule="auto"/>
              <w:jc w:val="center"/>
              <w:rPr>
                <w:rFonts w:hint="eastAsia" w:ascii="宋体" w:hAnsi="宋体" w:eastAsia="宋体" w:cs="宋体"/>
                <w:bCs/>
                <w:szCs w:val="21"/>
              </w:rPr>
            </w:pPr>
          </w:p>
        </w:tc>
      </w:tr>
      <w:tr w14:paraId="7F01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3180443A">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4</w:t>
            </w:r>
          </w:p>
        </w:tc>
        <w:tc>
          <w:tcPr>
            <w:tcW w:w="1605" w:type="dxa"/>
            <w:vAlign w:val="center"/>
          </w:tcPr>
          <w:p w14:paraId="20C63851">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运维服务组各组解决故障</w:t>
            </w:r>
          </w:p>
        </w:tc>
        <w:tc>
          <w:tcPr>
            <w:tcW w:w="5014" w:type="dxa"/>
            <w:vAlign w:val="center"/>
          </w:tcPr>
          <w:p w14:paraId="6F6B4DB2">
            <w:pPr>
              <w:widowControl/>
              <w:spacing w:line="360" w:lineRule="auto"/>
              <w:rPr>
                <w:rFonts w:hint="eastAsia" w:ascii="宋体" w:hAnsi="宋体" w:eastAsia="宋体" w:cs="宋体"/>
                <w:bCs/>
                <w:szCs w:val="21"/>
              </w:rPr>
            </w:pPr>
            <w:r>
              <w:rPr>
                <w:rFonts w:hint="eastAsia" w:ascii="宋体" w:hAnsi="宋体" w:eastAsia="宋体" w:cs="宋体"/>
                <w:bCs/>
                <w:szCs w:val="21"/>
              </w:rPr>
              <w:t>运维服务组接受信息后分析原因和解决办法</w:t>
            </w:r>
          </w:p>
        </w:tc>
        <w:tc>
          <w:tcPr>
            <w:tcW w:w="2025" w:type="dxa"/>
            <w:tcBorders>
              <w:right w:val="single" w:color="auto" w:sz="12" w:space="0"/>
            </w:tcBorders>
            <w:vAlign w:val="center"/>
          </w:tcPr>
          <w:p w14:paraId="02909071">
            <w:pPr>
              <w:widowControl/>
              <w:spacing w:line="360" w:lineRule="auto"/>
              <w:jc w:val="center"/>
              <w:rPr>
                <w:rFonts w:hint="eastAsia" w:ascii="宋体" w:hAnsi="宋体" w:eastAsia="宋体" w:cs="宋体"/>
                <w:bCs/>
                <w:szCs w:val="21"/>
              </w:rPr>
            </w:pPr>
          </w:p>
        </w:tc>
      </w:tr>
      <w:tr w14:paraId="4615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07D6415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5</w:t>
            </w:r>
          </w:p>
        </w:tc>
        <w:tc>
          <w:tcPr>
            <w:tcW w:w="1605" w:type="dxa"/>
            <w:vAlign w:val="center"/>
          </w:tcPr>
          <w:p w14:paraId="4194CFEA">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运维服务组派人上门处理</w:t>
            </w:r>
          </w:p>
        </w:tc>
        <w:tc>
          <w:tcPr>
            <w:tcW w:w="5014" w:type="dxa"/>
            <w:vAlign w:val="center"/>
          </w:tcPr>
          <w:p w14:paraId="04F917C8">
            <w:pPr>
              <w:widowControl/>
              <w:spacing w:line="360" w:lineRule="auto"/>
              <w:rPr>
                <w:rFonts w:hint="eastAsia" w:ascii="宋体" w:hAnsi="宋体" w:eastAsia="宋体" w:cs="宋体"/>
                <w:bCs/>
                <w:szCs w:val="21"/>
              </w:rPr>
            </w:pPr>
            <w:r>
              <w:rPr>
                <w:rFonts w:hint="eastAsia" w:ascii="宋体" w:hAnsi="宋体" w:eastAsia="宋体" w:cs="宋体"/>
                <w:bCs/>
                <w:szCs w:val="21"/>
              </w:rPr>
              <w:t>运维人员或技术人员处理问题，服务台监控进度</w:t>
            </w:r>
          </w:p>
        </w:tc>
        <w:tc>
          <w:tcPr>
            <w:tcW w:w="2025" w:type="dxa"/>
            <w:tcBorders>
              <w:right w:val="single" w:color="auto" w:sz="12" w:space="0"/>
            </w:tcBorders>
            <w:vAlign w:val="center"/>
          </w:tcPr>
          <w:p w14:paraId="631209FA">
            <w:pPr>
              <w:widowControl/>
              <w:spacing w:line="360" w:lineRule="auto"/>
              <w:jc w:val="center"/>
              <w:rPr>
                <w:rFonts w:hint="eastAsia" w:ascii="宋体" w:hAnsi="宋体" w:eastAsia="宋体" w:cs="宋体"/>
                <w:bCs/>
                <w:szCs w:val="21"/>
              </w:rPr>
            </w:pPr>
          </w:p>
        </w:tc>
      </w:tr>
      <w:tr w14:paraId="101F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4911F86A">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6</w:t>
            </w:r>
          </w:p>
        </w:tc>
        <w:tc>
          <w:tcPr>
            <w:tcW w:w="1605" w:type="dxa"/>
            <w:vAlign w:val="center"/>
          </w:tcPr>
          <w:p w14:paraId="5173D6F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服务台接收处理结果</w:t>
            </w:r>
          </w:p>
        </w:tc>
        <w:tc>
          <w:tcPr>
            <w:tcW w:w="5014" w:type="dxa"/>
            <w:vAlign w:val="center"/>
          </w:tcPr>
          <w:p w14:paraId="640AC77A">
            <w:pPr>
              <w:widowControl/>
              <w:spacing w:line="360" w:lineRule="auto"/>
              <w:rPr>
                <w:rFonts w:hint="eastAsia" w:ascii="宋体" w:hAnsi="宋体" w:eastAsia="宋体" w:cs="宋体"/>
                <w:bCs/>
                <w:szCs w:val="21"/>
              </w:rPr>
            </w:pPr>
            <w:r>
              <w:rPr>
                <w:rFonts w:hint="eastAsia" w:ascii="宋体" w:hAnsi="宋体" w:eastAsia="宋体" w:cs="宋体"/>
                <w:bCs/>
                <w:szCs w:val="21"/>
              </w:rPr>
              <w:t>事件处理人员将处理结果反馈给服务台，并由服务台完成对应记录等工作</w:t>
            </w:r>
          </w:p>
        </w:tc>
        <w:tc>
          <w:tcPr>
            <w:tcW w:w="2025" w:type="dxa"/>
            <w:tcBorders>
              <w:right w:val="single" w:color="auto" w:sz="12" w:space="0"/>
            </w:tcBorders>
            <w:vAlign w:val="center"/>
          </w:tcPr>
          <w:p w14:paraId="0C9375EE">
            <w:pPr>
              <w:widowControl/>
              <w:spacing w:line="360" w:lineRule="auto"/>
              <w:jc w:val="center"/>
              <w:rPr>
                <w:rFonts w:hint="eastAsia" w:ascii="宋体" w:hAnsi="宋体" w:eastAsia="宋体" w:cs="宋体"/>
                <w:bCs/>
                <w:szCs w:val="21"/>
              </w:rPr>
            </w:pPr>
          </w:p>
        </w:tc>
      </w:tr>
      <w:tr w14:paraId="51B2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31F1EC46">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7</w:t>
            </w:r>
          </w:p>
        </w:tc>
        <w:tc>
          <w:tcPr>
            <w:tcW w:w="1605" w:type="dxa"/>
            <w:vAlign w:val="center"/>
          </w:tcPr>
          <w:p w14:paraId="29020D20">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完善服务清单</w:t>
            </w:r>
          </w:p>
        </w:tc>
        <w:tc>
          <w:tcPr>
            <w:tcW w:w="5014" w:type="dxa"/>
            <w:vAlign w:val="center"/>
          </w:tcPr>
          <w:p w14:paraId="4EBE5A58">
            <w:pPr>
              <w:widowControl/>
              <w:spacing w:line="360" w:lineRule="auto"/>
              <w:rPr>
                <w:rFonts w:hint="eastAsia" w:ascii="宋体" w:hAnsi="宋体" w:eastAsia="宋体" w:cs="宋体"/>
                <w:bCs/>
                <w:szCs w:val="21"/>
              </w:rPr>
            </w:pPr>
            <w:r>
              <w:rPr>
                <w:rFonts w:hint="eastAsia" w:ascii="宋体" w:hAnsi="宋体" w:eastAsia="宋体" w:cs="宋体"/>
                <w:bCs/>
                <w:color w:val="000000"/>
                <w:szCs w:val="21"/>
              </w:rPr>
              <w:t>将事件进行分类总结经审核通过后纳入知识库并启动记录管理流程</w:t>
            </w:r>
          </w:p>
        </w:tc>
        <w:tc>
          <w:tcPr>
            <w:tcW w:w="2025" w:type="dxa"/>
            <w:tcBorders>
              <w:right w:val="single" w:color="auto" w:sz="12" w:space="0"/>
            </w:tcBorders>
            <w:vAlign w:val="center"/>
          </w:tcPr>
          <w:p w14:paraId="779CB40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服务台通过知识库获得最直接的帮助，并定期对知识库的内容进行扩充、整理，从而可方便、快捷的处理服务请求和事件，提高服务效率和质量</w:t>
            </w:r>
          </w:p>
        </w:tc>
      </w:tr>
      <w:tr w14:paraId="4618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tcBorders>
            <w:vAlign w:val="center"/>
          </w:tcPr>
          <w:p w14:paraId="5461D0EC">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8</w:t>
            </w:r>
          </w:p>
        </w:tc>
        <w:tc>
          <w:tcPr>
            <w:tcW w:w="1605" w:type="dxa"/>
            <w:vAlign w:val="center"/>
          </w:tcPr>
          <w:p w14:paraId="4798C94C">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完善回访</w:t>
            </w:r>
          </w:p>
        </w:tc>
        <w:tc>
          <w:tcPr>
            <w:tcW w:w="5014" w:type="dxa"/>
            <w:vAlign w:val="center"/>
          </w:tcPr>
          <w:p w14:paraId="4B6F4119">
            <w:pPr>
              <w:widowControl/>
              <w:spacing w:line="360" w:lineRule="auto"/>
              <w:rPr>
                <w:rFonts w:hint="eastAsia" w:ascii="宋体" w:hAnsi="宋体" w:eastAsia="宋体" w:cs="宋体"/>
                <w:bCs/>
                <w:szCs w:val="21"/>
              </w:rPr>
            </w:pPr>
            <w:r>
              <w:rPr>
                <w:rFonts w:hint="eastAsia" w:ascii="宋体" w:hAnsi="宋体" w:eastAsia="宋体" w:cs="宋体"/>
                <w:bCs/>
                <w:szCs w:val="21"/>
              </w:rPr>
              <w:t>对用户进行回访,交流服务中的优势与不足提出整改方案并启动反馈管理流程</w:t>
            </w:r>
          </w:p>
        </w:tc>
        <w:tc>
          <w:tcPr>
            <w:tcW w:w="2025" w:type="dxa"/>
            <w:tcBorders>
              <w:right w:val="single" w:color="auto" w:sz="12" w:space="0"/>
            </w:tcBorders>
            <w:vAlign w:val="center"/>
          </w:tcPr>
          <w:p w14:paraId="062149C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输出《用户反馈记录》</w:t>
            </w:r>
          </w:p>
        </w:tc>
      </w:tr>
      <w:tr w14:paraId="3CF7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04" w:type="dxa"/>
            <w:tcBorders>
              <w:left w:val="single" w:color="auto" w:sz="12" w:space="0"/>
              <w:bottom w:val="single" w:color="auto" w:sz="12" w:space="0"/>
            </w:tcBorders>
            <w:vAlign w:val="center"/>
          </w:tcPr>
          <w:p w14:paraId="28AEBC3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9</w:t>
            </w:r>
          </w:p>
        </w:tc>
        <w:tc>
          <w:tcPr>
            <w:tcW w:w="1605" w:type="dxa"/>
            <w:tcBorders>
              <w:bottom w:val="single" w:color="auto" w:sz="12" w:space="0"/>
            </w:tcBorders>
            <w:vAlign w:val="center"/>
          </w:tcPr>
          <w:p w14:paraId="5276AEF1">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事件关闭</w:t>
            </w:r>
          </w:p>
        </w:tc>
        <w:tc>
          <w:tcPr>
            <w:tcW w:w="5014" w:type="dxa"/>
            <w:tcBorders>
              <w:bottom w:val="single" w:color="auto" w:sz="12" w:space="0"/>
            </w:tcBorders>
            <w:vAlign w:val="center"/>
          </w:tcPr>
          <w:p w14:paraId="2E223928">
            <w:pPr>
              <w:widowControl/>
              <w:spacing w:line="360" w:lineRule="auto"/>
              <w:rPr>
                <w:rFonts w:hint="eastAsia" w:ascii="宋体" w:hAnsi="宋体" w:eastAsia="宋体" w:cs="宋体"/>
                <w:bCs/>
                <w:szCs w:val="21"/>
              </w:rPr>
            </w:pPr>
            <w:r>
              <w:rPr>
                <w:rFonts w:hint="eastAsia" w:ascii="宋体" w:hAnsi="宋体" w:eastAsia="宋体" w:cs="宋体"/>
                <w:bCs/>
                <w:szCs w:val="21"/>
              </w:rPr>
              <w:t>服务台最终关闭事件</w:t>
            </w:r>
          </w:p>
        </w:tc>
        <w:tc>
          <w:tcPr>
            <w:tcW w:w="2025" w:type="dxa"/>
            <w:tcBorders>
              <w:bottom w:val="single" w:color="auto" w:sz="12" w:space="0"/>
              <w:right w:val="single" w:color="auto" w:sz="12" w:space="0"/>
            </w:tcBorders>
            <w:vAlign w:val="center"/>
          </w:tcPr>
          <w:p w14:paraId="71F772B1">
            <w:pPr>
              <w:widowControl/>
              <w:spacing w:line="360" w:lineRule="auto"/>
              <w:jc w:val="center"/>
              <w:rPr>
                <w:rFonts w:hint="eastAsia" w:ascii="宋体" w:hAnsi="宋体" w:eastAsia="宋体" w:cs="宋体"/>
                <w:bCs/>
                <w:szCs w:val="21"/>
              </w:rPr>
            </w:pPr>
          </w:p>
        </w:tc>
      </w:tr>
    </w:tbl>
    <w:p w14:paraId="0F876E8A">
      <w:pPr>
        <w:spacing w:after="120" w:line="360" w:lineRule="auto"/>
        <w:ind w:firstLine="210" w:firstLineChars="100"/>
        <w:rPr>
          <w:rFonts w:hint="eastAsia" w:ascii="宋体" w:hAnsi="宋体" w:eastAsia="宋体" w:cs="宋体"/>
          <w:szCs w:val="21"/>
        </w:rPr>
      </w:pPr>
    </w:p>
    <w:p w14:paraId="59A86E03">
      <w:pPr>
        <w:spacing w:line="360" w:lineRule="auto"/>
        <w:ind w:firstLine="420" w:firstLineChars="200"/>
        <w:rPr>
          <w:rFonts w:hint="eastAsia" w:ascii="宋体" w:hAnsi="宋体" w:eastAsia="宋体" w:cs="宋体"/>
          <w:szCs w:val="21"/>
        </w:rPr>
      </w:pPr>
      <w:bookmarkStart w:id="345" w:name="_Toc486833515"/>
      <w:r>
        <w:rPr>
          <w:rFonts w:hint="eastAsia" w:ascii="宋体" w:hAnsi="宋体" w:eastAsia="宋体" w:cs="宋体"/>
          <w:szCs w:val="21"/>
        </w:rPr>
        <w:t>2、客服工作台监督与考核管理</w:t>
      </w:r>
      <w:bookmarkEnd w:id="345"/>
    </w:p>
    <w:p w14:paraId="2D9146A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为及时发现问题并进行整改，保证客服工作台能持续满足要求，定期对客服工作台工作情况进行总结与评估，各个负责人再根据用户反馈的消息对员工进行打分评定，记入绩效考核。客服服务考核分为通话考核与总体服务目标考核两级进行考核。</w:t>
      </w:r>
    </w:p>
    <w:p w14:paraId="39512FA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客服通话服务考核标准（满分100分）：</w:t>
      </w:r>
    </w:p>
    <w:tbl>
      <w:tblPr>
        <w:tblStyle w:val="40"/>
        <w:tblW w:w="0" w:type="auto"/>
        <w:jc w:val="center"/>
        <w:tblLayout w:type="fixed"/>
        <w:tblCellMar>
          <w:top w:w="0" w:type="dxa"/>
          <w:left w:w="0" w:type="dxa"/>
          <w:bottom w:w="0" w:type="dxa"/>
          <w:right w:w="0" w:type="dxa"/>
        </w:tblCellMar>
      </w:tblPr>
      <w:tblGrid>
        <w:gridCol w:w="1000"/>
        <w:gridCol w:w="1000"/>
        <w:gridCol w:w="6453"/>
        <w:gridCol w:w="662"/>
      </w:tblGrid>
      <w:tr w14:paraId="79A44CFD">
        <w:tblPrEx>
          <w:tblCellMar>
            <w:top w:w="0" w:type="dxa"/>
            <w:left w:w="0" w:type="dxa"/>
            <w:bottom w:w="0" w:type="dxa"/>
            <w:right w:w="0" w:type="dxa"/>
          </w:tblCellMar>
        </w:tblPrEx>
        <w:trPr>
          <w:trHeight w:val="210" w:hRule="atLeast"/>
          <w:jc w:val="center"/>
        </w:trPr>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7A9E7E45">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考核项目</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2D5F2463">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考核指标</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3603C59A">
            <w:pPr>
              <w:widowControl/>
              <w:spacing w:line="360" w:lineRule="auto"/>
              <w:jc w:val="center"/>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考核标准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49C08467">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分值</w:t>
            </w:r>
          </w:p>
        </w:tc>
      </w:tr>
      <w:tr w14:paraId="60240575">
        <w:tblPrEx>
          <w:tblCellMar>
            <w:top w:w="0" w:type="dxa"/>
            <w:left w:w="0" w:type="dxa"/>
            <w:bottom w:w="0" w:type="dxa"/>
            <w:right w:w="0" w:type="dxa"/>
          </w:tblCellMar>
        </w:tblPrEx>
        <w:trPr>
          <w:trHeight w:val="210" w:hRule="atLeast"/>
          <w:jc w:val="center"/>
        </w:trPr>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2F2A837E">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服务质量标准（共39分）</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0D033CBD">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服务态度及服务用语</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503DC878">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1、语音：语音清晰，声音亲切柔和，语速适中，吐字清楚，不拖不抢，标准普通话； </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6D408B11">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5C751432">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0F24420">
            <w:pPr>
              <w:spacing w:line="360" w:lineRule="auto"/>
              <w:jc w:val="center"/>
              <w:rPr>
                <w:rFonts w:hint="eastAsia" w:ascii="宋体" w:hAnsi="宋体" w:eastAsia="宋体" w:cs="宋体"/>
                <w:b/>
                <w:bCs/>
                <w:color w:val="000000"/>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492C6BAC">
            <w:pPr>
              <w:spacing w:line="360" w:lineRule="auto"/>
              <w:jc w:val="center"/>
              <w:rPr>
                <w:rFonts w:hint="eastAsia" w:ascii="宋体" w:hAnsi="宋体" w:eastAsia="宋体" w:cs="宋体"/>
                <w:color w:val="000000"/>
                <w:szCs w:val="21"/>
              </w:rPr>
            </w:pP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482B7C7A">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2、服务态度：态度热情，回答耐心，应答过程中无客户不满意表现；</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475329BD">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5</w:t>
            </w:r>
          </w:p>
        </w:tc>
      </w:tr>
      <w:tr w14:paraId="01F89137">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294A885">
            <w:pPr>
              <w:spacing w:line="360" w:lineRule="auto"/>
              <w:jc w:val="center"/>
              <w:rPr>
                <w:rFonts w:hint="eastAsia" w:ascii="宋体" w:hAnsi="宋体" w:eastAsia="宋体" w:cs="宋体"/>
                <w:b/>
                <w:bCs/>
                <w:color w:val="000000"/>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C11AE6F">
            <w:pPr>
              <w:spacing w:line="360" w:lineRule="auto"/>
              <w:jc w:val="center"/>
              <w:rPr>
                <w:rFonts w:hint="eastAsia" w:ascii="宋体" w:hAnsi="宋体" w:eastAsia="宋体" w:cs="宋体"/>
                <w:color w:val="000000"/>
                <w:szCs w:val="21"/>
              </w:rPr>
            </w:pP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7D5DDA65">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3、用语规范：受理过程中严格按照标准用语应答，不省略、不删改，无口头语及禁用语。</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1490617C">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5653BBE6">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7E7A32D">
            <w:pPr>
              <w:spacing w:line="360" w:lineRule="auto"/>
              <w:jc w:val="center"/>
              <w:rPr>
                <w:rFonts w:hint="eastAsia" w:ascii="宋体" w:hAnsi="宋体" w:eastAsia="宋体" w:cs="宋体"/>
                <w:b/>
                <w:bCs/>
                <w:color w:val="000000"/>
                <w:szCs w:val="21"/>
              </w:rPr>
            </w:pP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4C6BD808">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业务处理能力</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604B7DDA">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1、表达能力：熟练掌握业务知识，要求即问即答，无需查找，回答准确无误。</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4B27F0F5">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0AF6DD27">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55C38AD">
            <w:pPr>
              <w:spacing w:line="360" w:lineRule="auto"/>
              <w:jc w:val="center"/>
              <w:rPr>
                <w:rFonts w:hint="eastAsia" w:ascii="宋体" w:hAnsi="宋体" w:eastAsia="宋体" w:cs="宋体"/>
                <w:b/>
                <w:bCs/>
                <w:color w:val="000000"/>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DF721B0">
            <w:pPr>
              <w:spacing w:line="360" w:lineRule="auto"/>
              <w:jc w:val="center"/>
              <w:rPr>
                <w:rFonts w:hint="eastAsia" w:ascii="宋体" w:hAnsi="宋体" w:eastAsia="宋体" w:cs="宋体"/>
                <w:color w:val="000000"/>
                <w:szCs w:val="21"/>
              </w:rPr>
            </w:pP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2CD41270">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2、理解能力：对新业务知识和有关通知，进行学习掌握，并能够正确地解答客户的咨询</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5ED420B0">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121058E6">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B8ED325">
            <w:pPr>
              <w:spacing w:line="360" w:lineRule="auto"/>
              <w:jc w:val="center"/>
              <w:rPr>
                <w:rFonts w:hint="eastAsia" w:ascii="宋体" w:hAnsi="宋体" w:eastAsia="宋体" w:cs="宋体"/>
                <w:b/>
                <w:bCs/>
                <w:color w:val="000000"/>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71471232">
            <w:pPr>
              <w:spacing w:line="360" w:lineRule="auto"/>
              <w:jc w:val="center"/>
              <w:rPr>
                <w:rFonts w:hint="eastAsia" w:ascii="宋体" w:hAnsi="宋体" w:eastAsia="宋体" w:cs="宋体"/>
                <w:color w:val="000000"/>
                <w:szCs w:val="21"/>
              </w:rPr>
            </w:pP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4E920D9C">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3、应变能力：需妥善地解决客户的投诉和咨询，并且在规定的时限内将反馈信息答复客户</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542106D7">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1ADDE7E4">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82F2D86">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4F22978">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保密意识</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92DDED9">
            <w:pPr>
              <w:widowControl/>
              <w:spacing w:line="360" w:lineRule="auto"/>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需严格遵守企业的保密制度，不得以任何形式泄露商业秘密或向无关人员谈论相关事项。</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2FCB0725">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8</w:t>
            </w:r>
          </w:p>
        </w:tc>
      </w:tr>
      <w:tr w14:paraId="257B0224">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4E15DA50">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76509A7">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执行能力</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3A30164C">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对客服主管发现、提出关于服务过程中的相关问题，及时改进，提高服务水平。</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61D43826">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09083FAF">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7B0DEDF9">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06F73EC">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接线质量</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2EBF185A">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每个月平均电话量排名 第一名8分、第二名6分、第三名及以后3分。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7415F295">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8</w:t>
            </w:r>
          </w:p>
        </w:tc>
      </w:tr>
      <w:tr w14:paraId="585E8153">
        <w:tblPrEx>
          <w:tblCellMar>
            <w:top w:w="0" w:type="dxa"/>
            <w:left w:w="0" w:type="dxa"/>
            <w:bottom w:w="0" w:type="dxa"/>
            <w:right w:w="0" w:type="dxa"/>
          </w:tblCellMar>
        </w:tblPrEx>
        <w:trPr>
          <w:trHeight w:val="210" w:hRule="atLeast"/>
          <w:jc w:val="center"/>
        </w:trPr>
        <w:tc>
          <w:tcPr>
            <w:tcW w:w="1000" w:type="dxa"/>
            <w:vMerge w:val="restart"/>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1C7FD24D">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综合服务 （共52分）</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6EB39083">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通话平均时长</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79BBE8CC">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低于本班次通话平均时长，得6分；高于本班次通话平均时长 5 秒以内得4分；高于本班次通话平均时长 10 秒以内得2 分，10 秒以上不得分。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38DEDA03">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6</w:t>
            </w:r>
          </w:p>
        </w:tc>
      </w:tr>
      <w:tr w14:paraId="529A9C59">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3C943DFF">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E1B283F">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小休时长</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12E3ACBD">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每个月平均小休时长低于平均时长6分，高于平均时长第一名名4分、第二名及以后2分。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43669CCF">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6</w:t>
            </w:r>
          </w:p>
        </w:tc>
      </w:tr>
      <w:tr w14:paraId="339C64A7">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106CD26F">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9D1A678">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平均话后处理时长</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3AEC21A3">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平均话后处理时长≤ 30 秒，得6 分；30秒＜平均话后处理时长≤ 50 秒，得 4 分；50秒＜平均话后处理时长≤ 60 秒，得2 分；平均话后处理时长＞ 60 秒，不得分。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0FD32E1A">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6</w:t>
            </w:r>
          </w:p>
        </w:tc>
      </w:tr>
      <w:tr w14:paraId="0346205C">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11CE1FE8">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2BAAB477">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总在线时长</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4EDA0103">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在线时长高于平均时长8分，低于平均时长第一名名4分、第二名及以后2分。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1C65AA62">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8</w:t>
            </w:r>
          </w:p>
        </w:tc>
      </w:tr>
      <w:tr w14:paraId="1D657DDA">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34542A16">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BDF5E78">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坐席利用率</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6337EF38">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坐席利用率≥65% 得3分 坐席利用率≥50% 得2分 坐席利用率＜50% 不得分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73E11813">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04E882A8">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5999CBDE">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7C2EDBE9">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被用户投诉</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2CB778CD">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因客服原因被用户投诉：投诉0次（15分）； 投诉1次（0 分），投诉2次及以上（-10分）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15A20D64">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15</w:t>
            </w:r>
          </w:p>
        </w:tc>
      </w:tr>
      <w:tr w14:paraId="31506E70">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66E92BE3">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A45A0E6">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满意度</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7C3A4D93">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满意度≥99%得 4分；满意度≥97%得 3分；满意度≥95% 得 2分；满意度＜95%不得分。 </w:t>
            </w: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（若满意度均为100%：每个月发送满意度量排名 第一名4分、第二名3分、第三名及以后2分。）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63BEFF2E">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4</w:t>
            </w:r>
          </w:p>
        </w:tc>
      </w:tr>
      <w:tr w14:paraId="3A3B2E57">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right w:val="single" w:color="000000" w:sz="4" w:space="0"/>
            </w:tcBorders>
            <w:shd w:val="clear" w:color="auto" w:fill="auto"/>
            <w:tcMar>
              <w:top w:w="20" w:type="dxa"/>
              <w:left w:w="30" w:type="dxa"/>
              <w:bottom w:w="20" w:type="dxa"/>
              <w:right w:w="30" w:type="dxa"/>
            </w:tcMar>
            <w:vAlign w:val="center"/>
          </w:tcPr>
          <w:p w14:paraId="75A999A6">
            <w:pPr>
              <w:spacing w:line="360" w:lineRule="auto"/>
              <w:jc w:val="center"/>
              <w:rPr>
                <w:rFonts w:hint="eastAsia" w:ascii="宋体" w:hAnsi="宋体" w:eastAsia="宋体" w:cs="宋体"/>
                <w:b/>
                <w:bCs/>
                <w:color w:val="000000"/>
                <w:szCs w:val="21"/>
              </w:rPr>
            </w:pPr>
          </w:p>
        </w:tc>
        <w:tc>
          <w:tcPr>
            <w:tcW w:w="1000" w:type="dxa"/>
            <w:tcBorders>
              <w:left w:val="single" w:color="000000" w:sz="4" w:space="0"/>
              <w:right w:val="single" w:color="000000" w:sz="4" w:space="0"/>
            </w:tcBorders>
            <w:shd w:val="clear" w:color="auto" w:fill="auto"/>
            <w:tcMar>
              <w:top w:w="20" w:type="dxa"/>
              <w:left w:w="30" w:type="dxa"/>
              <w:bottom w:w="20" w:type="dxa"/>
              <w:right w:w="30" w:type="dxa"/>
            </w:tcMar>
            <w:vAlign w:val="center"/>
          </w:tcPr>
          <w:p w14:paraId="067862C7">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不满意</w:t>
            </w:r>
          </w:p>
        </w:tc>
        <w:tc>
          <w:tcPr>
            <w:tcW w:w="6453" w:type="dxa"/>
            <w:shd w:val="clear" w:color="auto" w:fill="auto"/>
            <w:tcMar>
              <w:top w:w="20" w:type="dxa"/>
              <w:left w:w="30" w:type="dxa"/>
              <w:bottom w:w="20" w:type="dxa"/>
              <w:right w:w="30" w:type="dxa"/>
            </w:tcMar>
          </w:tcPr>
          <w:p w14:paraId="53722E4E">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不满意量≤总不满意量10% 得4分，不满意量＞10% 2分，不满意量＞20% 得0分，不满意量＞30% 得-2分</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5E674126">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4</w:t>
            </w:r>
          </w:p>
        </w:tc>
      </w:tr>
      <w:tr w14:paraId="3B7B9EA6">
        <w:tblPrEx>
          <w:tblCellMar>
            <w:top w:w="0" w:type="dxa"/>
            <w:left w:w="0" w:type="dxa"/>
            <w:bottom w:w="0" w:type="dxa"/>
            <w:right w:w="0" w:type="dxa"/>
          </w:tblCellMar>
        </w:tblPrEx>
        <w:trPr>
          <w:trHeight w:val="210" w:hRule="atLeast"/>
          <w:jc w:val="center"/>
        </w:trPr>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0B6D89CA">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其他项</w:t>
            </w:r>
            <w:r>
              <w:rPr>
                <w:rFonts w:hint="eastAsia" w:ascii="宋体" w:hAnsi="宋体" w:eastAsia="宋体" w:cs="宋体"/>
                <w:b/>
                <w:bCs/>
                <w:color w:val="000000"/>
                <w:kern w:val="0"/>
                <w:szCs w:val="21"/>
                <w:lang w:bidi="ar"/>
              </w:rPr>
              <w:br w:type="textWrapping"/>
            </w:r>
            <w:r>
              <w:rPr>
                <w:rFonts w:hint="eastAsia" w:ascii="宋体" w:hAnsi="宋体" w:eastAsia="宋体" w:cs="宋体"/>
                <w:b/>
                <w:bCs/>
                <w:color w:val="000000"/>
                <w:kern w:val="0"/>
                <w:szCs w:val="21"/>
                <w:lang w:bidi="ar"/>
              </w:rPr>
              <w:t>（共9分）</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044BB71E">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上班纪律</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67BCBE3B">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上班时间不得随意离工作开岗位、正确使用功能、人走线停，去厕所、闲聊天、未申请小休，一经发现 -1分，以此类推。 </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4EDAD073">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1EB201FB">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10821C1A">
            <w:pPr>
              <w:spacing w:line="360" w:lineRule="auto"/>
              <w:jc w:val="center"/>
              <w:rPr>
                <w:rFonts w:hint="eastAsia" w:ascii="宋体" w:hAnsi="宋体" w:eastAsia="宋体" w:cs="宋体"/>
                <w:b/>
                <w:bCs/>
                <w:color w:val="000000"/>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6A7CC418">
            <w:pPr>
              <w:spacing w:line="360" w:lineRule="auto"/>
              <w:jc w:val="center"/>
              <w:rPr>
                <w:rFonts w:hint="eastAsia" w:ascii="宋体" w:hAnsi="宋体" w:eastAsia="宋体" w:cs="宋体"/>
                <w:color w:val="000000"/>
                <w:szCs w:val="21"/>
              </w:rPr>
            </w:pP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4F7BC4D4">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服从安排、听从指挥，不得怠工或煽动他人，不得在工作时间玩手机，接线时不得吃东西喝水，一经发现 -1分，以此类推。</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5A3AD95F">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r w14:paraId="2AB7DD12">
        <w:tblPrEx>
          <w:tblCellMar>
            <w:top w:w="0" w:type="dxa"/>
            <w:left w:w="0" w:type="dxa"/>
            <w:bottom w:w="0" w:type="dxa"/>
            <w:right w:w="0" w:type="dxa"/>
          </w:tblCellMar>
        </w:tblPrEx>
        <w:trPr>
          <w:trHeight w:val="210" w:hRule="atLeast"/>
          <w:jc w:val="center"/>
        </w:trPr>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2E02C650">
            <w:pPr>
              <w:spacing w:line="360" w:lineRule="auto"/>
              <w:jc w:val="center"/>
              <w:rPr>
                <w:rFonts w:hint="eastAsia" w:ascii="宋体" w:hAnsi="宋体" w:eastAsia="宋体" w:cs="宋体"/>
                <w:b/>
                <w:bCs/>
                <w:color w:val="000000"/>
                <w:szCs w:val="21"/>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vAlign w:val="center"/>
          </w:tcPr>
          <w:p w14:paraId="3B7EB385">
            <w:pPr>
              <w:widowControl/>
              <w:spacing w:line="360" w:lineRule="auto"/>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工单规范</w:t>
            </w:r>
          </w:p>
        </w:tc>
        <w:tc>
          <w:tcPr>
            <w:tcW w:w="6453" w:type="dxa"/>
            <w:tcBorders>
              <w:top w:val="single" w:color="000000" w:sz="4" w:space="0"/>
              <w:left w:val="single" w:color="000000" w:sz="4" w:space="0"/>
              <w:bottom w:val="single" w:color="000000" w:sz="4" w:space="0"/>
              <w:right w:val="single" w:color="000000" w:sz="4" w:space="0"/>
            </w:tcBorders>
            <w:shd w:val="clear" w:color="auto" w:fill="auto"/>
            <w:tcMar>
              <w:top w:w="20" w:type="dxa"/>
              <w:left w:w="30" w:type="dxa"/>
              <w:bottom w:w="20" w:type="dxa"/>
              <w:right w:w="30" w:type="dxa"/>
            </w:tcMar>
          </w:tcPr>
          <w:p w14:paraId="06B9C199">
            <w:pPr>
              <w:widowControl/>
              <w:spacing w:line="360" w:lineRule="auto"/>
              <w:jc w:val="left"/>
              <w:textAlignment w:val="top"/>
              <w:rPr>
                <w:rFonts w:hint="eastAsia" w:ascii="宋体" w:hAnsi="宋体" w:eastAsia="宋体" w:cs="宋体"/>
                <w:color w:val="000000"/>
                <w:szCs w:val="21"/>
              </w:rPr>
            </w:pPr>
            <w:r>
              <w:rPr>
                <w:rFonts w:hint="eastAsia" w:ascii="宋体" w:hAnsi="宋体" w:eastAsia="宋体" w:cs="宋体"/>
                <w:color w:val="000000"/>
                <w:kern w:val="0"/>
                <w:szCs w:val="21"/>
                <w:lang w:bidi="ar"/>
              </w:rPr>
              <w:t>发现工单不规范一次 -1分，以此类推。</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20" w:type="dxa"/>
              <w:left w:w="30" w:type="dxa"/>
              <w:bottom w:w="20" w:type="dxa"/>
              <w:right w:w="30" w:type="dxa"/>
            </w:tcMar>
            <w:vAlign w:val="center"/>
          </w:tcPr>
          <w:p w14:paraId="1F44BA9D">
            <w:pPr>
              <w:widowControl/>
              <w:spacing w:line="360" w:lineRule="auto"/>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3</w:t>
            </w:r>
          </w:p>
        </w:tc>
      </w:tr>
    </w:tbl>
    <w:p w14:paraId="6AA8D2AE">
      <w:pPr>
        <w:spacing w:line="360" w:lineRule="auto"/>
        <w:ind w:firstLine="420" w:firstLineChars="200"/>
        <w:rPr>
          <w:rFonts w:hint="eastAsia" w:ascii="宋体" w:hAnsi="宋体" w:eastAsia="宋体" w:cs="宋体"/>
          <w:szCs w:val="21"/>
        </w:rPr>
      </w:pPr>
    </w:p>
    <w:p w14:paraId="69A7409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客服接线总体服务考核目标：</w:t>
      </w:r>
    </w:p>
    <w:tbl>
      <w:tblPr>
        <w:tblStyle w:val="40"/>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268"/>
        <w:gridCol w:w="4090"/>
        <w:gridCol w:w="1635"/>
      </w:tblGrid>
      <w:tr w14:paraId="1C28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Borders>
              <w:top w:val="single" w:color="auto" w:sz="12" w:space="0"/>
              <w:left w:val="single" w:color="auto" w:sz="12" w:space="0"/>
              <w:bottom w:val="single" w:color="auto" w:sz="12" w:space="0"/>
            </w:tcBorders>
            <w:vAlign w:val="center"/>
          </w:tcPr>
          <w:p w14:paraId="5064CEF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序号</w:t>
            </w:r>
          </w:p>
        </w:tc>
        <w:tc>
          <w:tcPr>
            <w:tcW w:w="2268" w:type="dxa"/>
            <w:tcBorders>
              <w:top w:val="single" w:color="auto" w:sz="12" w:space="0"/>
              <w:bottom w:val="single" w:color="auto" w:sz="12" w:space="0"/>
            </w:tcBorders>
            <w:vAlign w:val="center"/>
          </w:tcPr>
          <w:p w14:paraId="4664E732">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衡量指标</w:t>
            </w:r>
          </w:p>
        </w:tc>
        <w:tc>
          <w:tcPr>
            <w:tcW w:w="4090" w:type="dxa"/>
            <w:tcBorders>
              <w:top w:val="single" w:color="auto" w:sz="12" w:space="0"/>
              <w:bottom w:val="single" w:color="auto" w:sz="12" w:space="0"/>
            </w:tcBorders>
            <w:vAlign w:val="center"/>
          </w:tcPr>
          <w:p w14:paraId="2806409B">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指标计算说明</w:t>
            </w:r>
          </w:p>
        </w:tc>
        <w:tc>
          <w:tcPr>
            <w:tcW w:w="1635" w:type="dxa"/>
            <w:tcBorders>
              <w:top w:val="single" w:color="auto" w:sz="12" w:space="0"/>
              <w:bottom w:val="single" w:color="auto" w:sz="12" w:space="0"/>
              <w:right w:val="single" w:color="auto" w:sz="12" w:space="0"/>
            </w:tcBorders>
            <w:vAlign w:val="center"/>
          </w:tcPr>
          <w:p w14:paraId="12E9532D">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目标值</w:t>
            </w:r>
          </w:p>
        </w:tc>
      </w:tr>
      <w:tr w14:paraId="58B1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36" w:type="dxa"/>
            <w:tcBorders>
              <w:top w:val="single" w:color="auto" w:sz="12" w:space="0"/>
              <w:left w:val="single" w:color="auto" w:sz="12" w:space="0"/>
            </w:tcBorders>
            <w:vAlign w:val="center"/>
          </w:tcPr>
          <w:p w14:paraId="5EEE4C21">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1</w:t>
            </w:r>
          </w:p>
        </w:tc>
        <w:tc>
          <w:tcPr>
            <w:tcW w:w="2268" w:type="dxa"/>
            <w:tcBorders>
              <w:top w:val="single" w:color="auto" w:sz="12" w:space="0"/>
            </w:tcBorders>
            <w:vAlign w:val="center"/>
          </w:tcPr>
          <w:p w14:paraId="76EB7DB4">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呼叫响应及时率</w:t>
            </w:r>
          </w:p>
        </w:tc>
        <w:tc>
          <w:tcPr>
            <w:tcW w:w="4090" w:type="dxa"/>
            <w:tcBorders>
              <w:top w:val="single" w:color="auto" w:sz="12" w:space="0"/>
            </w:tcBorders>
            <w:vAlign w:val="center"/>
          </w:tcPr>
          <w:p w14:paraId="43425BED">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从呼叫到开始服务的时间</w:t>
            </w:r>
          </w:p>
        </w:tc>
        <w:tc>
          <w:tcPr>
            <w:tcW w:w="1635" w:type="dxa"/>
            <w:tcBorders>
              <w:top w:val="single" w:color="auto" w:sz="12" w:space="0"/>
              <w:right w:val="single" w:color="auto" w:sz="12" w:space="0"/>
            </w:tcBorders>
            <w:vAlign w:val="center"/>
          </w:tcPr>
          <w:p w14:paraId="63CD5E8C">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90%的呼叫在5秒内应答</w:t>
            </w:r>
          </w:p>
        </w:tc>
      </w:tr>
      <w:tr w14:paraId="5C85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Borders>
              <w:left w:val="single" w:color="auto" w:sz="12" w:space="0"/>
            </w:tcBorders>
            <w:vAlign w:val="center"/>
          </w:tcPr>
          <w:p w14:paraId="1DCCDA4E">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2</w:t>
            </w:r>
          </w:p>
        </w:tc>
        <w:tc>
          <w:tcPr>
            <w:tcW w:w="2268" w:type="dxa"/>
            <w:vAlign w:val="center"/>
          </w:tcPr>
          <w:p w14:paraId="56DFB55B">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突发事件完成良好率</w:t>
            </w:r>
          </w:p>
        </w:tc>
        <w:tc>
          <w:tcPr>
            <w:tcW w:w="4090" w:type="dxa"/>
            <w:vAlign w:val="center"/>
          </w:tcPr>
          <w:p w14:paraId="5F3D47C9">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在规定时间内处理完成的事件/事件总数</w:t>
            </w:r>
          </w:p>
        </w:tc>
        <w:tc>
          <w:tcPr>
            <w:tcW w:w="1635" w:type="dxa"/>
            <w:tcBorders>
              <w:right w:val="single" w:color="auto" w:sz="12" w:space="0"/>
            </w:tcBorders>
            <w:vAlign w:val="center"/>
          </w:tcPr>
          <w:p w14:paraId="4CF7E12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9</w:t>
            </w:r>
            <w:r>
              <w:rPr>
                <w:rFonts w:ascii="宋体" w:hAnsi="宋体" w:eastAsia="宋体" w:cs="宋体"/>
                <w:bCs/>
                <w:szCs w:val="21"/>
              </w:rPr>
              <w:t>5</w:t>
            </w:r>
            <w:r>
              <w:rPr>
                <w:rFonts w:hint="eastAsia" w:ascii="宋体" w:hAnsi="宋体" w:eastAsia="宋体" w:cs="宋体"/>
                <w:bCs/>
                <w:szCs w:val="21"/>
              </w:rPr>
              <w:t>%</w:t>
            </w:r>
          </w:p>
        </w:tc>
      </w:tr>
      <w:tr w14:paraId="0D25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Borders>
              <w:left w:val="single" w:color="auto" w:sz="12" w:space="0"/>
            </w:tcBorders>
            <w:vAlign w:val="center"/>
          </w:tcPr>
          <w:p w14:paraId="0AA67BDC">
            <w:pPr>
              <w:widowControl/>
              <w:spacing w:line="360" w:lineRule="auto"/>
              <w:jc w:val="center"/>
              <w:outlineLvl w:val="0"/>
              <w:rPr>
                <w:rFonts w:hint="eastAsia" w:ascii="宋体" w:hAnsi="宋体" w:eastAsia="宋体" w:cs="宋体"/>
                <w:bCs/>
                <w:szCs w:val="21"/>
              </w:rPr>
            </w:pPr>
            <w:bookmarkStart w:id="346" w:name="_Toc180265720"/>
            <w:bookmarkStart w:id="347" w:name="_Toc9408"/>
            <w:r>
              <w:rPr>
                <w:rFonts w:hint="eastAsia" w:ascii="宋体" w:hAnsi="宋体" w:eastAsia="宋体" w:cs="宋体"/>
                <w:bCs/>
                <w:szCs w:val="21"/>
              </w:rPr>
              <w:t>3</w:t>
            </w:r>
            <w:bookmarkEnd w:id="346"/>
            <w:bookmarkEnd w:id="347"/>
          </w:p>
        </w:tc>
        <w:tc>
          <w:tcPr>
            <w:tcW w:w="2268" w:type="dxa"/>
            <w:vAlign w:val="center"/>
          </w:tcPr>
          <w:p w14:paraId="2FEA6E2E">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事件解决良好率</w:t>
            </w:r>
          </w:p>
        </w:tc>
        <w:tc>
          <w:tcPr>
            <w:tcW w:w="4090" w:type="dxa"/>
            <w:vAlign w:val="center"/>
          </w:tcPr>
          <w:p w14:paraId="4F91AA95">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在规定时间内解决的事件数/事件总数</w:t>
            </w:r>
          </w:p>
        </w:tc>
        <w:tc>
          <w:tcPr>
            <w:tcW w:w="1635" w:type="dxa"/>
            <w:tcBorders>
              <w:right w:val="single" w:color="auto" w:sz="12" w:space="0"/>
            </w:tcBorders>
            <w:vAlign w:val="center"/>
          </w:tcPr>
          <w:p w14:paraId="224A0819">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95%</w:t>
            </w:r>
          </w:p>
        </w:tc>
      </w:tr>
      <w:tr w14:paraId="1083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Borders>
              <w:left w:val="single" w:color="auto" w:sz="12" w:space="0"/>
            </w:tcBorders>
            <w:vAlign w:val="center"/>
          </w:tcPr>
          <w:p w14:paraId="6EA53F62">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4</w:t>
            </w:r>
          </w:p>
        </w:tc>
        <w:tc>
          <w:tcPr>
            <w:tcW w:w="2268" w:type="dxa"/>
            <w:vAlign w:val="center"/>
          </w:tcPr>
          <w:p w14:paraId="547D8CBC">
            <w:pPr>
              <w:widowControl/>
              <w:spacing w:line="360" w:lineRule="auto"/>
              <w:jc w:val="center"/>
              <w:outlineLvl w:val="0"/>
              <w:rPr>
                <w:rFonts w:hint="eastAsia" w:ascii="宋体" w:hAnsi="宋体" w:eastAsia="宋体" w:cs="宋体"/>
                <w:bCs/>
                <w:szCs w:val="21"/>
              </w:rPr>
            </w:pPr>
            <w:bookmarkStart w:id="348" w:name="_Toc180265721"/>
            <w:bookmarkStart w:id="349" w:name="_Toc27388"/>
            <w:r>
              <w:rPr>
                <w:rFonts w:hint="eastAsia" w:ascii="宋体" w:hAnsi="宋体" w:eastAsia="宋体" w:cs="宋体"/>
                <w:bCs/>
                <w:szCs w:val="21"/>
              </w:rPr>
              <w:t>客户满意度</w:t>
            </w:r>
            <w:bookmarkEnd w:id="348"/>
            <w:bookmarkEnd w:id="349"/>
          </w:p>
        </w:tc>
        <w:tc>
          <w:tcPr>
            <w:tcW w:w="4090" w:type="dxa"/>
            <w:vAlign w:val="center"/>
          </w:tcPr>
          <w:p w14:paraId="6F8CE521">
            <w:pPr>
              <w:widowControl/>
              <w:spacing w:line="360" w:lineRule="auto"/>
              <w:rPr>
                <w:rFonts w:hint="eastAsia" w:ascii="宋体" w:hAnsi="宋体" w:eastAsia="宋体" w:cs="宋体"/>
                <w:bCs/>
                <w:szCs w:val="21"/>
              </w:rPr>
            </w:pPr>
            <w:r>
              <w:rPr>
                <w:rFonts w:hint="eastAsia" w:ascii="宋体" w:hAnsi="宋体" w:eastAsia="宋体" w:cs="宋体"/>
                <w:bCs/>
                <w:szCs w:val="21"/>
              </w:rPr>
              <w:t>按季度调查，分为：满意、比较满意、一般、不太满意、不满意</w:t>
            </w:r>
          </w:p>
        </w:tc>
        <w:tc>
          <w:tcPr>
            <w:tcW w:w="1635" w:type="dxa"/>
            <w:tcBorders>
              <w:right w:val="single" w:color="auto" w:sz="12" w:space="0"/>
            </w:tcBorders>
            <w:vAlign w:val="center"/>
          </w:tcPr>
          <w:p w14:paraId="0B3F2538">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满意</w:t>
            </w:r>
          </w:p>
        </w:tc>
      </w:tr>
      <w:tr w14:paraId="7207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Borders>
              <w:left w:val="single" w:color="auto" w:sz="12" w:space="0"/>
              <w:bottom w:val="single" w:color="auto" w:sz="12" w:space="0"/>
            </w:tcBorders>
            <w:vAlign w:val="center"/>
          </w:tcPr>
          <w:p w14:paraId="1F64462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5</w:t>
            </w:r>
          </w:p>
        </w:tc>
        <w:tc>
          <w:tcPr>
            <w:tcW w:w="2268" w:type="dxa"/>
            <w:tcBorders>
              <w:bottom w:val="single" w:color="auto" w:sz="12" w:space="0"/>
            </w:tcBorders>
            <w:vAlign w:val="center"/>
          </w:tcPr>
          <w:p w14:paraId="64E37CD0">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事件解决平均时间</w:t>
            </w:r>
          </w:p>
        </w:tc>
        <w:tc>
          <w:tcPr>
            <w:tcW w:w="4090" w:type="dxa"/>
            <w:tcBorders>
              <w:bottom w:val="single" w:color="auto" w:sz="12" w:space="0"/>
            </w:tcBorders>
            <w:vAlign w:val="center"/>
          </w:tcPr>
          <w:p w14:paraId="06381813">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各次解决事件时间之和/事件总数</w:t>
            </w:r>
          </w:p>
        </w:tc>
        <w:tc>
          <w:tcPr>
            <w:tcW w:w="1635" w:type="dxa"/>
            <w:tcBorders>
              <w:bottom w:val="single" w:color="auto" w:sz="12" w:space="0"/>
              <w:right w:val="single" w:color="auto" w:sz="12" w:space="0"/>
            </w:tcBorders>
            <w:vAlign w:val="center"/>
          </w:tcPr>
          <w:p w14:paraId="31004295">
            <w:pPr>
              <w:widowControl/>
              <w:spacing w:line="360" w:lineRule="auto"/>
              <w:jc w:val="center"/>
              <w:rPr>
                <w:rFonts w:hint="eastAsia" w:ascii="宋体" w:hAnsi="宋体" w:eastAsia="宋体" w:cs="宋体"/>
                <w:bCs/>
                <w:szCs w:val="21"/>
              </w:rPr>
            </w:pPr>
            <w:r>
              <w:rPr>
                <w:rFonts w:hint="eastAsia" w:ascii="宋体" w:hAnsi="宋体" w:eastAsia="宋体" w:cs="宋体"/>
                <w:bCs/>
                <w:szCs w:val="21"/>
              </w:rPr>
              <w:t>1H</w:t>
            </w:r>
          </w:p>
        </w:tc>
      </w:tr>
    </w:tbl>
    <w:p w14:paraId="144AECA9">
      <w:pPr>
        <w:pStyle w:val="6"/>
        <w:spacing w:before="260" w:after="260" w:line="416" w:lineRule="auto"/>
        <w:jc w:val="both"/>
        <w:rPr>
          <w:rFonts w:hint="eastAsia" w:ascii="宋体" w:hAnsi="宋体" w:cstheme="majorBidi"/>
          <w:szCs w:val="24"/>
        </w:rPr>
      </w:pPr>
      <w:bookmarkStart w:id="350" w:name="_Toc180265722"/>
      <w:r>
        <w:rPr>
          <w:rFonts w:hint="eastAsia" w:ascii="宋体" w:hAnsi="宋体" w:cstheme="majorBidi"/>
          <w:szCs w:val="24"/>
        </w:rPr>
        <w:t>用户现场实施服务流程</w:t>
      </w:r>
      <w:bookmarkEnd w:id="350"/>
    </w:p>
    <w:p w14:paraId="1965D4B5">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在系统运营服务过程中，有必要针对各级采购单位或机构开展系统现场实施服务。按照当前运营服务规范，每一个采购单位或机构都将分派专业实施顾问，实施顾问负责系统现场实施服务的方案、计划、培训、试用推进、总结及相关服务工作，并参与用户需求的收集和后续功能升级优化相关阶段的评审工作。</w:t>
      </w:r>
    </w:p>
    <w:p w14:paraId="729DD7E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每一个用户实施过程均会参照软件项目实施周期定义为四个阶段和一个控制，即“实施启动阶段”、“实施策划阶段”、“实施执行阶段”、“实施收尾阶段”和“实施管控”，每个阶段划分多个过程组，过程组内部有不同的子过程组，通过细化和完善过程组或子过程组，达到持续改进项目实施过程的目的，确保实施过程完全可控，提高项目实施管理工作的水平。</w:t>
      </w:r>
    </w:p>
    <w:p w14:paraId="2C70A2F1">
      <w:pPr>
        <w:numPr>
          <w:ilvl w:val="0"/>
          <w:numId w:val="119"/>
        </w:numPr>
        <w:spacing w:line="360" w:lineRule="auto"/>
        <w:rPr>
          <w:rFonts w:hint="eastAsia" w:ascii="宋体" w:hAnsi="宋体" w:eastAsia="宋体" w:cs="宋体"/>
          <w:szCs w:val="21"/>
        </w:rPr>
      </w:pPr>
      <w:r>
        <w:rPr>
          <w:rFonts w:hint="eastAsia" w:ascii="宋体" w:hAnsi="宋体" w:eastAsia="宋体" w:cs="宋体"/>
          <w:szCs w:val="21"/>
        </w:rPr>
        <w:t>实施启动阶段</w:t>
      </w:r>
    </w:p>
    <w:p w14:paraId="7827D24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实施启动，沟通明确用户核心要求、实施工作内容、时间要求等信息，完成《项目实施任务书》的确认；</w:t>
      </w:r>
    </w:p>
    <w:p w14:paraId="2ABB397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根据《项目实施任务书》组织落实相关配置要求，完成环境开通和配置；</w:t>
      </w:r>
    </w:p>
    <w:p w14:paraId="6B97BF3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根据《项目实施任务书》指定实施顾问，明确实施工作目标和责任，并使用分配的管理员账号进行基础信息的配置；</w:t>
      </w:r>
    </w:p>
    <w:p w14:paraId="378FF4BB">
      <w:pPr>
        <w:numPr>
          <w:ilvl w:val="0"/>
          <w:numId w:val="119"/>
        </w:numPr>
        <w:spacing w:line="360" w:lineRule="auto"/>
        <w:rPr>
          <w:rFonts w:hint="eastAsia" w:ascii="宋体" w:hAnsi="宋体" w:eastAsia="宋体" w:cs="宋体"/>
          <w:szCs w:val="21"/>
        </w:rPr>
      </w:pPr>
      <w:r>
        <w:rPr>
          <w:rFonts w:hint="eastAsia" w:ascii="宋体" w:hAnsi="宋体" w:eastAsia="宋体" w:cs="宋体"/>
          <w:szCs w:val="21"/>
        </w:rPr>
        <w:t>项目实施策划阶段</w:t>
      </w:r>
    </w:p>
    <w:p w14:paraId="28AC69B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实施顾问根据《项目实施任务书》编写《项目实施方案\计划》，应包括时间计划、人力资源计划、工作界面分工、实施范围、应用程度和结束标准等；</w:t>
      </w:r>
    </w:p>
    <w:p w14:paraId="795FC19B">
      <w:pPr>
        <w:numPr>
          <w:ilvl w:val="0"/>
          <w:numId w:val="119"/>
        </w:numPr>
        <w:spacing w:line="360" w:lineRule="auto"/>
        <w:rPr>
          <w:rFonts w:hint="eastAsia" w:ascii="宋体" w:hAnsi="宋体" w:eastAsia="宋体" w:cs="宋体"/>
          <w:szCs w:val="21"/>
        </w:rPr>
      </w:pPr>
      <w:r>
        <w:rPr>
          <w:rFonts w:hint="eastAsia" w:ascii="宋体" w:hAnsi="宋体" w:eastAsia="宋体" w:cs="宋体"/>
          <w:szCs w:val="21"/>
        </w:rPr>
        <w:t>项目实施执行阶段</w:t>
      </w:r>
    </w:p>
    <w:p w14:paraId="69933F6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实施顾问根据用户试用培训需求编写《培训计划》，《培训计划》主要明确培训内容、时间、地点、人员和场地要求等，协调完成首次集中培训，后续根据用户需求不定期组织其他培训；</w:t>
      </w:r>
    </w:p>
    <w:p w14:paraId="50F377F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根据用户项目实际管理需要及时进行环境参数的设置或调整，并持续支持用户完成烟草项目的全流程采购；</w:t>
      </w:r>
    </w:p>
    <w:p w14:paraId="274EA8C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每个用户使用系统上线项目初期为试运行阶段，实施顾问依据《项目实施方案\计划》与用户确认试运行范围、程度和结束标准，推进用户进行试运行，并针对试运行期间出现的问题进行收集，根据问题的实际情况组织系统功能调整和修改；</w:t>
      </w:r>
    </w:p>
    <w:p w14:paraId="0FAED1C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试运行结束后，实施顾问根据系统试运行情况，组织编写《试用工作报告》并反馈用户。</w:t>
      </w:r>
    </w:p>
    <w:p w14:paraId="40B1E109">
      <w:pPr>
        <w:numPr>
          <w:ilvl w:val="0"/>
          <w:numId w:val="119"/>
        </w:numPr>
        <w:spacing w:line="360" w:lineRule="auto"/>
        <w:rPr>
          <w:rFonts w:hint="eastAsia" w:ascii="宋体" w:hAnsi="宋体" w:eastAsia="宋体" w:cs="宋体"/>
          <w:szCs w:val="21"/>
        </w:rPr>
      </w:pPr>
      <w:r>
        <w:rPr>
          <w:rFonts w:hint="eastAsia" w:ascii="宋体" w:hAnsi="宋体" w:eastAsia="宋体" w:cs="宋体"/>
          <w:szCs w:val="21"/>
        </w:rPr>
        <w:t>项目实施收尾阶段</w:t>
      </w:r>
    </w:p>
    <w:p w14:paraId="0312DCC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实施顾问推动用户根据《项目实施方案\计划》、《试用工作报告》确认项目实施工作任务已完成，进入系统正式应用阶段。</w:t>
      </w:r>
    </w:p>
    <w:p w14:paraId="05AC953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实施顾问需向部门经理提交用户确认的《项目实施总结报告》，部门领导进行核准，确认项目实施工作完成情况、项目实施文档记录的完整性；</w:t>
      </w:r>
    </w:p>
    <w:p w14:paraId="48E50712">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用户实施结束后，实施顾问仍将作为主要沟通联络人负责用户后续服务支持工作，并可根据实际业务开展需求，组织线上/线下培训，或针对重点项目进行现场支持保障服务工作；</w:t>
      </w:r>
    </w:p>
    <w:p w14:paraId="154D0ED4">
      <w:pPr>
        <w:numPr>
          <w:ilvl w:val="0"/>
          <w:numId w:val="119"/>
        </w:numPr>
        <w:spacing w:line="360" w:lineRule="auto"/>
        <w:rPr>
          <w:rFonts w:hint="eastAsia" w:ascii="宋体" w:hAnsi="宋体" w:eastAsia="宋体" w:cs="宋体"/>
          <w:szCs w:val="21"/>
        </w:rPr>
      </w:pPr>
      <w:r>
        <w:rPr>
          <w:rFonts w:hint="eastAsia" w:ascii="宋体" w:hAnsi="宋体" w:eastAsia="宋体" w:cs="宋体"/>
          <w:szCs w:val="21"/>
        </w:rPr>
        <w:t>实施管控</w:t>
      </w:r>
    </w:p>
    <w:p w14:paraId="483EA8A4">
      <w:pPr>
        <w:spacing w:line="360" w:lineRule="auto"/>
        <w:ind w:firstLine="420"/>
      </w:pPr>
      <w:r>
        <w:rPr>
          <w:rFonts w:hint="eastAsia" w:ascii="宋体" w:hAnsi="宋体" w:eastAsia="宋体" w:cs="宋体"/>
          <w:szCs w:val="21"/>
        </w:rPr>
        <w:t>对实施人员用户现场实施工作进行管理。围绕用户当前状态及“实施过程关键环节或输出”，通过“客户回访”的方式对用户侧实施体验做调研，实施负责人需对用户实施过程关键输出做抽检，并对重点用户的实施过程做全过程质量监督。</w:t>
      </w:r>
    </w:p>
    <w:p w14:paraId="26D87C50"/>
    <w:p w14:paraId="5A25CFA5">
      <w:pPr>
        <w:pStyle w:val="5"/>
        <w:numPr>
          <w:ilvl w:val="1"/>
          <w:numId w:val="114"/>
        </w:numPr>
        <w:spacing w:before="260" w:after="260"/>
        <w:jc w:val="both"/>
        <w:rPr>
          <w:rFonts w:hint="eastAsia" w:ascii="宋体" w:hAnsi="宋体"/>
          <w:szCs w:val="28"/>
        </w:rPr>
      </w:pPr>
      <w:bookmarkStart w:id="351" w:name="_Toc180265723"/>
      <w:r>
        <w:rPr>
          <w:rFonts w:hint="eastAsia" w:ascii="宋体" w:hAnsi="宋体"/>
          <w:szCs w:val="28"/>
        </w:rPr>
        <w:t>运维保障方案</w:t>
      </w:r>
      <w:bookmarkEnd w:id="351"/>
    </w:p>
    <w:p w14:paraId="779BCAD3">
      <w:pPr>
        <w:pStyle w:val="73"/>
        <w:keepNext/>
        <w:keepLines/>
        <w:numPr>
          <w:ilvl w:val="1"/>
          <w:numId w:val="1"/>
        </w:numPr>
        <w:spacing w:line="360" w:lineRule="auto"/>
        <w:ind w:firstLineChars="0"/>
        <w:jc w:val="left"/>
        <w:outlineLvl w:val="1"/>
        <w:rPr>
          <w:rFonts w:eastAsia="宋体" w:asciiTheme="majorHAnsi" w:hAnsiTheme="majorHAnsi" w:cstheme="majorBidi"/>
          <w:b/>
          <w:bCs/>
          <w:vanish/>
          <w:sz w:val="28"/>
          <w:szCs w:val="32"/>
        </w:rPr>
      </w:pPr>
      <w:bookmarkStart w:id="352" w:name="_Toc180265724"/>
      <w:bookmarkEnd w:id="352"/>
    </w:p>
    <w:p w14:paraId="2EC0F159">
      <w:pPr>
        <w:pStyle w:val="6"/>
      </w:pPr>
      <w:bookmarkStart w:id="353" w:name="_Toc180265725"/>
      <w:r>
        <w:rPr>
          <w:rFonts w:hint="eastAsia"/>
        </w:rPr>
        <w:t>目标</w:t>
      </w:r>
      <w:bookmarkEnd w:id="353"/>
    </w:p>
    <w:p w14:paraId="3AF79E0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高可用性目标：确保系统的年度可用性达到99.9%以上。这意味着在一年365天、每天24小时的运行时间内，系统因故障或维护导致的不可用时间累计不超过8.76小时。通过实时监控、快速故障处理和定期维护等措施，保障系统的持续稳定运行，减少因系统故障给用户带来的业务中断影响。</w:t>
      </w:r>
    </w:p>
    <w:p w14:paraId="4875487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高性能目标：保持系统在高负载情况下的响应时间在合理范围内。根据系统的业务需求和用户体验要求，设定不同场景下的性能指标阈值。例如，对于网页应用系统，页面加载时间应控制在3秒以内；对于数据库查询操作，响应时间应控制在1秒以内。通过性能优化、资源调配和容量规划等手段，确保系统在面对大量用户并发访问和数据处理时，仍能保持高效的运行性能，满足用户的业务需求。</w:t>
      </w:r>
    </w:p>
    <w:p w14:paraId="56697DE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数据安全与完整性目标：保障系统数据的安全性和完整性，确保数据的保密性、可用性和一致性。采取多重数据备份策略，包括本地备份和异地备份，定期进行数据备份的验证和恢复测试，确保在数据丢失或损坏的情况下，能够快速恢复数据。同时，加强系统的安全防护，包括网络安全、访问控制、数据加密等措施，防止数据泄露、篡改和破坏。必须严格遵守相关的法律法规和行业标准，保障数据安全。</w:t>
      </w:r>
    </w:p>
    <w:p w14:paraId="280FF91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用户满意度目标：通过及时响应和解决用户的问题和需求，提高用户对运维服务的满意度。建立用户反馈</w:t>
      </w:r>
      <w:bookmarkStart w:id="432" w:name="_GoBack"/>
      <w:bookmarkEnd w:id="432"/>
      <w:r>
        <w:rPr>
          <w:rFonts w:ascii="宋体" w:hAnsi="宋体" w:eastAsia="宋体" w:cs="Times New Roman"/>
          <w:szCs w:val="21"/>
        </w:rPr>
        <w:t>渠道，定期收集用户的意见和建议，不断改进运维服务的质量和效率。设立专门的用户服务热线，用户可以随时咨询和反馈问题，运维团队应在规定的时间内响应并解决用户的问题，确保用户的业务不受影响。</w:t>
      </w:r>
    </w:p>
    <w:p w14:paraId="07D47A1F">
      <w:pPr>
        <w:pStyle w:val="6"/>
        <w:spacing w:before="260" w:after="260" w:line="416" w:lineRule="auto"/>
        <w:jc w:val="both"/>
        <w:rPr>
          <w:rFonts w:hint="eastAsia" w:ascii="宋体" w:hAnsi="宋体" w:cstheme="majorBidi"/>
          <w:szCs w:val="24"/>
        </w:rPr>
      </w:pPr>
      <w:bookmarkStart w:id="354" w:name="_Toc180265726"/>
      <w:r>
        <w:rPr>
          <w:rFonts w:hint="eastAsia" w:ascii="宋体" w:hAnsi="宋体" w:cstheme="majorBidi"/>
          <w:szCs w:val="24"/>
        </w:rPr>
        <w:t>运维管理方法</w:t>
      </w:r>
      <w:bookmarkEnd w:id="354"/>
    </w:p>
    <w:p w14:paraId="7D5DAD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运维的一个重要原则是制定有效的运行维护策略来保证服务交付的质量，兼顾运行维护过程和运行维护结果，实现“事前防范，风险前移</w:t>
      </w:r>
      <w:r>
        <w:rPr>
          <w:rFonts w:ascii="宋体" w:hAnsi="宋体" w:eastAsia="宋体" w:cs="Times New Roman"/>
          <w:szCs w:val="21"/>
        </w:rPr>
        <w:t>;</w:t>
      </w:r>
      <w:r>
        <w:rPr>
          <w:rFonts w:hint="eastAsia" w:ascii="宋体" w:hAnsi="宋体" w:eastAsia="宋体" w:cs="Times New Roman"/>
          <w:szCs w:val="21"/>
        </w:rPr>
        <w:t>事中控制，快速响应</w:t>
      </w:r>
      <w:r>
        <w:rPr>
          <w:rFonts w:ascii="宋体" w:hAnsi="宋体" w:eastAsia="宋体" w:cs="Times New Roman"/>
          <w:szCs w:val="21"/>
        </w:rPr>
        <w:t>;</w:t>
      </w:r>
      <w:r>
        <w:rPr>
          <w:rFonts w:hint="eastAsia" w:ascii="宋体" w:hAnsi="宋体" w:eastAsia="宋体" w:cs="Times New Roman"/>
          <w:szCs w:val="21"/>
        </w:rPr>
        <w:t>事后改进，持续评估”的持续改进原则。</w:t>
      </w:r>
    </w:p>
    <w:p w14:paraId="0DDC014B">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IT</w:t>
      </w:r>
      <w:r>
        <w:rPr>
          <w:rFonts w:hint="eastAsia" w:ascii="宋体" w:hAnsi="宋体" w:eastAsia="宋体" w:cs="Times New Roman"/>
          <w:szCs w:val="21"/>
        </w:rPr>
        <w:t>运维方法论是中招联合结合业界标准和自身最佳实践形成的方法论，从如下几个方面保证</w:t>
      </w:r>
      <w:r>
        <w:rPr>
          <w:rFonts w:ascii="宋体" w:hAnsi="宋体" w:eastAsia="宋体" w:cs="Times New Roman"/>
          <w:szCs w:val="21"/>
        </w:rPr>
        <w:t>IT</w:t>
      </w:r>
      <w:r>
        <w:rPr>
          <w:rFonts w:hint="eastAsia" w:ascii="宋体" w:hAnsi="宋体" w:eastAsia="宋体" w:cs="Times New Roman"/>
          <w:szCs w:val="21"/>
        </w:rPr>
        <w:t>系统安全、稳定、高效运维稳定运行。</w:t>
      </w:r>
    </w:p>
    <w:p w14:paraId="4C2A4614">
      <w:pPr>
        <w:widowControl/>
        <w:autoSpaceDE w:val="0"/>
        <w:autoSpaceDN w:val="0"/>
        <w:adjustRightInd w:val="0"/>
        <w:spacing w:line="280" w:lineRule="atLeast"/>
        <w:jc w:val="left"/>
        <w:rPr>
          <w:rFonts w:ascii="Times Roman" w:hAnsi="Times Roman" w:cs="Times Roman"/>
          <w:color w:val="000000"/>
          <w:kern w:val="0"/>
          <w:sz w:val="24"/>
          <w:szCs w:val="24"/>
        </w:rPr>
      </w:pPr>
      <w:r>
        <w:rPr>
          <w:rFonts w:ascii="Times Roman" w:hAnsi="Times Roman" w:cs="Times Roman"/>
          <w:color w:val="000000"/>
          <w:kern w:val="0"/>
          <w:sz w:val="24"/>
          <w:szCs w:val="24"/>
        </w:rPr>
        <w:drawing>
          <wp:anchor distT="0" distB="0" distL="114300" distR="114300" simplePos="0" relativeHeight="251663360" behindDoc="0" locked="0" layoutInCell="1" allowOverlap="1">
            <wp:simplePos x="0" y="0"/>
            <wp:positionH relativeFrom="column">
              <wp:align>center</wp:align>
            </wp:positionH>
            <wp:positionV relativeFrom="paragraph">
              <wp:posOffset>34290</wp:posOffset>
            </wp:positionV>
            <wp:extent cx="5636895" cy="2887980"/>
            <wp:effectExtent l="0" t="0" r="1905" b="7620"/>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5636895" cy="2887980"/>
                    </a:xfrm>
                    <a:prstGeom prst="rect">
                      <a:avLst/>
                    </a:prstGeom>
                    <a:noFill/>
                    <a:ln>
                      <a:noFill/>
                    </a:ln>
                  </pic:spPr>
                </pic:pic>
              </a:graphicData>
            </a:graphic>
          </wp:anchor>
        </w:drawing>
      </w:r>
    </w:p>
    <w:p w14:paraId="0CCF5113">
      <w:pPr>
        <w:pStyle w:val="73"/>
        <w:keepNext/>
        <w:keepLines/>
        <w:numPr>
          <w:ilvl w:val="2"/>
          <w:numId w:val="120"/>
        </w:numPr>
        <w:spacing w:before="280" w:after="290" w:line="376" w:lineRule="auto"/>
        <w:ind w:firstLineChars="0"/>
        <w:outlineLvl w:val="3"/>
        <w:rPr>
          <w:rFonts w:asciiTheme="majorHAnsi" w:hAnsiTheme="majorHAnsi" w:eastAsiaTheme="majorEastAsia" w:cstheme="majorBidi"/>
          <w:b/>
          <w:bCs/>
          <w:vanish/>
          <w:szCs w:val="28"/>
        </w:rPr>
      </w:pPr>
    </w:p>
    <w:p w14:paraId="0865F749">
      <w:pPr>
        <w:pStyle w:val="73"/>
        <w:keepNext/>
        <w:keepLines/>
        <w:numPr>
          <w:ilvl w:val="2"/>
          <w:numId w:val="120"/>
        </w:numPr>
        <w:spacing w:before="280" w:after="290" w:line="376" w:lineRule="auto"/>
        <w:ind w:firstLineChars="0"/>
        <w:outlineLvl w:val="3"/>
        <w:rPr>
          <w:rFonts w:asciiTheme="majorHAnsi" w:hAnsiTheme="majorHAnsi" w:eastAsiaTheme="majorEastAsia" w:cstheme="majorBidi"/>
          <w:b/>
          <w:bCs/>
          <w:vanish/>
          <w:szCs w:val="28"/>
        </w:rPr>
      </w:pPr>
    </w:p>
    <w:p w14:paraId="4ACC5388">
      <w:pPr>
        <w:pStyle w:val="73"/>
        <w:keepNext/>
        <w:keepLines/>
        <w:numPr>
          <w:ilvl w:val="3"/>
          <w:numId w:val="120"/>
        </w:numPr>
        <w:spacing w:before="280" w:after="290" w:line="376" w:lineRule="auto"/>
        <w:ind w:firstLineChars="0"/>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稳定运行</w:t>
      </w:r>
    </w:p>
    <w:p w14:paraId="1BAD621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稳定运行即可用性是衡量运维质量的关键指标。</w:t>
      </w:r>
    </w:p>
    <w:p w14:paraId="65991CD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通过对系统的调研评估，建立系统运维相关指标的基线。制定运维</w:t>
      </w:r>
      <w:r>
        <w:rPr>
          <w:rFonts w:ascii="宋体" w:hAnsi="宋体" w:eastAsia="宋体" w:cs="Times New Roman"/>
          <w:szCs w:val="21"/>
        </w:rPr>
        <w:t>SOP(</w:t>
      </w:r>
      <w:r>
        <w:rPr>
          <w:rFonts w:hint="eastAsia" w:ascii="宋体" w:hAnsi="宋体" w:eastAsia="宋体" w:cs="Times New Roman"/>
          <w:szCs w:val="21"/>
        </w:rPr>
        <w:t>标准作业程序</w:t>
      </w:r>
      <w:r>
        <w:rPr>
          <w:rFonts w:ascii="宋体" w:hAnsi="宋体" w:eastAsia="宋体" w:cs="Times New Roman"/>
          <w:szCs w:val="21"/>
        </w:rPr>
        <w:t>)</w:t>
      </w:r>
      <w:r>
        <w:rPr>
          <w:rFonts w:hint="eastAsia" w:ascii="宋体" w:hAnsi="宋体" w:eastAsia="宋体" w:cs="Times New Roman"/>
          <w:szCs w:val="21"/>
        </w:rPr>
        <w:t>，按照操作手册严格执行系统监控、预防性检查、例行作业策略，保证系统稳定运行。</w:t>
      </w:r>
    </w:p>
    <w:p w14:paraId="3DF35F8F">
      <w:pPr>
        <w:spacing w:line="360" w:lineRule="auto"/>
        <w:ind w:firstLine="640" w:firstLineChars="200"/>
        <w:rPr>
          <w:rFonts w:ascii="Times Roman" w:hAnsi="Times Roman" w:eastAsia="宋体" w:cs="Times Roman"/>
          <w:color w:val="000000"/>
          <w:kern w:val="0"/>
          <w:sz w:val="24"/>
          <w:szCs w:val="24"/>
        </w:rPr>
      </w:pPr>
      <w:r>
        <w:rPr>
          <w:rFonts w:ascii="宋体" w:hAnsi="Times Roman" w:eastAsia="宋体" w:cs="宋体"/>
          <w:color w:val="000000"/>
          <w:kern w:val="0"/>
          <w:sz w:val="32"/>
          <w:szCs w:val="32"/>
        </w:rPr>
        <w:drawing>
          <wp:anchor distT="0" distB="0" distL="114300" distR="114300" simplePos="0" relativeHeight="251662336" behindDoc="0" locked="0" layoutInCell="1" allowOverlap="1">
            <wp:simplePos x="0" y="0"/>
            <wp:positionH relativeFrom="column">
              <wp:align>center</wp:align>
            </wp:positionH>
            <wp:positionV relativeFrom="paragraph">
              <wp:posOffset>15875</wp:posOffset>
            </wp:positionV>
            <wp:extent cx="5939790" cy="3722370"/>
            <wp:effectExtent l="0" t="0" r="3810" b="1143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5939790" cy="3722370"/>
                    </a:xfrm>
                    <a:prstGeom prst="rect">
                      <a:avLst/>
                    </a:prstGeom>
                    <a:noFill/>
                    <a:ln>
                      <a:noFill/>
                    </a:ln>
                  </pic:spPr>
                </pic:pic>
              </a:graphicData>
            </a:graphic>
          </wp:anchor>
        </w:drawing>
      </w:r>
    </w:p>
    <w:p w14:paraId="3CA5BE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巡检</w:t>
      </w:r>
    </w:p>
    <w:p w14:paraId="3D872E6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日常巡检，按照需要巡检频率进行每天巡检，并提交巡检记录。</w:t>
      </w:r>
    </w:p>
    <w:p w14:paraId="060BA7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严格的巡检是防止事故发生的一个重要手段，是做到“事前防范”的一个主要手段。其中，确定检查指标是保证检查效果的关键。</w:t>
      </w:r>
    </w:p>
    <w:p w14:paraId="0826501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常规作业</w:t>
      </w:r>
    </w:p>
    <w:p w14:paraId="40DB53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常规作业包括设备</w:t>
      </w:r>
      <w:r>
        <w:rPr>
          <w:rFonts w:ascii="宋体" w:hAnsi="宋体" w:eastAsia="宋体" w:cs="Times New Roman"/>
          <w:szCs w:val="21"/>
        </w:rPr>
        <w:t>/</w:t>
      </w:r>
      <w:r>
        <w:rPr>
          <w:rFonts w:hint="eastAsia" w:ascii="宋体" w:hAnsi="宋体" w:eastAsia="宋体" w:cs="Times New Roman"/>
          <w:szCs w:val="21"/>
        </w:rPr>
        <w:t>系统日常维护作业、系统数据备份、恢复、日常服务请求处理等活动，以保证系统的稳定运行。</w:t>
      </w:r>
    </w:p>
    <w:p w14:paraId="3927EA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制定操作规范、操作手册。工程师按照操作手册以及流程进行日常操作，减少人为失误对系统造成的影响，进而保证系统的稳定运行。</w:t>
      </w:r>
    </w:p>
    <w:p w14:paraId="4B5A1C7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调研评估</w:t>
      </w:r>
    </w:p>
    <w:p w14:paraId="5B03B1A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对烟草运维现状的了解和认识是做好系统运维的一个关键因素，通过对</w:t>
      </w:r>
      <w:r>
        <w:rPr>
          <w:rFonts w:ascii="宋体" w:hAnsi="宋体" w:eastAsia="宋体" w:cs="Times New Roman"/>
          <w:szCs w:val="21"/>
        </w:rPr>
        <w:t>IT</w:t>
      </w:r>
      <w:r>
        <w:rPr>
          <w:rFonts w:hint="eastAsia" w:ascii="宋体" w:hAnsi="宋体" w:eastAsia="宋体" w:cs="Times New Roman"/>
          <w:szCs w:val="21"/>
        </w:rPr>
        <w:t>运维运行状况、运行环境进行主动现状调研、系统分析、缺陷发现，评估缺陷现象与应用系统、设备重要级别统关系，并提出相应的建议和处理方案，降低系统风险，实现“零缺陷”为目标。</w:t>
      </w:r>
    </w:p>
    <w:p w14:paraId="37C3A0D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通过例行主动例行检查，进一步完善信息系统缺陷管理制度，建立健全缺陷分类分级管理，建立缺陷管理常态机制。深入开展缺陷排查、分析、消缺、整改工作。建立缺陷管理和计划检修管理的联动机制，确保缺陷及时消除，杜绝系统安全运行隐患。</w:t>
      </w:r>
    </w:p>
    <w:p w14:paraId="66FD7ED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另外，通过调研评估，我司将建立系统运维相关指标的基线，这是衡量系统运行健康状况以及监控阀值的一个重要依据。</w:t>
      </w:r>
    </w:p>
    <w:p w14:paraId="25F8D7AD">
      <w:pPr>
        <w:pStyle w:val="73"/>
        <w:keepNext/>
        <w:keepLines/>
        <w:numPr>
          <w:ilvl w:val="3"/>
          <w:numId w:val="120"/>
        </w:numPr>
        <w:spacing w:before="280" w:after="290" w:line="376" w:lineRule="auto"/>
        <w:ind w:firstLineChars="0"/>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及时修复</w:t>
      </w:r>
    </w:p>
    <w:p w14:paraId="5676D73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最完美的系统并不是永无事故的系统，而是可以掌控可以恢复的系统。在正常运行的时候，防患于未然，遇到事故时候，主动把控局面，最快速度恢复业务。</w:t>
      </w:r>
    </w:p>
    <w:p w14:paraId="282A80B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为做到对系统的即时恢复以及主动把控。事前，做好故障定义、上报流程，定期进行风险评估和故障恢复演习</w:t>
      </w:r>
      <w:r>
        <w:rPr>
          <w:rFonts w:ascii="宋体" w:hAnsi="宋体" w:eastAsia="宋体" w:cs="Times New Roman"/>
          <w:szCs w:val="21"/>
        </w:rPr>
        <w:t>;</w:t>
      </w:r>
      <w:r>
        <w:rPr>
          <w:rFonts w:hint="eastAsia" w:ascii="宋体" w:hAnsi="宋体" w:eastAsia="宋体" w:cs="Times New Roman"/>
          <w:szCs w:val="21"/>
        </w:rPr>
        <w:t>事中，按流程及时上报，按照应急预案、变更回退方案进行恢复，及时维保商协调</w:t>
      </w:r>
      <w:r>
        <w:rPr>
          <w:rFonts w:ascii="宋体" w:hAnsi="宋体" w:eastAsia="宋体" w:cs="Times New Roman"/>
          <w:szCs w:val="21"/>
        </w:rPr>
        <w:t>;</w:t>
      </w:r>
      <w:r>
        <w:rPr>
          <w:rFonts w:hint="eastAsia" w:ascii="宋体" w:hAnsi="宋体" w:eastAsia="宋体" w:cs="Times New Roman"/>
          <w:szCs w:val="21"/>
        </w:rPr>
        <w:t>事后，按照问题管理流程找到故障的根本原因，避免故障再次发生，并进行总结、优化。</w:t>
      </w:r>
    </w:p>
    <w:p w14:paraId="0198C75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在管理方面</w:t>
      </w:r>
      <w:r>
        <w:rPr>
          <w:rFonts w:ascii="宋体" w:hAnsi="宋体" w:eastAsia="宋体" w:cs="Times New Roman"/>
          <w:szCs w:val="21"/>
        </w:rPr>
        <w:t>:</w:t>
      </w:r>
    </w:p>
    <w:p w14:paraId="5D2547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1、规定计划作业时间窗口</w:t>
      </w:r>
      <w:r>
        <w:rPr>
          <w:rFonts w:ascii="宋体" w:hAnsi="宋体" w:eastAsia="宋体" w:cs="Times New Roman"/>
          <w:szCs w:val="21"/>
        </w:rPr>
        <w:t>;</w:t>
      </w:r>
    </w:p>
    <w:p w14:paraId="7A3A97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2、建立有效的服务资源调度机制及与业务相关方的协同机制</w:t>
      </w:r>
      <w:r>
        <w:rPr>
          <w:rFonts w:ascii="宋体" w:hAnsi="宋体" w:eastAsia="宋体" w:cs="Times New Roman"/>
          <w:szCs w:val="21"/>
        </w:rPr>
        <w:t>;</w:t>
      </w:r>
    </w:p>
    <w:p w14:paraId="34DB998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3、特殊时间段</w:t>
      </w:r>
      <w:r>
        <w:rPr>
          <w:rFonts w:ascii="宋体" w:hAnsi="宋体" w:eastAsia="宋体" w:cs="Times New Roman"/>
          <w:szCs w:val="21"/>
        </w:rPr>
        <w:t>(</w:t>
      </w:r>
      <w:r>
        <w:rPr>
          <w:rFonts w:hint="eastAsia" w:ascii="宋体" w:hAnsi="宋体" w:eastAsia="宋体" w:cs="Times New Roman"/>
          <w:szCs w:val="21"/>
        </w:rPr>
        <w:t>如法定节假日或重大事件等</w:t>
      </w:r>
      <w:r>
        <w:rPr>
          <w:rFonts w:ascii="宋体" w:hAnsi="宋体" w:eastAsia="宋体" w:cs="Times New Roman"/>
          <w:szCs w:val="21"/>
        </w:rPr>
        <w:t>)</w:t>
      </w:r>
      <w:r>
        <w:rPr>
          <w:rFonts w:hint="eastAsia" w:ascii="宋体" w:hAnsi="宋体" w:eastAsia="宋体" w:cs="Times New Roman"/>
          <w:szCs w:val="21"/>
        </w:rPr>
        <w:t>，提升响应级别</w:t>
      </w:r>
      <w:r>
        <w:rPr>
          <w:rFonts w:ascii="宋体" w:hAnsi="宋体" w:eastAsia="宋体" w:cs="Times New Roman"/>
          <w:szCs w:val="21"/>
        </w:rPr>
        <w:t>;</w:t>
      </w:r>
    </w:p>
    <w:p w14:paraId="679CC91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4、充分利用已有的知识库，减少故障梳理以及恢复时间，同时降低业务对某个人的依赖程度。</w:t>
      </w:r>
    </w:p>
    <w:p w14:paraId="04DB98C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在技术层面</w:t>
      </w:r>
      <w:r>
        <w:rPr>
          <w:rFonts w:ascii="宋体" w:hAnsi="宋体" w:eastAsia="宋体" w:cs="Times New Roman"/>
          <w:szCs w:val="21"/>
        </w:rPr>
        <w:t>:</w:t>
      </w:r>
    </w:p>
    <w:p w14:paraId="777FE15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1、提前做好风险评估和应急方案</w:t>
      </w:r>
      <w:r>
        <w:rPr>
          <w:rFonts w:ascii="宋体" w:hAnsi="宋体" w:eastAsia="宋体" w:cs="Times New Roman"/>
          <w:szCs w:val="21"/>
        </w:rPr>
        <w:t>;</w:t>
      </w:r>
    </w:p>
    <w:p w14:paraId="7FF43CB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2、配置必要的备品备件。</w:t>
      </w:r>
    </w:p>
    <w:p w14:paraId="57CA1338">
      <w:pPr>
        <w:pStyle w:val="73"/>
        <w:keepNext/>
        <w:keepLines/>
        <w:numPr>
          <w:ilvl w:val="3"/>
          <w:numId w:val="120"/>
        </w:numPr>
        <w:spacing w:before="280" w:after="290" w:line="376" w:lineRule="auto"/>
        <w:ind w:firstLineChars="0"/>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安全运行</w:t>
      </w:r>
    </w:p>
    <w:p w14:paraId="7E5023F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中招联合实现系统的安全运行从管理和技术两个方面入手</w:t>
      </w:r>
      <w:r>
        <w:rPr>
          <w:rFonts w:ascii="宋体" w:hAnsi="宋体" w:eastAsia="宋体" w:cs="Times New Roman"/>
          <w:szCs w:val="21"/>
        </w:rPr>
        <w:t>:</w:t>
      </w:r>
    </w:p>
    <w:p w14:paraId="63814FD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管理方面</w:t>
      </w:r>
      <w:r>
        <w:rPr>
          <w:rFonts w:ascii="宋体" w:hAnsi="宋体" w:eastAsia="宋体" w:cs="Times New Roman"/>
          <w:szCs w:val="21"/>
        </w:rPr>
        <w:t>:</w:t>
      </w:r>
    </w:p>
    <w:p w14:paraId="72DFD3A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1、建立适当的信息安全管理机制，以规范运行维护服务人员的信息安全行为</w:t>
      </w:r>
      <w:r>
        <w:rPr>
          <w:rFonts w:ascii="宋体" w:hAnsi="宋体" w:eastAsia="宋体" w:cs="Times New Roman"/>
          <w:szCs w:val="21"/>
        </w:rPr>
        <w:t>;</w:t>
      </w:r>
    </w:p>
    <w:p w14:paraId="0FC86A0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2、对应用系统维护服务人员采取有效的信息安全管理措施，如进行人员背景调查、签订安全保密协议等</w:t>
      </w:r>
      <w:r>
        <w:rPr>
          <w:rFonts w:ascii="宋体" w:hAnsi="宋体" w:eastAsia="宋体" w:cs="Times New Roman"/>
          <w:szCs w:val="21"/>
        </w:rPr>
        <w:t>;</w:t>
      </w:r>
    </w:p>
    <w:p w14:paraId="1697F11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3、对应用系统维护服务人员进行相关安全管理及安全要求培训，并进行适当的检查，以确保服务人员了解并遵守安全、保密相关规定</w:t>
      </w:r>
      <w:r>
        <w:rPr>
          <w:rFonts w:ascii="宋体" w:hAnsi="宋体" w:eastAsia="宋体" w:cs="Times New Roman"/>
          <w:szCs w:val="21"/>
        </w:rPr>
        <w:t>;</w:t>
      </w:r>
    </w:p>
    <w:p w14:paraId="5E09172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4、建立有效的安全通报机制，以及时通报安全事件相关情况和相应防范处理措施等。</w:t>
      </w:r>
    </w:p>
    <w:p w14:paraId="1DCA59E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技术方面</w:t>
      </w:r>
      <w:r>
        <w:rPr>
          <w:rFonts w:ascii="宋体" w:hAnsi="宋体" w:eastAsia="宋体" w:cs="Times New Roman"/>
          <w:szCs w:val="21"/>
        </w:rPr>
        <w:t>:</w:t>
      </w:r>
    </w:p>
    <w:p w14:paraId="76E712B5">
      <w:pPr>
        <w:numPr>
          <w:ilvl w:val="0"/>
          <w:numId w:val="121"/>
        </w:numPr>
        <w:spacing w:line="360" w:lineRule="auto"/>
        <w:rPr>
          <w:rFonts w:hint="eastAsia" w:ascii="宋体" w:hAnsi="宋体" w:eastAsia="宋体" w:cs="Times New Roman"/>
          <w:szCs w:val="21"/>
        </w:rPr>
      </w:pPr>
      <w:r>
        <w:rPr>
          <w:rFonts w:hint="eastAsia" w:ascii="宋体" w:hAnsi="宋体" w:eastAsia="宋体" w:cs="Times New Roman"/>
          <w:szCs w:val="21"/>
        </w:rPr>
        <w:t>采用工具定期对网络进行安全扫描以及加固</w:t>
      </w:r>
      <w:r>
        <w:rPr>
          <w:rFonts w:ascii="宋体" w:hAnsi="宋体" w:eastAsia="宋体" w:cs="Times New Roman"/>
          <w:szCs w:val="21"/>
        </w:rPr>
        <w:t>;</w:t>
      </w:r>
    </w:p>
    <w:p w14:paraId="19C5A144">
      <w:pPr>
        <w:numPr>
          <w:ilvl w:val="0"/>
          <w:numId w:val="121"/>
        </w:numPr>
        <w:spacing w:line="360" w:lineRule="auto"/>
        <w:rPr>
          <w:rFonts w:hint="eastAsia" w:ascii="宋体" w:hAnsi="宋体" w:eastAsia="宋体" w:cs="Times New Roman"/>
          <w:szCs w:val="21"/>
        </w:rPr>
      </w:pPr>
      <w:r>
        <w:rPr>
          <w:rFonts w:hint="eastAsia" w:ascii="宋体" w:hAnsi="宋体" w:eastAsia="宋体" w:cs="Times New Roman"/>
          <w:szCs w:val="21"/>
        </w:rPr>
        <w:t>对相关设备、应用的密码进行规范以及定期更改</w:t>
      </w:r>
      <w:r>
        <w:rPr>
          <w:rFonts w:ascii="宋体" w:hAnsi="宋体" w:eastAsia="宋体" w:cs="Times New Roman"/>
          <w:szCs w:val="21"/>
        </w:rPr>
        <w:t>;</w:t>
      </w:r>
    </w:p>
    <w:p w14:paraId="4DC87CC1">
      <w:pPr>
        <w:numPr>
          <w:ilvl w:val="0"/>
          <w:numId w:val="121"/>
        </w:numPr>
        <w:spacing w:line="360" w:lineRule="auto"/>
        <w:rPr>
          <w:rFonts w:hint="eastAsia" w:ascii="宋体" w:hAnsi="宋体" w:eastAsia="宋体" w:cs="Times New Roman"/>
          <w:szCs w:val="21"/>
        </w:rPr>
      </w:pPr>
      <w:r>
        <w:rPr>
          <w:rFonts w:hint="eastAsia" w:ascii="宋体" w:hAnsi="宋体" w:eastAsia="宋体" w:cs="Times New Roman"/>
          <w:szCs w:val="21"/>
        </w:rPr>
        <w:t>制定安全基线。</w:t>
      </w:r>
    </w:p>
    <w:p w14:paraId="1F66C3CB">
      <w:pPr>
        <w:pStyle w:val="73"/>
        <w:keepNext/>
        <w:keepLines/>
        <w:numPr>
          <w:ilvl w:val="3"/>
          <w:numId w:val="120"/>
        </w:numPr>
        <w:spacing w:before="280" w:after="290" w:line="376" w:lineRule="auto"/>
        <w:ind w:firstLineChars="0"/>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高效运行</w:t>
      </w:r>
    </w:p>
    <w:p w14:paraId="447207C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提高工作效率和系统的利用率也是运维工作的目标。通过技术架构优化、工具优化、流程优化，实现系统的高效运行。</w:t>
      </w:r>
    </w:p>
    <w:p w14:paraId="65A05C1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统一标准</w:t>
      </w:r>
    </w:p>
    <w:p w14:paraId="53FABF0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首先，通过标准化，统一运维标准和通用性，提高运维效率。标准的建立是运维的参考，也是运维前移的要求。</w:t>
      </w:r>
    </w:p>
    <w:p w14:paraId="557FE229">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技术架构标准化</w:t>
      </w:r>
    </w:p>
    <w:p w14:paraId="26141E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包括应用分级标准，安全级别标准、虚拟机申请标准等;操作规范化</w:t>
      </w:r>
      <w:r>
        <w:rPr>
          <w:rFonts w:ascii="宋体" w:hAnsi="宋体" w:eastAsia="宋体" w:cs="Times New Roman"/>
          <w:szCs w:val="21"/>
        </w:rPr>
        <w:t>:</w:t>
      </w:r>
      <w:r>
        <w:rPr>
          <w:rFonts w:hint="eastAsia" w:ascii="宋体" w:hAnsi="宋体" w:eastAsia="宋体" w:cs="Times New Roman"/>
          <w:szCs w:val="21"/>
        </w:rPr>
        <w:t>制度相关操作手册、人员能力和岗位职责的标准化、技术规范的标准化。</w:t>
      </w:r>
    </w:p>
    <w:p w14:paraId="6CE5EBE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技术架构的标准化会减少架构的不兼容性，降低运维难度，规划可持续执行的保障。</w:t>
      </w:r>
    </w:p>
    <w:p w14:paraId="4B9707F4">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流程规范标准化</w:t>
      </w:r>
    </w:p>
    <w:p w14:paraId="7C19072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流程规范标准化是稳定服务质量减少波动的一个重要保障措施，同时在一定程度上也可以消除服务因人而异产生的服务质量差异。按照</w:t>
      </w:r>
      <w:r>
        <w:rPr>
          <w:rFonts w:ascii="宋体" w:hAnsi="宋体" w:eastAsia="宋体" w:cs="Times New Roman"/>
          <w:szCs w:val="21"/>
        </w:rPr>
        <w:t>ITIL</w:t>
      </w:r>
      <w:r>
        <w:rPr>
          <w:rFonts w:hint="eastAsia" w:ascii="宋体" w:hAnsi="宋体" w:eastAsia="宋体" w:cs="Times New Roman"/>
          <w:szCs w:val="21"/>
        </w:rPr>
        <w:t>的思想根据具体情况，建立符合实际的相关流程，以达到做事有规可循。</w:t>
      </w:r>
    </w:p>
    <w:p w14:paraId="6734A2D5">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人员能力和岗位职责标准化</w:t>
      </w:r>
    </w:p>
    <w:p w14:paraId="6957B7C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通过运维分析数据，量化运维人员的运维工作，制定运维考核标准。根据自身经验，结合IT环境以及业务要求，明确各运维岗位职责，人员能力标准并形成标准。</w:t>
      </w:r>
    </w:p>
    <w:p w14:paraId="6532CE98">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服务报告标准化</w:t>
      </w:r>
    </w:p>
    <w:p w14:paraId="692C93F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服务报告是运维工作的内容之一。服务报告通常分为常规报告、事件报告、专题报告三类。</w:t>
      </w:r>
    </w:p>
    <w:p w14:paraId="6E35DA3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中招联合按照标准的服务报告模板定期向用户提供报告。</w:t>
      </w:r>
    </w:p>
    <w:p w14:paraId="2300C47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提高效率</w:t>
      </w:r>
    </w:p>
    <w:p w14:paraId="6F7D353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在标准化的基础上，通过以下几种方面来提高效率</w:t>
      </w:r>
      <w:r>
        <w:rPr>
          <w:rFonts w:ascii="宋体" w:hAnsi="宋体" w:eastAsia="宋体" w:cs="Times New Roman"/>
          <w:szCs w:val="21"/>
        </w:rPr>
        <w:t>:</w:t>
      </w:r>
    </w:p>
    <w:p w14:paraId="31702740">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技术优化</w:t>
      </w:r>
    </w:p>
    <w:p w14:paraId="369E7DD2">
      <w:pPr>
        <w:numPr>
          <w:ilvl w:val="1"/>
          <w:numId w:val="123"/>
        </w:numPr>
        <w:spacing w:line="360" w:lineRule="auto"/>
        <w:rPr>
          <w:rFonts w:hint="eastAsia" w:ascii="宋体" w:hAnsi="宋体" w:eastAsia="宋体" w:cs="Times New Roman"/>
          <w:szCs w:val="21"/>
        </w:rPr>
      </w:pPr>
      <w:r>
        <w:rPr>
          <w:rFonts w:hint="eastAsia" w:ascii="宋体" w:hAnsi="宋体" w:eastAsia="宋体" w:cs="Times New Roman"/>
          <w:szCs w:val="21"/>
        </w:rPr>
        <w:t>提高自动化运维水平，采用脚本、合适的工具替代日常例行的人工操作，提高运维的工作效率。同时可以降低人为错误</w:t>
      </w:r>
      <w:r>
        <w:rPr>
          <w:rFonts w:ascii="宋体" w:hAnsi="宋体" w:eastAsia="宋体" w:cs="Times New Roman"/>
          <w:szCs w:val="21"/>
        </w:rPr>
        <w:t>/</w:t>
      </w:r>
      <w:r>
        <w:rPr>
          <w:rFonts w:hint="eastAsia" w:ascii="宋体" w:hAnsi="宋体" w:eastAsia="宋体" w:cs="Times New Roman"/>
          <w:szCs w:val="21"/>
        </w:rPr>
        <w:t>失误对</w:t>
      </w:r>
      <w:r>
        <w:rPr>
          <w:rFonts w:ascii="宋体" w:hAnsi="宋体" w:eastAsia="宋体" w:cs="Times New Roman"/>
          <w:szCs w:val="21"/>
        </w:rPr>
        <w:t>IT</w:t>
      </w:r>
      <w:r>
        <w:rPr>
          <w:rFonts w:hint="eastAsia" w:ascii="宋体" w:hAnsi="宋体" w:eastAsia="宋体" w:cs="Times New Roman"/>
          <w:szCs w:val="21"/>
        </w:rPr>
        <w:t>系统带来风险。</w:t>
      </w:r>
    </w:p>
    <w:p w14:paraId="794DA446">
      <w:pPr>
        <w:numPr>
          <w:ilvl w:val="1"/>
          <w:numId w:val="123"/>
        </w:numPr>
        <w:spacing w:line="360" w:lineRule="auto"/>
        <w:rPr>
          <w:rFonts w:hint="eastAsia" w:ascii="宋体" w:hAnsi="宋体" w:eastAsia="宋体" w:cs="Times New Roman"/>
          <w:szCs w:val="21"/>
        </w:rPr>
      </w:pPr>
      <w:r>
        <w:rPr>
          <w:rFonts w:hint="eastAsia" w:ascii="宋体" w:hAnsi="宋体" w:eastAsia="宋体" w:cs="Times New Roman"/>
          <w:szCs w:val="21"/>
        </w:rPr>
        <w:t>采用工具缩短操作系统部署事件，提高运维人员工作效率。</w:t>
      </w:r>
    </w:p>
    <w:p w14:paraId="32A3FA1B">
      <w:pPr>
        <w:widowControl/>
        <w:numPr>
          <w:ilvl w:val="0"/>
          <w:numId w:val="122"/>
        </w:numPr>
        <w:autoSpaceDE w:val="0"/>
        <w:autoSpaceDN w:val="0"/>
        <w:adjustRightInd w:val="0"/>
        <w:spacing w:after="240" w:line="360" w:lineRule="auto"/>
        <w:jc w:val="left"/>
        <w:rPr>
          <w:rFonts w:hint="eastAsia" w:ascii="宋体" w:hAnsi="宋体" w:eastAsia="宋体" w:cs="Times New Roman"/>
          <w:szCs w:val="21"/>
        </w:rPr>
      </w:pPr>
      <w:r>
        <w:rPr>
          <w:rFonts w:hint="eastAsia" w:ascii="宋体" w:hAnsi="宋体" w:eastAsia="宋体" w:cs="Times New Roman"/>
          <w:szCs w:val="21"/>
        </w:rPr>
        <w:t>管理优化</w:t>
      </w:r>
    </w:p>
    <w:p w14:paraId="57BEAE35">
      <w:pPr>
        <w:numPr>
          <w:ilvl w:val="1"/>
          <w:numId w:val="124"/>
        </w:numPr>
        <w:tabs>
          <w:tab w:val="clear" w:pos="1440"/>
        </w:tabs>
        <w:spacing w:line="360" w:lineRule="auto"/>
        <w:ind w:left="1560" w:hanging="480"/>
        <w:rPr>
          <w:rFonts w:hint="eastAsia" w:ascii="宋体" w:hAnsi="宋体" w:eastAsia="宋体" w:cs="Times New Roman"/>
          <w:szCs w:val="21"/>
        </w:rPr>
      </w:pPr>
      <w:r>
        <w:rPr>
          <w:rFonts w:hint="eastAsia" w:ascii="宋体" w:hAnsi="宋体" w:eastAsia="宋体" w:cs="Times New Roman"/>
          <w:szCs w:val="21"/>
        </w:rPr>
        <w:t>提升运维管理能力，做好</w:t>
      </w:r>
      <w:r>
        <w:rPr>
          <w:rFonts w:ascii="宋体" w:hAnsi="宋体" w:eastAsia="宋体" w:cs="Times New Roman"/>
          <w:szCs w:val="21"/>
        </w:rPr>
        <w:t>IT</w:t>
      </w:r>
      <w:r>
        <w:rPr>
          <w:rFonts w:hint="eastAsia" w:ascii="宋体" w:hAnsi="宋体" w:eastAsia="宋体" w:cs="Times New Roman"/>
          <w:szCs w:val="21"/>
        </w:rPr>
        <w:t>规划以及容量管理</w:t>
      </w:r>
      <w:r>
        <w:rPr>
          <w:rFonts w:ascii="宋体" w:hAnsi="宋体" w:eastAsia="宋体" w:cs="Times New Roman"/>
          <w:szCs w:val="21"/>
        </w:rPr>
        <w:t>;</w:t>
      </w:r>
    </w:p>
    <w:p w14:paraId="492DFD45">
      <w:pPr>
        <w:numPr>
          <w:ilvl w:val="1"/>
          <w:numId w:val="124"/>
        </w:numPr>
        <w:tabs>
          <w:tab w:val="clear" w:pos="1440"/>
        </w:tabs>
        <w:spacing w:line="360" w:lineRule="auto"/>
        <w:ind w:left="1560" w:hanging="480"/>
        <w:rPr>
          <w:rFonts w:hint="eastAsia" w:ascii="宋体" w:hAnsi="宋体" w:eastAsia="宋体" w:cs="Times New Roman"/>
          <w:szCs w:val="21"/>
        </w:rPr>
      </w:pPr>
      <w:r>
        <w:rPr>
          <w:rFonts w:hint="eastAsia" w:ascii="宋体" w:hAnsi="宋体" w:eastAsia="宋体" w:cs="Times New Roman"/>
          <w:szCs w:val="21"/>
        </w:rPr>
        <w:t>建立合适的工作流程，并通过不断对流程进行优化，提高效率</w:t>
      </w:r>
      <w:r>
        <w:rPr>
          <w:rFonts w:ascii="宋体" w:hAnsi="宋体" w:eastAsia="宋体" w:cs="Times New Roman"/>
          <w:szCs w:val="21"/>
        </w:rPr>
        <w:t>;</w:t>
      </w:r>
    </w:p>
    <w:p w14:paraId="045A2DFD">
      <w:pPr>
        <w:numPr>
          <w:ilvl w:val="1"/>
          <w:numId w:val="124"/>
        </w:numPr>
        <w:tabs>
          <w:tab w:val="clear" w:pos="1440"/>
        </w:tabs>
        <w:spacing w:line="360" w:lineRule="auto"/>
        <w:ind w:left="1560" w:hanging="480"/>
        <w:rPr>
          <w:rFonts w:hint="eastAsia" w:ascii="宋体" w:hAnsi="宋体" w:eastAsia="宋体" w:cs="Times New Roman"/>
          <w:szCs w:val="21"/>
        </w:rPr>
      </w:pPr>
      <w:r>
        <w:rPr>
          <w:rFonts w:hint="eastAsia" w:ascii="宋体" w:hAnsi="宋体" w:eastAsia="宋体" w:cs="Times New Roman"/>
          <w:szCs w:val="21"/>
        </w:rPr>
        <w:t>追踪资产生命全周期的资产管理，做到对所有台账资源一目了然，对资产的使用状态准确记录，提高资产设备的重复使用率。提高</w:t>
      </w:r>
      <w:r>
        <w:rPr>
          <w:rFonts w:ascii="宋体" w:hAnsi="宋体" w:eastAsia="宋体" w:cs="Times New Roman"/>
          <w:szCs w:val="21"/>
        </w:rPr>
        <w:t>IT</w:t>
      </w:r>
      <w:r>
        <w:rPr>
          <w:rFonts w:hint="eastAsia" w:ascii="宋体" w:hAnsi="宋体" w:eastAsia="宋体" w:cs="Times New Roman"/>
          <w:szCs w:val="21"/>
        </w:rPr>
        <w:t>资产使用率，降低</w:t>
      </w:r>
      <w:r>
        <w:rPr>
          <w:rFonts w:ascii="宋体" w:hAnsi="宋体" w:eastAsia="宋体" w:cs="Times New Roman"/>
          <w:szCs w:val="21"/>
        </w:rPr>
        <w:t>IT</w:t>
      </w:r>
      <w:r>
        <w:rPr>
          <w:rFonts w:hint="eastAsia" w:ascii="宋体" w:hAnsi="宋体" w:eastAsia="宋体" w:cs="Times New Roman"/>
          <w:szCs w:val="21"/>
        </w:rPr>
        <w:t>资产投入</w:t>
      </w:r>
      <w:r>
        <w:rPr>
          <w:rFonts w:ascii="宋体" w:hAnsi="宋体" w:eastAsia="宋体" w:cs="Times New Roman"/>
          <w:szCs w:val="21"/>
        </w:rPr>
        <w:t>;</w:t>
      </w:r>
    </w:p>
    <w:p w14:paraId="12A3084C">
      <w:pPr>
        <w:numPr>
          <w:ilvl w:val="1"/>
          <w:numId w:val="124"/>
        </w:numPr>
        <w:tabs>
          <w:tab w:val="clear" w:pos="1440"/>
        </w:tabs>
        <w:spacing w:line="360" w:lineRule="auto"/>
        <w:ind w:left="1560" w:hanging="480"/>
        <w:rPr>
          <w:rFonts w:hint="eastAsia" w:ascii="宋体" w:hAnsi="宋体" w:eastAsia="宋体" w:cs="Times New Roman"/>
          <w:szCs w:val="21"/>
        </w:rPr>
      </w:pPr>
      <w:r>
        <w:rPr>
          <w:rFonts w:hint="eastAsia" w:ascii="宋体" w:hAnsi="宋体" w:eastAsia="宋体" w:cs="Times New Roman"/>
          <w:szCs w:val="21"/>
        </w:rPr>
        <w:t>建立知识库积累，避免专业的技术问题永远只能依赖某一个或几个专业人员来解决的现状，使运维工作中的实际经验和专业知识得到共享。摆脱以往只能靠某个人解决固定问题的现象，增加人员能力冗余度</w:t>
      </w:r>
      <w:r>
        <w:rPr>
          <w:rFonts w:ascii="宋体" w:hAnsi="宋体" w:eastAsia="宋体" w:cs="Times New Roman"/>
          <w:szCs w:val="21"/>
        </w:rPr>
        <w:t>;</w:t>
      </w:r>
    </w:p>
    <w:p w14:paraId="138206BB">
      <w:pPr>
        <w:numPr>
          <w:ilvl w:val="1"/>
          <w:numId w:val="124"/>
        </w:numPr>
        <w:tabs>
          <w:tab w:val="clear" w:pos="1440"/>
        </w:tabs>
        <w:spacing w:line="360" w:lineRule="auto"/>
        <w:ind w:left="1560" w:hanging="480"/>
        <w:rPr>
          <w:rFonts w:hint="eastAsia" w:ascii="宋体" w:hAnsi="宋体" w:eastAsia="宋体" w:cs="Times New Roman"/>
          <w:szCs w:val="21"/>
        </w:rPr>
      </w:pPr>
      <w:r>
        <w:rPr>
          <w:rFonts w:hint="eastAsia" w:ascii="宋体" w:hAnsi="宋体" w:eastAsia="宋体" w:cs="Times New Roman"/>
          <w:szCs w:val="21"/>
        </w:rPr>
        <w:t>合理安排人员岗位，明确职责与考核目标，量化运维人员的运维工作，减少推诿，提高运维人员责任心。</w:t>
      </w:r>
    </w:p>
    <w:p w14:paraId="7E48F378">
      <w:pPr>
        <w:widowControl/>
        <w:autoSpaceDE w:val="0"/>
        <w:autoSpaceDN w:val="0"/>
        <w:adjustRightInd w:val="0"/>
        <w:spacing w:after="240" w:line="360" w:lineRule="auto"/>
        <w:ind w:firstLine="420" w:firstLineChars="200"/>
        <w:jc w:val="left"/>
        <w:rPr>
          <w:rFonts w:hint="eastAsia" w:ascii="宋体" w:hAnsi="宋体" w:eastAsia="宋体" w:cs="Times New Roman"/>
          <w:szCs w:val="21"/>
        </w:rPr>
      </w:pPr>
      <w:r>
        <w:rPr>
          <w:rFonts w:hint="eastAsia" w:ascii="宋体" w:hAnsi="宋体" w:eastAsia="宋体" w:cs="Times New Roman"/>
          <w:szCs w:val="21"/>
        </w:rPr>
        <w:t>3、持续改进</w:t>
      </w:r>
    </w:p>
    <w:p w14:paraId="4FB143F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持续改进是不断提升运维</w:t>
      </w:r>
      <w:r>
        <w:rPr>
          <w:rFonts w:ascii="宋体" w:hAnsi="宋体" w:eastAsia="宋体" w:cs="Times New Roman"/>
          <w:szCs w:val="21"/>
        </w:rPr>
        <w:t>/</w:t>
      </w:r>
      <w:r>
        <w:rPr>
          <w:rFonts w:hint="eastAsia" w:ascii="宋体" w:hAnsi="宋体" w:eastAsia="宋体" w:cs="Times New Roman"/>
          <w:szCs w:val="21"/>
        </w:rPr>
        <w:t>服务质量，提高客户满意度的重要手段。</w:t>
      </w:r>
    </w:p>
    <w:p w14:paraId="5E8A5BC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持续改进是一个组织行为，需要建立持续改进体系。有效的持续改进能够帮助找出各个系统、业务以及运维各阶段中的改进机会，把持续改进的理念融入到组织的日常运营之中，将势在必行。</w:t>
      </w:r>
    </w:p>
    <w:p w14:paraId="7CF0192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中招联合建立每周一次内部服务评审</w:t>
      </w:r>
      <w:r>
        <w:rPr>
          <w:rFonts w:ascii="宋体" w:hAnsi="宋体" w:eastAsia="宋体" w:cs="Times New Roman"/>
          <w:szCs w:val="21"/>
        </w:rPr>
        <w:t>(</w:t>
      </w:r>
      <w:r>
        <w:rPr>
          <w:rFonts w:hint="eastAsia" w:ascii="宋体" w:hAnsi="宋体" w:eastAsia="宋体" w:cs="Times New Roman"/>
          <w:szCs w:val="21"/>
        </w:rPr>
        <w:t>项目经理</w:t>
      </w:r>
      <w:r>
        <w:rPr>
          <w:rFonts w:ascii="宋体" w:hAnsi="宋体" w:eastAsia="宋体" w:cs="Times New Roman"/>
          <w:szCs w:val="21"/>
        </w:rPr>
        <w:t>)</w:t>
      </w:r>
      <w:r>
        <w:rPr>
          <w:rFonts w:hint="eastAsia" w:ascii="宋体" w:hAnsi="宋体" w:eastAsia="宋体" w:cs="Times New Roman"/>
          <w:szCs w:val="21"/>
        </w:rPr>
        <w:t>、每月一次管理评审</w:t>
      </w:r>
      <w:r>
        <w:rPr>
          <w:rFonts w:ascii="宋体" w:hAnsi="宋体" w:eastAsia="宋体" w:cs="Times New Roman"/>
          <w:szCs w:val="21"/>
        </w:rPr>
        <w:t>(</w:t>
      </w:r>
      <w:r>
        <w:rPr>
          <w:rFonts w:hint="eastAsia" w:ascii="宋体" w:hAnsi="宋体" w:eastAsia="宋体" w:cs="Times New Roman"/>
          <w:szCs w:val="21"/>
        </w:rPr>
        <w:t>服务经理、系统管理员等</w:t>
      </w:r>
      <w:r>
        <w:rPr>
          <w:rFonts w:ascii="宋体" w:hAnsi="宋体" w:eastAsia="宋体" w:cs="Times New Roman"/>
          <w:szCs w:val="21"/>
        </w:rPr>
        <w:t>)</w:t>
      </w:r>
      <w:r>
        <w:rPr>
          <w:rFonts w:hint="eastAsia" w:ascii="宋体" w:hAnsi="宋体" w:eastAsia="宋体" w:cs="Times New Roman"/>
          <w:szCs w:val="21"/>
        </w:rPr>
        <w:t>、每半年一次风险评估机制</w:t>
      </w:r>
      <w:r>
        <w:rPr>
          <w:rFonts w:ascii="宋体" w:hAnsi="宋体" w:eastAsia="宋体" w:cs="Times New Roman"/>
          <w:szCs w:val="21"/>
        </w:rPr>
        <w:t>(</w:t>
      </w:r>
      <w:r>
        <w:rPr>
          <w:rFonts w:hint="eastAsia" w:ascii="宋体" w:hAnsi="宋体" w:eastAsia="宋体" w:cs="Times New Roman"/>
          <w:szCs w:val="21"/>
        </w:rPr>
        <w:t>项目经理、系统管理员等</w:t>
      </w:r>
      <w:r>
        <w:rPr>
          <w:rFonts w:ascii="宋体" w:hAnsi="宋体" w:eastAsia="宋体" w:cs="Times New Roman"/>
          <w:szCs w:val="21"/>
        </w:rPr>
        <w:t>)</w:t>
      </w:r>
      <w:r>
        <w:rPr>
          <w:rFonts w:hint="eastAsia" w:ascii="宋体" w:hAnsi="宋体" w:eastAsia="宋体" w:cs="Times New Roman"/>
          <w:szCs w:val="21"/>
        </w:rPr>
        <w:t>，评审或评估发现的问题纳入到持续服务改进计划中，并每周进行跟踪和反馈。</w:t>
      </w:r>
    </w:p>
    <w:p w14:paraId="220256B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中招联合持续改进点来源于运维过程中突发事件、用户反馈、日常操作、系统业务分析、管理层建议、流程评估、风险评估等各个环节。改进以项目经理为责任主体，通过制定改进计划、确定改进方案。</w:t>
      </w:r>
    </w:p>
    <w:p w14:paraId="4EC5B16D">
      <w:pPr>
        <w:spacing w:line="360" w:lineRule="auto"/>
        <w:ind w:firstLine="420" w:firstLineChars="200"/>
        <w:rPr>
          <w:rFonts w:ascii="宋体" w:hAnsi="Times Roman" w:eastAsia="宋体" w:cs="宋体"/>
          <w:color w:val="000000"/>
          <w:kern w:val="0"/>
          <w:szCs w:val="21"/>
        </w:rPr>
      </w:pPr>
      <w:r>
        <w:rPr>
          <w:rFonts w:hint="eastAsia" w:ascii="宋体" w:hAnsi="宋体" w:eastAsia="宋体" w:cs="Times New Roman"/>
          <w:szCs w:val="21"/>
        </w:rPr>
        <w:t>中招联合持续改进采用</w:t>
      </w:r>
      <w:r>
        <w:rPr>
          <w:rFonts w:ascii="宋体" w:hAnsi="宋体" w:eastAsia="宋体" w:cs="Times New Roman"/>
          <w:szCs w:val="21"/>
        </w:rPr>
        <w:t>P-D-C-A</w:t>
      </w:r>
      <w:r>
        <w:rPr>
          <w:rFonts w:hint="eastAsia" w:ascii="宋体" w:hAnsi="宋体" w:eastAsia="宋体" w:cs="Times New Roman"/>
          <w:szCs w:val="21"/>
        </w:rPr>
        <w:t>的循环方式进行。</w:t>
      </w:r>
    </w:p>
    <w:p w14:paraId="1134819C">
      <w:pPr>
        <w:pStyle w:val="6"/>
        <w:spacing w:before="260" w:after="260" w:line="416" w:lineRule="auto"/>
        <w:jc w:val="both"/>
        <w:rPr>
          <w:rFonts w:hint="eastAsia" w:ascii="宋体" w:hAnsi="宋体" w:cstheme="majorBidi"/>
          <w:szCs w:val="24"/>
        </w:rPr>
      </w:pPr>
      <w:bookmarkStart w:id="355" w:name="_Toc180265727"/>
      <w:r>
        <w:rPr>
          <w:rFonts w:hint="eastAsia" w:ascii="宋体" w:hAnsi="宋体" w:cstheme="majorBidi"/>
          <w:szCs w:val="24"/>
        </w:rPr>
        <w:t>运维管理流程</w:t>
      </w:r>
      <w:bookmarkEnd w:id="355"/>
    </w:p>
    <w:p w14:paraId="265CFD7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结合项目需求，在运维期内将根据以下流程与规范进行必要的定制，确保项目团队在交付过程中执行的流程与规范既符要求。</w:t>
      </w:r>
    </w:p>
    <w:p w14:paraId="58737B44">
      <w:pPr>
        <w:pStyle w:val="73"/>
        <w:keepNext/>
        <w:keepLines/>
        <w:numPr>
          <w:ilvl w:val="2"/>
          <w:numId w:val="120"/>
        </w:numPr>
        <w:spacing w:before="280" w:after="290" w:line="376" w:lineRule="auto"/>
        <w:ind w:firstLineChars="0"/>
        <w:outlineLvl w:val="3"/>
        <w:rPr>
          <w:rFonts w:asciiTheme="majorHAnsi" w:hAnsiTheme="majorHAnsi" w:eastAsiaTheme="majorEastAsia" w:cstheme="majorBidi"/>
          <w:b/>
          <w:bCs/>
          <w:vanish/>
          <w:szCs w:val="28"/>
        </w:rPr>
      </w:pPr>
    </w:p>
    <w:p w14:paraId="614CC7C7">
      <w:pPr>
        <w:pStyle w:val="73"/>
        <w:keepNext/>
        <w:keepLines/>
        <w:numPr>
          <w:ilvl w:val="2"/>
          <w:numId w:val="120"/>
        </w:numPr>
        <w:spacing w:before="280" w:after="290" w:line="376" w:lineRule="auto"/>
        <w:ind w:firstLineChars="0"/>
        <w:outlineLvl w:val="3"/>
        <w:rPr>
          <w:rFonts w:asciiTheme="majorHAnsi" w:hAnsiTheme="majorHAnsi" w:eastAsiaTheme="majorEastAsia" w:cstheme="majorBidi"/>
          <w:b/>
          <w:bCs/>
          <w:vanish/>
          <w:szCs w:val="28"/>
        </w:rPr>
      </w:pPr>
    </w:p>
    <w:p w14:paraId="59990298">
      <w:pPr>
        <w:pStyle w:val="73"/>
        <w:keepNext/>
        <w:keepLines/>
        <w:numPr>
          <w:ilvl w:val="2"/>
          <w:numId w:val="120"/>
        </w:numPr>
        <w:spacing w:before="280" w:after="290" w:line="376" w:lineRule="auto"/>
        <w:ind w:firstLineChars="0"/>
        <w:outlineLvl w:val="3"/>
        <w:rPr>
          <w:rFonts w:asciiTheme="majorHAnsi" w:hAnsiTheme="majorHAnsi" w:eastAsiaTheme="majorEastAsia" w:cstheme="majorBidi"/>
          <w:b/>
          <w:bCs/>
          <w:vanish/>
          <w:szCs w:val="28"/>
        </w:rPr>
      </w:pPr>
    </w:p>
    <w:p w14:paraId="5E05713C">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18.2.3.1事件管理</w:t>
      </w:r>
    </w:p>
    <w:p w14:paraId="11D5F9D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要做好事件管理，要确定好事件管理的指标，确定时间分级定义，明确相应接口人以及职责，确定升级上报流程，确定公告方式以及故障报告。</w:t>
      </w:r>
    </w:p>
    <w:p w14:paraId="58DE8E49">
      <w:pPr>
        <w:numPr>
          <w:ilvl w:val="0"/>
          <w:numId w:val="125"/>
        </w:numPr>
        <w:spacing w:line="360" w:lineRule="auto"/>
        <w:rPr>
          <w:rFonts w:hint="eastAsia" w:ascii="宋体" w:hAnsi="宋体" w:eastAsia="宋体" w:cs="Times New Roman"/>
          <w:szCs w:val="21"/>
        </w:rPr>
      </w:pPr>
      <w:r>
        <w:rPr>
          <w:rFonts w:hint="eastAsia" w:ascii="宋体" w:hAnsi="宋体" w:eastAsia="宋体" w:cs="Times New Roman"/>
          <w:szCs w:val="21"/>
        </w:rPr>
        <w:t>事件管理流程</w:t>
      </w:r>
    </w:p>
    <w:p w14:paraId="6D0576E9">
      <w:pPr>
        <w:spacing w:line="360" w:lineRule="auto"/>
        <w:rPr>
          <w:rFonts w:hint="eastAsia" w:ascii="宋体" w:hAnsi="宋体" w:eastAsia="宋体" w:cs="Times New Roman"/>
          <w:szCs w:val="21"/>
        </w:rPr>
      </w:pPr>
      <w:r>
        <w:rPr>
          <w:rFonts w:ascii="宋体" w:hAnsi="宋体" w:eastAsia="宋体" w:cs="Times New Roman"/>
          <w:szCs w:val="21"/>
        </w:rPr>
        <w:drawing>
          <wp:anchor distT="0" distB="0" distL="114300" distR="114300" simplePos="0" relativeHeight="251661312" behindDoc="0" locked="0" layoutInCell="1" allowOverlap="1">
            <wp:simplePos x="0" y="0"/>
            <wp:positionH relativeFrom="column">
              <wp:align>center</wp:align>
            </wp:positionH>
            <wp:positionV relativeFrom="paragraph">
              <wp:posOffset>24130</wp:posOffset>
            </wp:positionV>
            <wp:extent cx="5939790" cy="6689090"/>
            <wp:effectExtent l="0" t="0" r="3810" b="0"/>
            <wp:wrapTopAndBottom/>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5939790" cy="6689090"/>
                    </a:xfrm>
                    <a:prstGeom prst="rect">
                      <a:avLst/>
                    </a:prstGeom>
                    <a:noFill/>
                    <a:ln>
                      <a:noFill/>
                    </a:ln>
                  </pic:spPr>
                </pic:pic>
              </a:graphicData>
            </a:graphic>
          </wp:anchor>
        </w:drawing>
      </w:r>
    </w:p>
    <w:p w14:paraId="05AFB42C">
      <w:pPr>
        <w:numPr>
          <w:ilvl w:val="0"/>
          <w:numId w:val="125"/>
        </w:numPr>
        <w:spacing w:line="360" w:lineRule="auto"/>
        <w:rPr>
          <w:rFonts w:hint="eastAsia" w:ascii="宋体" w:hAnsi="宋体" w:eastAsia="宋体" w:cs="Times New Roman"/>
          <w:szCs w:val="21"/>
        </w:rPr>
      </w:pPr>
      <w:r>
        <w:rPr>
          <w:rFonts w:hint="eastAsia" w:ascii="宋体" w:hAnsi="宋体" w:eastAsia="宋体" w:cs="Times New Roman"/>
          <w:szCs w:val="21"/>
        </w:rPr>
        <w:t>事件范围</w:t>
      </w:r>
    </w:p>
    <w:p w14:paraId="409FA24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w:t>
      </w:r>
      <w:r>
        <w:rPr>
          <w:rFonts w:ascii="宋体" w:hAnsi="宋体" w:eastAsia="宋体" w:cs="Times New Roman"/>
          <w:szCs w:val="21"/>
        </w:rPr>
        <w:t>IT</w:t>
      </w:r>
      <w:r>
        <w:rPr>
          <w:rFonts w:hint="eastAsia" w:ascii="宋体" w:hAnsi="宋体" w:eastAsia="宋体" w:cs="Times New Roman"/>
          <w:szCs w:val="21"/>
        </w:rPr>
        <w:t>服务运营过程中出现的所有事故和服务请求都可纳入突发事件管理的范围。包括</w:t>
      </w:r>
      <w:r>
        <w:rPr>
          <w:rFonts w:ascii="宋体" w:hAnsi="宋体" w:eastAsia="宋体" w:cs="Times New Roman"/>
          <w:szCs w:val="21"/>
        </w:rPr>
        <w:t>:</w:t>
      </w:r>
    </w:p>
    <w:p w14:paraId="47212A4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应用</w:t>
      </w:r>
      <w:r>
        <w:rPr>
          <w:rFonts w:ascii="宋体" w:hAnsi="宋体" w:eastAsia="宋体" w:cs="Times New Roman"/>
          <w:szCs w:val="21"/>
        </w:rPr>
        <w:t>:</w:t>
      </w:r>
      <w:r>
        <w:rPr>
          <w:rFonts w:hint="eastAsia" w:ascii="宋体" w:hAnsi="宋体" w:eastAsia="宋体" w:cs="Times New Roman"/>
          <w:szCs w:val="21"/>
        </w:rPr>
        <w:t>比如服务不可用、拒绝服务。</w:t>
      </w:r>
    </w:p>
    <w:p w14:paraId="5E60A1C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硬件</w:t>
      </w:r>
      <w:r>
        <w:rPr>
          <w:rFonts w:ascii="宋体" w:hAnsi="宋体" w:eastAsia="宋体" w:cs="Times New Roman"/>
          <w:szCs w:val="21"/>
        </w:rPr>
        <w:t>:</w:t>
      </w:r>
      <w:r>
        <w:rPr>
          <w:rFonts w:hint="eastAsia" w:ascii="宋体" w:hAnsi="宋体" w:eastAsia="宋体" w:cs="Times New Roman"/>
          <w:szCs w:val="21"/>
        </w:rPr>
        <w:t>比如宕机。</w:t>
      </w:r>
    </w:p>
    <w:p w14:paraId="3C2AB53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服务请求</w:t>
      </w:r>
      <w:r>
        <w:rPr>
          <w:rFonts w:ascii="宋体" w:hAnsi="宋体" w:eastAsia="宋体" w:cs="Times New Roman"/>
          <w:szCs w:val="21"/>
        </w:rPr>
        <w:t>:</w:t>
      </w:r>
      <w:r>
        <w:rPr>
          <w:rFonts w:hint="eastAsia" w:ascii="宋体" w:hAnsi="宋体" w:eastAsia="宋体" w:cs="Times New Roman"/>
          <w:szCs w:val="21"/>
        </w:rPr>
        <w:t>如业务部门的紧急需求</w:t>
      </w:r>
    </w:p>
    <w:p w14:paraId="4D76F7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事件的产生有二类</w:t>
      </w:r>
      <w:r>
        <w:rPr>
          <w:rFonts w:ascii="宋体" w:hAnsi="宋体" w:eastAsia="宋体" w:cs="Times New Roman"/>
          <w:szCs w:val="21"/>
        </w:rPr>
        <w:t>:</w:t>
      </w:r>
    </w:p>
    <w:p w14:paraId="67F20DB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由</w:t>
      </w:r>
      <w:r>
        <w:rPr>
          <w:rFonts w:ascii="宋体" w:hAnsi="宋体" w:eastAsia="宋体" w:cs="Times New Roman"/>
          <w:szCs w:val="21"/>
        </w:rPr>
        <w:t>IT</w:t>
      </w:r>
      <w:r>
        <w:rPr>
          <w:rFonts w:hint="eastAsia" w:ascii="宋体" w:hAnsi="宋体" w:eastAsia="宋体" w:cs="Times New Roman"/>
          <w:szCs w:val="21"/>
        </w:rPr>
        <w:t>维护人员</w:t>
      </w:r>
      <w:r>
        <w:rPr>
          <w:rFonts w:ascii="宋体" w:hAnsi="宋体" w:eastAsia="宋体" w:cs="Times New Roman"/>
          <w:szCs w:val="21"/>
        </w:rPr>
        <w:t>/</w:t>
      </w:r>
      <w:r>
        <w:rPr>
          <w:rFonts w:hint="eastAsia" w:ascii="宋体" w:hAnsi="宋体" w:eastAsia="宋体" w:cs="Times New Roman"/>
          <w:szCs w:val="21"/>
        </w:rPr>
        <w:t>用户报告的事件</w:t>
      </w:r>
      <w:r>
        <w:rPr>
          <w:rFonts w:ascii="宋体" w:hAnsi="宋体" w:eastAsia="宋体" w:cs="Times New Roman"/>
          <w:szCs w:val="21"/>
        </w:rPr>
        <w:t>/</w:t>
      </w:r>
      <w:r>
        <w:rPr>
          <w:rFonts w:hint="eastAsia" w:ascii="宋体" w:hAnsi="宋体" w:eastAsia="宋体" w:cs="Times New Roman"/>
          <w:szCs w:val="21"/>
        </w:rPr>
        <w:t>服务请求。</w:t>
      </w:r>
    </w:p>
    <w:p w14:paraId="4C04EF9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由监控管理平台自动发现并产生的告警事件。</w:t>
      </w:r>
    </w:p>
    <w:p w14:paraId="7468199E">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8.2.3.2</w:t>
      </w:r>
      <w:r>
        <w:rPr>
          <w:rFonts w:hint="eastAsia" w:asciiTheme="majorHAnsi" w:hAnsiTheme="majorHAnsi" w:eastAsiaTheme="majorEastAsia" w:cstheme="majorBidi"/>
          <w:b/>
          <w:bCs/>
          <w:szCs w:val="28"/>
        </w:rPr>
        <w:t>变更管理</w:t>
      </w:r>
    </w:p>
    <w:p w14:paraId="58ABB13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要做好变更管理，要确定好变更级别，变更审批人，重大变更方案评审资源。</w:t>
      </w:r>
    </w:p>
    <w:p w14:paraId="4DBA7DB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新应用的上线、系统调整、调整安全策略、故障等都会产生变更操作。有资料表明，有</w:t>
      </w:r>
      <w:r>
        <w:rPr>
          <w:rFonts w:ascii="宋体" w:hAnsi="宋体" w:eastAsia="宋体" w:cs="Times New Roman"/>
          <w:szCs w:val="21"/>
        </w:rPr>
        <w:t>80%</w:t>
      </w:r>
      <w:r>
        <w:rPr>
          <w:rFonts w:hint="eastAsia" w:ascii="宋体" w:hAnsi="宋体" w:eastAsia="宋体" w:cs="Times New Roman"/>
          <w:szCs w:val="21"/>
        </w:rPr>
        <w:t>的事故源自配置变更。所以做好变更管理是系统稳定的一个重要手段。</w:t>
      </w:r>
    </w:p>
    <w:p w14:paraId="0674F30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变更提出后，变更经理审批，中招联合与烟草相关的技术</w:t>
      </w:r>
      <w:r>
        <w:rPr>
          <w:rFonts w:ascii="宋体" w:hAnsi="宋体" w:eastAsia="宋体" w:cs="Times New Roman"/>
          <w:szCs w:val="21"/>
        </w:rPr>
        <w:t>/</w:t>
      </w:r>
      <w:r>
        <w:rPr>
          <w:rFonts w:hint="eastAsia" w:ascii="宋体" w:hAnsi="宋体" w:eastAsia="宋体" w:cs="Times New Roman"/>
          <w:szCs w:val="21"/>
        </w:rPr>
        <w:t>业务人员审核后由指定工程师实施，工程师指定实施计划，实施完成后工程师提用户交测试，测试通过后变更经理提交总结和评价。其中对变更方案的审核工作，以及变更带来的影响评估以及回退措施是其关键环节。</w:t>
      </w:r>
    </w:p>
    <w:p w14:paraId="4F9C137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中招联合同用户将变更管理流程固化并进行记录、归档。</w:t>
      </w:r>
    </w:p>
    <w:p w14:paraId="31A34705">
      <w:pPr>
        <w:numPr>
          <w:ilvl w:val="0"/>
          <w:numId w:val="126"/>
        </w:numPr>
        <w:spacing w:line="360" w:lineRule="auto"/>
        <w:rPr>
          <w:rFonts w:hint="eastAsia" w:ascii="宋体" w:hAnsi="宋体" w:eastAsia="宋体" w:cs="Times New Roman"/>
          <w:szCs w:val="21"/>
        </w:rPr>
      </w:pPr>
      <w:r>
        <w:rPr>
          <w:rFonts w:hint="eastAsia" w:ascii="宋体" w:hAnsi="宋体" w:eastAsia="宋体" w:cs="Times New Roman"/>
          <w:szCs w:val="21"/>
        </w:rPr>
        <w:t>变更级别</w:t>
      </w:r>
    </w:p>
    <w:tbl>
      <w:tblPr>
        <w:tblStyle w:val="40"/>
        <w:tblW w:w="9115" w:type="dxa"/>
        <w:jc w:val="center"/>
        <w:tblLayout w:type="fixed"/>
        <w:tblCellMar>
          <w:top w:w="0" w:type="dxa"/>
          <w:left w:w="108" w:type="dxa"/>
          <w:bottom w:w="0" w:type="dxa"/>
          <w:right w:w="108" w:type="dxa"/>
        </w:tblCellMar>
      </w:tblPr>
      <w:tblGrid>
        <w:gridCol w:w="1134"/>
        <w:gridCol w:w="1418"/>
        <w:gridCol w:w="1134"/>
        <w:gridCol w:w="1276"/>
        <w:gridCol w:w="1559"/>
        <w:gridCol w:w="1276"/>
        <w:gridCol w:w="1318"/>
      </w:tblGrid>
      <w:tr w14:paraId="2697288E">
        <w:tblPrEx>
          <w:tblCellMar>
            <w:top w:w="0" w:type="dxa"/>
            <w:left w:w="108" w:type="dxa"/>
            <w:bottom w:w="0" w:type="dxa"/>
            <w:right w:w="108" w:type="dxa"/>
          </w:tblCellMar>
        </w:tblPrEx>
        <w:trPr>
          <w:jc w:val="center"/>
        </w:trPr>
        <w:tc>
          <w:tcPr>
            <w:tcW w:w="1134"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E86AA6">
            <w:pPr>
              <w:widowControl/>
              <w:autoSpaceDE w:val="0"/>
              <w:autoSpaceDN w:val="0"/>
              <w:adjustRightInd w:val="0"/>
              <w:spacing w:line="276" w:lineRule="auto"/>
              <w:ind w:left="480"/>
              <w:jc w:val="left"/>
              <w:rPr>
                <w:rFonts w:ascii="Times Roman" w:hAnsi="Times Roman" w:eastAsia="宋体" w:cs="Times Roman"/>
                <w:color w:val="000000"/>
                <w:kern w:val="0"/>
                <w:szCs w:val="21"/>
              </w:rPr>
            </w:pPr>
            <w:r>
              <w:rPr>
                <w:rFonts w:hint="eastAsia" w:ascii="宋体" w:eastAsia="宋体" w:cs="宋体"/>
                <w:color w:val="000000"/>
                <w:kern w:val="0"/>
                <w:szCs w:val="21"/>
              </w:rPr>
              <w:t>级别</w:t>
            </w:r>
          </w:p>
        </w:tc>
        <w:tc>
          <w:tcPr>
            <w:tcW w:w="1418"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50485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对业务的影响</w:t>
            </w:r>
            <w:r>
              <w:rPr>
                <w:rFonts w:ascii="宋体" w:hAnsi="Times Roman" w:eastAsia="宋体" w:cs="宋体"/>
                <w:color w:val="000000"/>
                <w:kern w:val="0"/>
                <w:szCs w:val="21"/>
              </w:rPr>
              <w:t>(</w:t>
            </w:r>
            <w:r>
              <w:rPr>
                <w:rFonts w:hint="eastAsia" w:ascii="宋体" w:hAnsi="Times Roman" w:eastAsia="宋体" w:cs="宋体"/>
                <w:color w:val="000000"/>
                <w:kern w:val="0"/>
                <w:szCs w:val="21"/>
              </w:rPr>
              <w:t>范围、程度、时间</w:t>
            </w:r>
            <w:r>
              <w:rPr>
                <w:rFonts w:ascii="宋体" w:hAnsi="Times Roman" w:eastAsia="宋体" w:cs="宋体"/>
                <w:color w:val="000000"/>
                <w:kern w:val="0"/>
                <w:szCs w:val="21"/>
              </w:rPr>
              <w:t>)</w:t>
            </w:r>
          </w:p>
        </w:tc>
        <w:tc>
          <w:tcPr>
            <w:tcW w:w="1134"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CF4B40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对相关系统的影响</w:t>
            </w:r>
            <w:r>
              <w:rPr>
                <w:rFonts w:ascii="宋体" w:hAnsi="Times Roman" w:eastAsia="宋体" w:cs="宋体"/>
                <w:color w:val="000000"/>
                <w:kern w:val="0"/>
                <w:szCs w:val="21"/>
              </w:rPr>
              <w:t>(</w:t>
            </w:r>
            <w:r>
              <w:rPr>
                <w:rFonts w:hint="eastAsia" w:ascii="宋体" w:hAnsi="Times Roman" w:eastAsia="宋体" w:cs="宋体"/>
                <w:color w:val="000000"/>
                <w:kern w:val="0"/>
                <w:szCs w:val="21"/>
              </w:rPr>
              <w:t>范围</w:t>
            </w:r>
            <w:r>
              <w:rPr>
                <w:rFonts w:ascii="宋体" w:hAnsi="Times Roman" w:eastAsia="宋体" w:cs="宋体"/>
                <w:color w:val="000000"/>
                <w:kern w:val="0"/>
                <w:szCs w:val="21"/>
              </w:rPr>
              <w:t>)</w:t>
            </w:r>
          </w:p>
        </w:tc>
        <w:tc>
          <w:tcPr>
            <w:tcW w:w="1276"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2AB832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回滚计划</w:t>
            </w:r>
            <w:r>
              <w:rPr>
                <w:rFonts w:ascii="宋体" w:hAnsi="Times Roman" w:eastAsia="宋体" w:cs="宋体"/>
                <w:color w:val="000000"/>
                <w:kern w:val="0"/>
                <w:szCs w:val="21"/>
              </w:rPr>
              <w:t>(</w:t>
            </w:r>
            <w:r>
              <w:rPr>
                <w:rFonts w:hint="eastAsia" w:ascii="宋体" w:hAnsi="Times Roman" w:eastAsia="宋体" w:cs="宋体"/>
                <w:color w:val="000000"/>
                <w:kern w:val="0"/>
                <w:szCs w:val="21"/>
              </w:rPr>
              <w:t>有</w:t>
            </w:r>
            <w:r>
              <w:rPr>
                <w:rFonts w:ascii="宋体" w:hAnsi="Times Roman" w:eastAsia="宋体" w:cs="宋体"/>
                <w:color w:val="000000"/>
                <w:kern w:val="0"/>
                <w:szCs w:val="21"/>
              </w:rPr>
              <w:t>/</w:t>
            </w:r>
            <w:r>
              <w:rPr>
                <w:rFonts w:hint="eastAsia" w:ascii="宋体" w:hAnsi="Times Roman" w:eastAsia="宋体" w:cs="宋体"/>
                <w:color w:val="000000"/>
                <w:kern w:val="0"/>
                <w:szCs w:val="21"/>
              </w:rPr>
              <w:t>无，难度</w:t>
            </w:r>
            <w:r>
              <w:rPr>
                <w:rFonts w:ascii="宋体" w:hAnsi="Times Roman" w:eastAsia="宋体" w:cs="宋体"/>
                <w:color w:val="000000"/>
                <w:kern w:val="0"/>
                <w:szCs w:val="21"/>
              </w:rPr>
              <w:t>)</w:t>
            </w:r>
          </w:p>
        </w:tc>
        <w:tc>
          <w:tcPr>
            <w:tcW w:w="1559"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8D4413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变更执行</w:t>
            </w:r>
            <w:r>
              <w:rPr>
                <w:rFonts w:ascii="宋体" w:hAnsi="Times Roman" w:eastAsia="宋体" w:cs="宋体"/>
                <w:color w:val="000000"/>
                <w:kern w:val="0"/>
                <w:szCs w:val="21"/>
              </w:rPr>
              <w:t>(</w:t>
            </w:r>
            <w:r>
              <w:rPr>
                <w:rFonts w:hint="eastAsia" w:ascii="宋体" w:hAnsi="Times Roman" w:eastAsia="宋体" w:cs="宋体"/>
                <w:color w:val="000000"/>
                <w:kern w:val="0"/>
                <w:szCs w:val="21"/>
              </w:rPr>
              <w:t>难度</w:t>
            </w:r>
            <w:r>
              <w:rPr>
                <w:rFonts w:ascii="宋体" w:hAnsi="Times Roman" w:eastAsia="宋体" w:cs="宋体"/>
                <w:color w:val="000000"/>
                <w:kern w:val="0"/>
                <w:szCs w:val="21"/>
              </w:rPr>
              <w:t>)</w:t>
            </w:r>
          </w:p>
        </w:tc>
        <w:tc>
          <w:tcPr>
            <w:tcW w:w="1276"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1D7D6F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发起人</w:t>
            </w:r>
          </w:p>
        </w:tc>
        <w:tc>
          <w:tcPr>
            <w:tcW w:w="1318"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5DB93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审批者</w:t>
            </w:r>
          </w:p>
        </w:tc>
      </w:tr>
      <w:tr w14:paraId="3EF2EC00">
        <w:tblPrEx>
          <w:tblCellMar>
            <w:top w:w="0" w:type="dxa"/>
            <w:left w:w="108" w:type="dxa"/>
            <w:bottom w:w="0" w:type="dxa"/>
            <w:right w:w="108" w:type="dxa"/>
          </w:tblCellMar>
        </w:tblPrEx>
        <w:trPr>
          <w:jc w:val="center"/>
        </w:trPr>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FFBA48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轻微变更</w:t>
            </w:r>
          </w:p>
        </w:tc>
        <w:tc>
          <w:tcPr>
            <w:tcW w:w="14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3E4C31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无或基本无影响</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A1C10B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无</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1BAC08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有，低</w:t>
            </w:r>
          </w:p>
        </w:tc>
        <w:tc>
          <w:tcPr>
            <w:tcW w:w="155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479F3A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低</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58464D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工程师</w:t>
            </w:r>
          </w:p>
        </w:tc>
        <w:tc>
          <w:tcPr>
            <w:tcW w:w="13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31D87E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r>
      <w:tr w14:paraId="74D79F33">
        <w:tblPrEx>
          <w:tblCellMar>
            <w:top w:w="0" w:type="dxa"/>
            <w:left w:w="108" w:type="dxa"/>
            <w:bottom w:w="0" w:type="dxa"/>
            <w:right w:w="108" w:type="dxa"/>
          </w:tblCellMar>
        </w:tblPrEx>
        <w:trPr>
          <w:jc w:val="center"/>
        </w:trPr>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854A25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一般变更</w:t>
            </w:r>
          </w:p>
        </w:tc>
        <w:tc>
          <w:tcPr>
            <w:tcW w:w="14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1E5352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有较大影响、不可用或质量有明显降低、</w:t>
            </w:r>
            <w:r>
              <w:rPr>
                <w:rFonts w:ascii="宋体" w:hAnsi="Times Roman" w:eastAsia="宋体" w:cs="宋体"/>
                <w:color w:val="000000"/>
                <w:kern w:val="0"/>
                <w:szCs w:val="21"/>
              </w:rPr>
              <w:t>30</w:t>
            </w:r>
            <w:r>
              <w:rPr>
                <w:rFonts w:hint="eastAsia" w:ascii="宋体" w:hAnsi="Times Roman" w:eastAsia="宋体" w:cs="宋体"/>
                <w:color w:val="000000"/>
                <w:kern w:val="0"/>
                <w:szCs w:val="21"/>
              </w:rPr>
              <w:t>分钟</w:t>
            </w:r>
            <w:r>
              <w:rPr>
                <w:rFonts w:ascii="宋体" w:hAnsi="Times Roman" w:eastAsia="宋体" w:cs="宋体"/>
                <w:color w:val="000000"/>
                <w:kern w:val="0"/>
                <w:szCs w:val="21"/>
              </w:rPr>
              <w:t>(</w:t>
            </w:r>
            <w:r>
              <w:rPr>
                <w:rFonts w:hint="eastAsia" w:ascii="宋体" w:hAnsi="Times Roman" w:eastAsia="宋体" w:cs="宋体"/>
                <w:color w:val="000000"/>
                <w:kern w:val="0"/>
                <w:szCs w:val="21"/>
              </w:rPr>
              <w:t>根据受影响业务的重要性确定</w:t>
            </w:r>
            <w:r>
              <w:rPr>
                <w:rFonts w:ascii="宋体" w:hAnsi="Times Roman" w:eastAsia="宋体" w:cs="宋体"/>
                <w:color w:val="000000"/>
                <w:kern w:val="0"/>
                <w:szCs w:val="21"/>
              </w:rPr>
              <w:t>)</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36016C">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宋体" w:hAnsi="Times Roman" w:eastAsia="宋体" w:cs="宋体"/>
                <w:color w:val="000000"/>
                <w:kern w:val="0"/>
                <w:szCs w:val="21"/>
              </w:rPr>
              <w:t>1-2</w:t>
            </w:r>
            <w:r>
              <w:rPr>
                <w:rFonts w:hint="eastAsia" w:ascii="宋体" w:hAnsi="Times Roman" w:eastAsia="宋体" w:cs="宋体"/>
                <w:color w:val="000000"/>
                <w:kern w:val="0"/>
                <w:szCs w:val="21"/>
              </w:rPr>
              <w:t>个</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FE172A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有，较低</w:t>
            </w:r>
          </w:p>
        </w:tc>
        <w:tc>
          <w:tcPr>
            <w:tcW w:w="155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6F8A2D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较低且有类似经验</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B8C366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13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D10B40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主管相关业务、系统负责人</w:t>
            </w:r>
          </w:p>
        </w:tc>
      </w:tr>
      <w:tr w14:paraId="7B36DF81">
        <w:tblPrEx>
          <w:tblCellMar>
            <w:top w:w="0" w:type="dxa"/>
            <w:left w:w="108" w:type="dxa"/>
            <w:bottom w:w="0" w:type="dxa"/>
            <w:right w:w="108" w:type="dxa"/>
          </w:tblCellMar>
        </w:tblPrEx>
        <w:trPr>
          <w:jc w:val="center"/>
        </w:trPr>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F0350E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重大变更</w:t>
            </w:r>
          </w:p>
        </w:tc>
        <w:tc>
          <w:tcPr>
            <w:tcW w:w="14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D428A3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有重大影响、不可用或质量有明显降低、</w:t>
            </w:r>
            <w:r>
              <w:rPr>
                <w:rFonts w:ascii="宋体" w:hAnsi="Times Roman" w:eastAsia="宋体" w:cs="宋体"/>
                <w:color w:val="000000"/>
                <w:kern w:val="0"/>
                <w:szCs w:val="21"/>
              </w:rPr>
              <w:t>1</w:t>
            </w:r>
            <w:r>
              <w:rPr>
                <w:rFonts w:hint="eastAsia" w:ascii="宋体" w:hAnsi="Times Roman" w:eastAsia="宋体" w:cs="宋体"/>
                <w:color w:val="000000"/>
                <w:kern w:val="0"/>
                <w:szCs w:val="21"/>
              </w:rPr>
              <w:t>小时以上</w:t>
            </w:r>
            <w:r>
              <w:rPr>
                <w:rFonts w:ascii="宋体" w:hAnsi="Times Roman" w:eastAsia="宋体" w:cs="宋体"/>
                <w:color w:val="000000"/>
                <w:kern w:val="0"/>
                <w:szCs w:val="21"/>
              </w:rPr>
              <w:t>(</w:t>
            </w:r>
            <w:r>
              <w:rPr>
                <w:rFonts w:hint="eastAsia" w:ascii="宋体" w:hAnsi="Times Roman" w:eastAsia="宋体" w:cs="宋体"/>
                <w:color w:val="000000"/>
                <w:kern w:val="0"/>
                <w:szCs w:val="21"/>
              </w:rPr>
              <w:t>根据受影响业务的重要性确定</w:t>
            </w:r>
            <w:r>
              <w:rPr>
                <w:rFonts w:ascii="宋体" w:hAnsi="Times Roman" w:eastAsia="宋体" w:cs="宋体"/>
                <w:color w:val="000000"/>
                <w:kern w:val="0"/>
                <w:szCs w:val="21"/>
              </w:rPr>
              <w:t>)</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CBCA4C9">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宋体" w:hAnsi="Times Roman" w:eastAsia="宋体" w:cs="宋体"/>
                <w:color w:val="000000"/>
                <w:kern w:val="0"/>
                <w:szCs w:val="21"/>
              </w:rPr>
              <w:t>3</w:t>
            </w:r>
            <w:r>
              <w:rPr>
                <w:rFonts w:hint="eastAsia" w:ascii="宋体" w:hAnsi="Times Roman" w:eastAsia="宋体" w:cs="宋体"/>
                <w:color w:val="000000"/>
                <w:kern w:val="0"/>
                <w:szCs w:val="21"/>
              </w:rPr>
              <w:t>个以上</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C0AA03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无，有回滚计划但难度高</w:t>
            </w:r>
          </w:p>
        </w:tc>
        <w:tc>
          <w:tcPr>
            <w:tcW w:w="155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EB0443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高或无类似经验</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B36496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13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CAAB03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公司主管领导及相关业务、系统负责人</w:t>
            </w:r>
          </w:p>
        </w:tc>
      </w:tr>
    </w:tbl>
    <w:p w14:paraId="03295A8B">
      <w:pPr>
        <w:spacing w:line="360" w:lineRule="auto"/>
        <w:rPr>
          <w:rFonts w:hint="eastAsia" w:ascii="宋体" w:hAnsi="宋体" w:eastAsia="宋体" w:cs="Times New Roman"/>
          <w:sz w:val="24"/>
          <w:szCs w:val="24"/>
        </w:rPr>
      </w:pPr>
    </w:p>
    <w:tbl>
      <w:tblPr>
        <w:tblStyle w:val="40"/>
        <w:tblW w:w="8733" w:type="dxa"/>
        <w:jc w:val="center"/>
        <w:tblLayout w:type="fixed"/>
        <w:tblCellMar>
          <w:top w:w="0" w:type="dxa"/>
          <w:left w:w="108" w:type="dxa"/>
          <w:bottom w:w="0" w:type="dxa"/>
          <w:right w:w="108" w:type="dxa"/>
        </w:tblCellMar>
      </w:tblPr>
      <w:tblGrid>
        <w:gridCol w:w="1418"/>
        <w:gridCol w:w="2198"/>
        <w:gridCol w:w="2336"/>
        <w:gridCol w:w="992"/>
        <w:gridCol w:w="1789"/>
      </w:tblGrid>
      <w:tr w14:paraId="317070B8">
        <w:tblPrEx>
          <w:tblCellMar>
            <w:top w:w="0" w:type="dxa"/>
            <w:left w:w="108" w:type="dxa"/>
            <w:bottom w:w="0" w:type="dxa"/>
            <w:right w:w="108" w:type="dxa"/>
          </w:tblCellMar>
        </w:tblPrEx>
        <w:trPr>
          <w:jc w:val="center"/>
        </w:trPr>
        <w:tc>
          <w:tcPr>
            <w:tcW w:w="1418"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4833194">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eastAsia="宋体" w:cs="宋体"/>
                <w:color w:val="000000"/>
                <w:kern w:val="0"/>
                <w:sz w:val="22"/>
              </w:rPr>
              <w:t>变更类别</w:t>
            </w:r>
          </w:p>
        </w:tc>
        <w:tc>
          <w:tcPr>
            <w:tcW w:w="2198"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11E59E">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审批完成时间</w:t>
            </w:r>
          </w:p>
        </w:tc>
        <w:tc>
          <w:tcPr>
            <w:tcW w:w="2336"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1A2A9A1">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执行开始时间</w:t>
            </w:r>
          </w:p>
        </w:tc>
        <w:tc>
          <w:tcPr>
            <w:tcW w:w="992"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852470D">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执行所需时间</w:t>
            </w:r>
          </w:p>
        </w:tc>
        <w:tc>
          <w:tcPr>
            <w:tcW w:w="1789"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7C9517">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审批者</w:t>
            </w:r>
          </w:p>
        </w:tc>
      </w:tr>
      <w:tr w14:paraId="044F9964">
        <w:tblPrEx>
          <w:tblCellMar>
            <w:top w:w="0" w:type="dxa"/>
            <w:left w:w="108" w:type="dxa"/>
            <w:bottom w:w="0" w:type="dxa"/>
            <w:right w:w="108" w:type="dxa"/>
          </w:tblCellMar>
        </w:tblPrEx>
        <w:trPr>
          <w:jc w:val="center"/>
        </w:trPr>
        <w:tc>
          <w:tcPr>
            <w:tcW w:w="14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A102C2">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正常变更</w:t>
            </w:r>
          </w:p>
        </w:tc>
        <w:tc>
          <w:tcPr>
            <w:tcW w:w="219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8F3A3FE">
            <w:pPr>
              <w:widowControl/>
              <w:autoSpaceDE w:val="0"/>
              <w:autoSpaceDN w:val="0"/>
              <w:adjustRightInd w:val="0"/>
              <w:spacing w:line="276" w:lineRule="auto"/>
              <w:ind w:left="141" w:leftChars="67"/>
              <w:jc w:val="left"/>
              <w:rPr>
                <w:rFonts w:ascii="宋体" w:hAnsi="Times Roman" w:eastAsia="宋体" w:cs="宋体"/>
                <w:color w:val="000000"/>
                <w:kern w:val="0"/>
                <w:sz w:val="22"/>
              </w:rPr>
            </w:pPr>
            <w:r>
              <w:rPr>
                <w:rFonts w:hint="eastAsia" w:ascii="宋体" w:hAnsi="Times Roman" w:eastAsia="宋体" w:cs="宋体"/>
                <w:color w:val="000000"/>
                <w:kern w:val="0"/>
                <w:sz w:val="22"/>
              </w:rPr>
              <w:t>轻微</w:t>
            </w:r>
            <w:r>
              <w:rPr>
                <w:rFonts w:ascii="宋体" w:hAnsi="Times Roman" w:eastAsia="宋体" w:cs="宋体"/>
                <w:color w:val="000000"/>
                <w:kern w:val="0"/>
                <w:sz w:val="22"/>
              </w:rPr>
              <w:t>:3</w:t>
            </w:r>
            <w:r>
              <w:rPr>
                <w:rFonts w:hint="eastAsia" w:ascii="宋体" w:hAnsi="Times Roman" w:eastAsia="宋体" w:cs="宋体"/>
                <w:color w:val="000000"/>
                <w:kern w:val="0"/>
                <w:sz w:val="22"/>
              </w:rPr>
              <w:t>天内一般</w:t>
            </w:r>
            <w:r>
              <w:rPr>
                <w:rFonts w:ascii="宋体" w:hAnsi="Times Roman" w:eastAsia="宋体" w:cs="宋体"/>
                <w:color w:val="000000"/>
                <w:kern w:val="0"/>
                <w:sz w:val="22"/>
              </w:rPr>
              <w:t>:5</w:t>
            </w:r>
            <w:r>
              <w:rPr>
                <w:rFonts w:hint="eastAsia" w:ascii="宋体" w:hAnsi="Times Roman" w:eastAsia="宋体" w:cs="宋体"/>
                <w:color w:val="000000"/>
                <w:kern w:val="0"/>
                <w:sz w:val="22"/>
              </w:rPr>
              <w:t>天内重大</w:t>
            </w:r>
            <w:r>
              <w:rPr>
                <w:rFonts w:ascii="宋体" w:hAnsi="Times Roman" w:eastAsia="宋体" w:cs="宋体"/>
                <w:color w:val="000000"/>
                <w:kern w:val="0"/>
                <w:sz w:val="22"/>
              </w:rPr>
              <w:t>:15</w:t>
            </w:r>
            <w:r>
              <w:rPr>
                <w:rFonts w:hint="eastAsia" w:ascii="宋体" w:hAnsi="Times Roman" w:eastAsia="宋体" w:cs="宋体"/>
                <w:color w:val="000000"/>
                <w:kern w:val="0"/>
                <w:sz w:val="22"/>
              </w:rPr>
              <w:t>天内</w:t>
            </w:r>
          </w:p>
        </w:tc>
        <w:tc>
          <w:tcPr>
            <w:tcW w:w="23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5E7271C">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轻微</w:t>
            </w:r>
            <w:r>
              <w:rPr>
                <w:rFonts w:ascii="宋体" w:hAnsi="Times Roman" w:eastAsia="宋体" w:cs="宋体"/>
                <w:color w:val="000000"/>
                <w:kern w:val="0"/>
                <w:sz w:val="22"/>
              </w:rPr>
              <w:t>:3</w:t>
            </w:r>
            <w:r>
              <w:rPr>
                <w:rFonts w:hint="eastAsia" w:ascii="宋体" w:hAnsi="Times Roman" w:eastAsia="宋体" w:cs="宋体"/>
                <w:color w:val="000000"/>
                <w:kern w:val="0"/>
                <w:sz w:val="22"/>
              </w:rPr>
              <w:t>天内一般</w:t>
            </w:r>
            <w:r>
              <w:rPr>
                <w:rFonts w:ascii="宋体" w:hAnsi="Times Roman" w:eastAsia="宋体" w:cs="宋体"/>
                <w:color w:val="000000"/>
                <w:kern w:val="0"/>
                <w:sz w:val="22"/>
              </w:rPr>
              <w:t>:5</w:t>
            </w:r>
            <w:r>
              <w:rPr>
                <w:rFonts w:hint="eastAsia" w:ascii="宋体" w:hAnsi="Times Roman" w:eastAsia="宋体" w:cs="宋体"/>
                <w:color w:val="000000"/>
                <w:kern w:val="0"/>
                <w:sz w:val="22"/>
              </w:rPr>
              <w:t>天内重大</w:t>
            </w:r>
            <w:r>
              <w:rPr>
                <w:rFonts w:ascii="宋体" w:hAnsi="Times Roman" w:eastAsia="宋体" w:cs="宋体"/>
                <w:color w:val="000000"/>
                <w:kern w:val="0"/>
                <w:sz w:val="22"/>
              </w:rPr>
              <w:t>:30</w:t>
            </w:r>
            <w:r>
              <w:rPr>
                <w:rFonts w:hint="eastAsia" w:ascii="宋体" w:hAnsi="Times Roman" w:eastAsia="宋体" w:cs="宋体"/>
                <w:color w:val="000000"/>
                <w:kern w:val="0"/>
                <w:sz w:val="22"/>
              </w:rPr>
              <w:t>天内</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D41CDC">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p>
        </w:tc>
        <w:tc>
          <w:tcPr>
            <w:tcW w:w="178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640CE5">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参见变更级别表</w:t>
            </w:r>
          </w:p>
        </w:tc>
      </w:tr>
      <w:tr w14:paraId="0DEA3E47">
        <w:tblPrEx>
          <w:tblCellMar>
            <w:top w:w="0" w:type="dxa"/>
            <w:left w:w="108" w:type="dxa"/>
            <w:bottom w:w="0" w:type="dxa"/>
            <w:right w:w="108" w:type="dxa"/>
          </w:tblCellMar>
        </w:tblPrEx>
        <w:trPr>
          <w:jc w:val="center"/>
        </w:trPr>
        <w:tc>
          <w:tcPr>
            <w:tcW w:w="141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CBC4FE4">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紧急变更</w:t>
            </w:r>
          </w:p>
        </w:tc>
        <w:tc>
          <w:tcPr>
            <w:tcW w:w="2198"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51D15E">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ascii="宋体" w:hAnsi="Times Roman" w:eastAsia="宋体" w:cs="宋体"/>
                <w:color w:val="000000"/>
                <w:kern w:val="0"/>
                <w:sz w:val="22"/>
              </w:rPr>
              <w:t>1-2</w:t>
            </w:r>
            <w:r>
              <w:rPr>
                <w:rFonts w:hint="eastAsia" w:ascii="宋体" w:hAnsi="Times Roman" w:eastAsia="宋体" w:cs="宋体"/>
                <w:color w:val="000000"/>
                <w:kern w:val="0"/>
                <w:sz w:val="22"/>
              </w:rPr>
              <w:t>天</w:t>
            </w:r>
          </w:p>
        </w:tc>
        <w:tc>
          <w:tcPr>
            <w:tcW w:w="23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0D9E095">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ascii="宋体" w:hAnsi="Times Roman" w:eastAsia="宋体" w:cs="宋体"/>
                <w:color w:val="000000"/>
                <w:kern w:val="0"/>
                <w:sz w:val="22"/>
              </w:rPr>
              <w:t>1-2</w:t>
            </w:r>
            <w:r>
              <w:rPr>
                <w:rFonts w:hint="eastAsia" w:ascii="宋体" w:hAnsi="Times Roman" w:eastAsia="宋体" w:cs="宋体"/>
                <w:color w:val="000000"/>
                <w:kern w:val="0"/>
                <w:sz w:val="22"/>
              </w:rPr>
              <w:t>天</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189A160">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ascii="宋体" w:hAnsi="Times Roman" w:eastAsia="宋体" w:cs="宋体"/>
                <w:color w:val="000000"/>
                <w:kern w:val="0"/>
                <w:sz w:val="22"/>
              </w:rPr>
              <w:t>2</w:t>
            </w:r>
            <w:r>
              <w:rPr>
                <w:rFonts w:hint="eastAsia" w:ascii="宋体" w:hAnsi="Times Roman" w:eastAsia="宋体" w:cs="宋体"/>
                <w:color w:val="000000"/>
                <w:kern w:val="0"/>
                <w:sz w:val="22"/>
              </w:rPr>
              <w:t>天内</w:t>
            </w:r>
          </w:p>
        </w:tc>
        <w:tc>
          <w:tcPr>
            <w:tcW w:w="178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800B345">
            <w:pPr>
              <w:widowControl/>
              <w:autoSpaceDE w:val="0"/>
              <w:autoSpaceDN w:val="0"/>
              <w:adjustRightInd w:val="0"/>
              <w:spacing w:line="276" w:lineRule="auto"/>
              <w:ind w:left="141" w:leftChars="67"/>
              <w:jc w:val="left"/>
              <w:rPr>
                <w:rFonts w:ascii="Times Roman" w:hAnsi="Times Roman" w:eastAsia="宋体" w:cs="Times Roman"/>
                <w:color w:val="000000"/>
                <w:kern w:val="0"/>
                <w:sz w:val="22"/>
              </w:rPr>
            </w:pPr>
            <w:r>
              <w:rPr>
                <w:rFonts w:hint="eastAsia" w:ascii="宋体" w:hAnsi="Times Roman" w:eastAsia="宋体" w:cs="宋体"/>
                <w:color w:val="000000"/>
                <w:kern w:val="0"/>
                <w:sz w:val="22"/>
              </w:rPr>
              <w:t>主任及相关业务、系统负责</w:t>
            </w:r>
          </w:p>
        </w:tc>
      </w:tr>
    </w:tbl>
    <w:p w14:paraId="6E63E5F5">
      <w:pPr>
        <w:spacing w:line="360" w:lineRule="auto"/>
        <w:rPr>
          <w:rFonts w:hint="eastAsia" w:ascii="宋体" w:hAnsi="宋体" w:eastAsia="宋体" w:cs="Times New Roman"/>
          <w:szCs w:val="21"/>
        </w:rPr>
      </w:pPr>
    </w:p>
    <w:p w14:paraId="0979E2BD">
      <w:pPr>
        <w:numPr>
          <w:ilvl w:val="0"/>
          <w:numId w:val="126"/>
        </w:numPr>
        <w:spacing w:line="360" w:lineRule="auto"/>
        <w:rPr>
          <w:rFonts w:hint="eastAsia" w:ascii="宋体" w:hAnsi="宋体" w:eastAsia="宋体" w:cs="Times New Roman"/>
          <w:szCs w:val="21"/>
        </w:rPr>
      </w:pPr>
      <w:r>
        <w:rPr>
          <w:rFonts w:hint="eastAsia" w:ascii="宋体" w:hAnsi="宋体" w:eastAsia="宋体" w:cs="Times New Roman"/>
          <w:szCs w:val="21"/>
        </w:rPr>
        <w:t>变更报告管理</w:t>
      </w:r>
    </w:p>
    <w:p w14:paraId="23FC34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每月，变更管理经理会对变更进行总结，提交变更管理报告，内容涉及</w:t>
      </w:r>
      <w:r>
        <w:rPr>
          <w:rFonts w:ascii="宋体" w:hAnsi="宋体" w:eastAsia="宋体" w:cs="Times New Roman"/>
          <w:szCs w:val="21"/>
        </w:rPr>
        <w:t>:</w:t>
      </w:r>
    </w:p>
    <w:p w14:paraId="1D778D3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变更列表信息；</w:t>
      </w:r>
    </w:p>
    <w:p w14:paraId="0E71219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变更按时完成率；</w:t>
      </w:r>
    </w:p>
    <w:p w14:paraId="25236B7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被拒绝的变更数量；</w:t>
      </w:r>
    </w:p>
    <w:p w14:paraId="5ADD74A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成功实施的变更数量；</w:t>
      </w:r>
    </w:p>
    <w:p w14:paraId="7CD07FF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变更业务大类、业务小类分析；</w:t>
      </w:r>
    </w:p>
    <w:p w14:paraId="65C9C5A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变更平均处理周期；</w:t>
      </w:r>
    </w:p>
    <w:p w14:paraId="08B15871">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变更响应时间；</w:t>
      </w:r>
    </w:p>
    <w:p w14:paraId="169A8B5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(8)</w:t>
      </w:r>
      <w:r>
        <w:rPr>
          <w:rFonts w:hint="eastAsia" w:ascii="宋体" w:hAnsi="宋体" w:eastAsia="宋体" w:cs="Times New Roman"/>
          <w:szCs w:val="21"/>
        </w:rPr>
        <w:t>变更引发的突发事件或不可用问题分析；</w:t>
      </w:r>
    </w:p>
    <w:p w14:paraId="41DF78F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(9)</w:t>
      </w:r>
      <w:r>
        <w:rPr>
          <w:rFonts w:hint="eastAsia" w:ascii="宋体" w:hAnsi="宋体" w:eastAsia="宋体" w:cs="Times New Roman"/>
          <w:szCs w:val="21"/>
        </w:rPr>
        <w:t>未经批准，擅自进行变更列表及责任界定；</w:t>
      </w:r>
    </w:p>
    <w:p w14:paraId="35309411">
      <w:pPr>
        <w:numPr>
          <w:ilvl w:val="0"/>
          <w:numId w:val="126"/>
        </w:numPr>
        <w:spacing w:line="360" w:lineRule="auto"/>
        <w:rPr>
          <w:rFonts w:hint="eastAsia" w:ascii="宋体" w:hAnsi="宋体" w:eastAsia="宋体" w:cs="Times New Roman"/>
          <w:szCs w:val="21"/>
        </w:rPr>
      </w:pPr>
      <w:r>
        <w:rPr>
          <w:rFonts w:hint="eastAsia" w:ascii="宋体" w:hAnsi="宋体" w:eastAsia="宋体" w:cs="Times New Roman"/>
          <w:szCs w:val="21"/>
        </w:rPr>
        <w:t>变更方案模板</w:t>
      </w:r>
    </w:p>
    <w:p w14:paraId="23AD1F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一、实施原因</w:t>
      </w:r>
      <w:r>
        <w:rPr>
          <w:rFonts w:ascii="宋体" w:hAnsi="宋体" w:eastAsia="宋体" w:cs="Times New Roman"/>
          <w:szCs w:val="21"/>
        </w:rPr>
        <w:t>(</w:t>
      </w:r>
      <w:r>
        <w:rPr>
          <w:rFonts w:hint="eastAsia" w:ascii="宋体" w:hAnsi="宋体" w:eastAsia="宋体" w:cs="Times New Roman"/>
          <w:szCs w:val="21"/>
        </w:rPr>
        <w:t>故障现象</w:t>
      </w:r>
      <w:r>
        <w:rPr>
          <w:rFonts w:ascii="宋体" w:hAnsi="宋体" w:eastAsia="宋体" w:cs="Times New Roman"/>
          <w:szCs w:val="21"/>
        </w:rPr>
        <w:t>/</w:t>
      </w:r>
      <w:r>
        <w:rPr>
          <w:rFonts w:hint="eastAsia" w:ascii="宋体" w:hAnsi="宋体" w:eastAsia="宋体" w:cs="Times New Roman"/>
          <w:szCs w:val="21"/>
        </w:rPr>
        <w:t>优化理由</w:t>
      </w:r>
      <w:r>
        <w:rPr>
          <w:rFonts w:ascii="宋体" w:hAnsi="宋体" w:eastAsia="宋体" w:cs="Times New Roman"/>
          <w:szCs w:val="21"/>
        </w:rPr>
        <w:t>)</w:t>
      </w:r>
    </w:p>
    <w:p w14:paraId="438E000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二、实施目的</w:t>
      </w:r>
    </w:p>
    <w:p w14:paraId="39A319F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三、影响范围</w:t>
      </w:r>
      <w:r>
        <w:rPr>
          <w:rFonts w:ascii="宋体" w:hAnsi="宋体" w:eastAsia="宋体" w:cs="Times New Roman"/>
          <w:szCs w:val="21"/>
        </w:rPr>
        <w:t>(</w:t>
      </w:r>
      <w:r>
        <w:rPr>
          <w:rFonts w:hint="eastAsia" w:ascii="宋体" w:hAnsi="宋体" w:eastAsia="宋体" w:cs="Times New Roman"/>
          <w:szCs w:val="21"/>
        </w:rPr>
        <w:t>正常实施过程中影响的业务</w:t>
      </w:r>
      <w:r>
        <w:rPr>
          <w:rFonts w:ascii="宋体" w:hAnsi="宋体" w:eastAsia="宋体" w:cs="Times New Roman"/>
          <w:szCs w:val="21"/>
        </w:rPr>
        <w:t>)</w:t>
      </w:r>
    </w:p>
    <w:p w14:paraId="4128701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四、风险评估</w:t>
      </w:r>
      <w:r>
        <w:rPr>
          <w:rFonts w:ascii="宋体" w:hAnsi="宋体" w:eastAsia="宋体" w:cs="Times New Roman"/>
          <w:szCs w:val="21"/>
        </w:rPr>
        <w:t>(</w:t>
      </w:r>
      <w:r>
        <w:rPr>
          <w:rFonts w:hint="eastAsia" w:ascii="宋体" w:hAnsi="宋体" w:eastAsia="宋体" w:cs="Times New Roman"/>
          <w:szCs w:val="21"/>
        </w:rPr>
        <w:t>实施过程中可能发生的风险，影响的业务</w:t>
      </w:r>
      <w:r>
        <w:rPr>
          <w:rFonts w:ascii="宋体" w:hAnsi="宋体" w:eastAsia="宋体" w:cs="Times New Roman"/>
          <w:szCs w:val="21"/>
        </w:rPr>
        <w:t>)</w:t>
      </w:r>
    </w:p>
    <w:p w14:paraId="476064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五、参与人员</w:t>
      </w:r>
    </w:p>
    <w:p w14:paraId="57ECA25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六、实施前准备</w:t>
      </w:r>
      <w:r>
        <w:rPr>
          <w:rFonts w:ascii="宋体" w:hAnsi="宋体" w:eastAsia="宋体" w:cs="Times New Roman"/>
          <w:szCs w:val="21"/>
        </w:rPr>
        <w:t>(</w:t>
      </w:r>
      <w:r>
        <w:rPr>
          <w:rFonts w:hint="eastAsia" w:ascii="宋体" w:hAnsi="宋体" w:eastAsia="宋体" w:cs="Times New Roman"/>
          <w:szCs w:val="21"/>
        </w:rPr>
        <w:t>实施所需条件，是否具备</w:t>
      </w:r>
      <w:r>
        <w:rPr>
          <w:rFonts w:ascii="宋体" w:hAnsi="宋体" w:eastAsia="宋体" w:cs="Times New Roman"/>
          <w:szCs w:val="21"/>
        </w:rPr>
        <w:t>)</w:t>
      </w:r>
    </w:p>
    <w:p w14:paraId="2C1DCC1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七、实施步骤</w:t>
      </w:r>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0A2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0E2B3CF7">
            <w:pPr>
              <w:spacing w:line="276" w:lineRule="auto"/>
              <w:rPr>
                <w:rFonts w:hint="eastAsia" w:ascii="宋体" w:hAnsi="宋体" w:eastAsia="宋体" w:cs="Times New Roman"/>
                <w:szCs w:val="21"/>
              </w:rPr>
            </w:pPr>
            <w:r>
              <w:rPr>
                <w:rFonts w:hint="eastAsia" w:ascii="宋体" w:hAnsi="宋体" w:eastAsia="宋体" w:cs="Times New Roman"/>
                <w:szCs w:val="21"/>
              </w:rPr>
              <w:t>操作步骤</w:t>
            </w:r>
          </w:p>
        </w:tc>
        <w:tc>
          <w:tcPr>
            <w:tcW w:w="3190" w:type="dxa"/>
          </w:tcPr>
          <w:p w14:paraId="2BCE8275">
            <w:pPr>
              <w:spacing w:line="276" w:lineRule="auto"/>
              <w:rPr>
                <w:rFonts w:hint="eastAsia" w:ascii="宋体" w:hAnsi="宋体" w:eastAsia="宋体" w:cs="Times New Roman"/>
                <w:szCs w:val="21"/>
              </w:rPr>
            </w:pPr>
            <w:r>
              <w:rPr>
                <w:rFonts w:hint="eastAsia" w:ascii="宋体" w:hAnsi="宋体" w:eastAsia="宋体" w:cs="Times New Roman"/>
                <w:szCs w:val="21"/>
              </w:rPr>
              <w:t>操作时间</w:t>
            </w:r>
          </w:p>
        </w:tc>
        <w:tc>
          <w:tcPr>
            <w:tcW w:w="3190" w:type="dxa"/>
          </w:tcPr>
          <w:p w14:paraId="2C6F9B38">
            <w:pPr>
              <w:spacing w:line="276" w:lineRule="auto"/>
              <w:rPr>
                <w:rFonts w:hint="eastAsia" w:ascii="宋体" w:hAnsi="宋体" w:eastAsia="宋体" w:cs="Times New Roman"/>
                <w:szCs w:val="21"/>
              </w:rPr>
            </w:pPr>
            <w:r>
              <w:rPr>
                <w:rFonts w:hint="eastAsia" w:ascii="宋体" w:hAnsi="宋体" w:eastAsia="宋体" w:cs="Times New Roman"/>
                <w:szCs w:val="21"/>
              </w:rPr>
              <w:t>预期结果</w:t>
            </w:r>
          </w:p>
        </w:tc>
      </w:tr>
      <w:tr w14:paraId="5552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076B119D">
            <w:pPr>
              <w:spacing w:line="276" w:lineRule="auto"/>
              <w:rPr>
                <w:rFonts w:hint="eastAsia" w:ascii="宋体" w:hAnsi="宋体" w:eastAsia="宋体" w:cs="Times New Roman"/>
                <w:szCs w:val="21"/>
              </w:rPr>
            </w:pPr>
          </w:p>
        </w:tc>
        <w:tc>
          <w:tcPr>
            <w:tcW w:w="3190" w:type="dxa"/>
          </w:tcPr>
          <w:p w14:paraId="318F5647">
            <w:pPr>
              <w:spacing w:line="276" w:lineRule="auto"/>
              <w:rPr>
                <w:rFonts w:hint="eastAsia" w:ascii="宋体" w:hAnsi="宋体" w:eastAsia="宋体" w:cs="Times New Roman"/>
                <w:szCs w:val="21"/>
              </w:rPr>
            </w:pPr>
          </w:p>
        </w:tc>
        <w:tc>
          <w:tcPr>
            <w:tcW w:w="3190" w:type="dxa"/>
          </w:tcPr>
          <w:p w14:paraId="62EDBC01">
            <w:pPr>
              <w:spacing w:line="276" w:lineRule="auto"/>
              <w:rPr>
                <w:rFonts w:hint="eastAsia" w:ascii="宋体" w:hAnsi="宋体" w:eastAsia="宋体" w:cs="Times New Roman"/>
                <w:szCs w:val="21"/>
              </w:rPr>
            </w:pPr>
          </w:p>
        </w:tc>
      </w:tr>
      <w:tr w14:paraId="1D58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55418A85">
            <w:pPr>
              <w:spacing w:line="276" w:lineRule="auto"/>
              <w:rPr>
                <w:rFonts w:hint="eastAsia" w:ascii="宋体" w:hAnsi="宋体" w:eastAsia="宋体" w:cs="Times New Roman"/>
                <w:szCs w:val="21"/>
              </w:rPr>
            </w:pPr>
          </w:p>
        </w:tc>
        <w:tc>
          <w:tcPr>
            <w:tcW w:w="3190" w:type="dxa"/>
          </w:tcPr>
          <w:p w14:paraId="4E6C06C7">
            <w:pPr>
              <w:spacing w:line="276" w:lineRule="auto"/>
              <w:rPr>
                <w:rFonts w:hint="eastAsia" w:ascii="宋体" w:hAnsi="宋体" w:eastAsia="宋体" w:cs="Times New Roman"/>
                <w:szCs w:val="21"/>
              </w:rPr>
            </w:pPr>
          </w:p>
        </w:tc>
        <w:tc>
          <w:tcPr>
            <w:tcW w:w="3190" w:type="dxa"/>
          </w:tcPr>
          <w:p w14:paraId="214CE0CE">
            <w:pPr>
              <w:spacing w:line="276" w:lineRule="auto"/>
              <w:rPr>
                <w:rFonts w:hint="eastAsia" w:ascii="宋体" w:hAnsi="宋体" w:eastAsia="宋体" w:cs="Times New Roman"/>
                <w:szCs w:val="21"/>
              </w:rPr>
            </w:pPr>
          </w:p>
        </w:tc>
      </w:tr>
      <w:tr w14:paraId="325F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780FBBD6">
            <w:pPr>
              <w:spacing w:line="276" w:lineRule="auto"/>
              <w:rPr>
                <w:rFonts w:hint="eastAsia" w:ascii="宋体" w:hAnsi="宋体" w:eastAsia="宋体" w:cs="Times New Roman"/>
                <w:szCs w:val="21"/>
              </w:rPr>
            </w:pPr>
          </w:p>
        </w:tc>
        <w:tc>
          <w:tcPr>
            <w:tcW w:w="3190" w:type="dxa"/>
          </w:tcPr>
          <w:p w14:paraId="0EA5F050">
            <w:pPr>
              <w:spacing w:line="276" w:lineRule="auto"/>
              <w:rPr>
                <w:rFonts w:hint="eastAsia" w:ascii="宋体" w:hAnsi="宋体" w:eastAsia="宋体" w:cs="Times New Roman"/>
                <w:szCs w:val="21"/>
              </w:rPr>
            </w:pPr>
          </w:p>
        </w:tc>
        <w:tc>
          <w:tcPr>
            <w:tcW w:w="3190" w:type="dxa"/>
          </w:tcPr>
          <w:p w14:paraId="0F00F260">
            <w:pPr>
              <w:spacing w:line="276" w:lineRule="auto"/>
              <w:rPr>
                <w:rFonts w:hint="eastAsia" w:ascii="宋体" w:hAnsi="宋体" w:eastAsia="宋体" w:cs="Times New Roman"/>
                <w:szCs w:val="21"/>
              </w:rPr>
            </w:pPr>
          </w:p>
        </w:tc>
      </w:tr>
    </w:tbl>
    <w:p w14:paraId="01B72D3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八、实施完成后检测方法</w:t>
      </w:r>
      <w:r>
        <w:rPr>
          <w:rFonts w:ascii="宋体" w:hAnsi="宋体" w:eastAsia="宋体" w:cs="Times New Roman"/>
          <w:szCs w:val="21"/>
        </w:rPr>
        <w:t>(</w:t>
      </w:r>
      <w:r>
        <w:rPr>
          <w:rFonts w:hint="eastAsia" w:ascii="宋体" w:hAnsi="宋体" w:eastAsia="宋体" w:cs="Times New Roman"/>
          <w:szCs w:val="21"/>
        </w:rPr>
        <w:t>测试列表</w:t>
      </w:r>
      <w:r>
        <w:rPr>
          <w:rFonts w:ascii="宋体" w:hAnsi="宋体" w:eastAsia="宋体" w:cs="Times New Roman"/>
          <w:szCs w:val="21"/>
        </w:rPr>
        <w:t>)</w:t>
      </w:r>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CEF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6B4DFE8D">
            <w:pPr>
              <w:spacing w:line="276" w:lineRule="auto"/>
              <w:rPr>
                <w:rFonts w:hint="eastAsia" w:ascii="宋体" w:hAnsi="宋体" w:eastAsia="宋体" w:cs="Times New Roman"/>
                <w:szCs w:val="21"/>
              </w:rPr>
            </w:pPr>
            <w:r>
              <w:rPr>
                <w:rFonts w:hint="eastAsia" w:ascii="宋体" w:hAnsi="宋体" w:eastAsia="宋体" w:cs="Times New Roman"/>
                <w:szCs w:val="21"/>
              </w:rPr>
              <w:t>测试内容</w:t>
            </w:r>
          </w:p>
        </w:tc>
        <w:tc>
          <w:tcPr>
            <w:tcW w:w="4785" w:type="dxa"/>
          </w:tcPr>
          <w:p w14:paraId="2A2B5F30">
            <w:pPr>
              <w:spacing w:line="276" w:lineRule="auto"/>
              <w:rPr>
                <w:rFonts w:hint="eastAsia" w:ascii="宋体" w:hAnsi="宋体" w:eastAsia="宋体" w:cs="Times New Roman"/>
                <w:szCs w:val="21"/>
              </w:rPr>
            </w:pPr>
            <w:r>
              <w:rPr>
                <w:rFonts w:hint="eastAsia" w:ascii="宋体" w:hAnsi="宋体" w:eastAsia="宋体" w:cs="Times New Roman"/>
                <w:szCs w:val="21"/>
              </w:rPr>
              <w:t>预期结果</w:t>
            </w:r>
          </w:p>
        </w:tc>
      </w:tr>
      <w:tr w14:paraId="7BE8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69C832C7">
            <w:pPr>
              <w:spacing w:line="276" w:lineRule="auto"/>
              <w:rPr>
                <w:rFonts w:hint="eastAsia" w:ascii="宋体" w:hAnsi="宋体" w:eastAsia="宋体" w:cs="Times New Roman"/>
                <w:szCs w:val="21"/>
              </w:rPr>
            </w:pPr>
          </w:p>
        </w:tc>
        <w:tc>
          <w:tcPr>
            <w:tcW w:w="4785" w:type="dxa"/>
          </w:tcPr>
          <w:p w14:paraId="4050EEDC">
            <w:pPr>
              <w:spacing w:line="276" w:lineRule="auto"/>
              <w:rPr>
                <w:rFonts w:hint="eastAsia" w:ascii="宋体" w:hAnsi="宋体" w:eastAsia="宋体" w:cs="Times New Roman"/>
                <w:szCs w:val="21"/>
              </w:rPr>
            </w:pPr>
          </w:p>
        </w:tc>
      </w:tr>
      <w:tr w14:paraId="3913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1786477E">
            <w:pPr>
              <w:spacing w:line="276" w:lineRule="auto"/>
              <w:rPr>
                <w:rFonts w:hint="eastAsia" w:ascii="宋体" w:hAnsi="宋体" w:eastAsia="宋体" w:cs="Times New Roman"/>
                <w:szCs w:val="21"/>
              </w:rPr>
            </w:pPr>
          </w:p>
        </w:tc>
        <w:tc>
          <w:tcPr>
            <w:tcW w:w="4785" w:type="dxa"/>
          </w:tcPr>
          <w:p w14:paraId="15715D41">
            <w:pPr>
              <w:spacing w:line="276" w:lineRule="auto"/>
              <w:rPr>
                <w:rFonts w:hint="eastAsia" w:ascii="宋体" w:hAnsi="宋体" w:eastAsia="宋体" w:cs="Times New Roman"/>
                <w:szCs w:val="21"/>
              </w:rPr>
            </w:pPr>
          </w:p>
        </w:tc>
      </w:tr>
      <w:tr w14:paraId="5E7B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34A7D380">
            <w:pPr>
              <w:spacing w:line="276" w:lineRule="auto"/>
              <w:rPr>
                <w:rFonts w:hint="eastAsia" w:ascii="宋体" w:hAnsi="宋体" w:eastAsia="宋体" w:cs="Times New Roman"/>
                <w:szCs w:val="21"/>
              </w:rPr>
            </w:pPr>
          </w:p>
        </w:tc>
        <w:tc>
          <w:tcPr>
            <w:tcW w:w="4785" w:type="dxa"/>
          </w:tcPr>
          <w:p w14:paraId="256994BE">
            <w:pPr>
              <w:spacing w:line="276" w:lineRule="auto"/>
              <w:rPr>
                <w:rFonts w:hint="eastAsia" w:ascii="宋体" w:hAnsi="宋体" w:eastAsia="宋体" w:cs="Times New Roman"/>
                <w:szCs w:val="21"/>
              </w:rPr>
            </w:pPr>
          </w:p>
        </w:tc>
      </w:tr>
    </w:tbl>
    <w:p w14:paraId="55869BFF">
      <w:pPr>
        <w:spacing w:line="360" w:lineRule="auto"/>
        <w:rPr>
          <w:rFonts w:hint="eastAsia" w:ascii="宋体" w:hAnsi="宋体" w:eastAsia="宋体" w:cs="Times New Roman"/>
          <w:szCs w:val="21"/>
        </w:rPr>
      </w:pPr>
    </w:p>
    <w:p w14:paraId="281B6852">
      <w:pPr>
        <w:pStyle w:val="73"/>
        <w:numPr>
          <w:ilvl w:val="2"/>
          <w:numId w:val="91"/>
        </w:numPr>
        <w:spacing w:line="360" w:lineRule="auto"/>
        <w:ind w:firstLineChars="0"/>
        <w:rPr>
          <w:rFonts w:hint="eastAsia" w:ascii="宋体" w:hAnsi="宋体" w:eastAsia="宋体" w:cs="Times New Roman"/>
          <w:szCs w:val="21"/>
        </w:rPr>
      </w:pPr>
      <w:r>
        <w:rPr>
          <w:rFonts w:hint="eastAsia" w:ascii="宋体" w:hAnsi="宋体" w:eastAsia="宋体" w:cs="Times New Roman"/>
          <w:szCs w:val="21"/>
        </w:rPr>
        <w:t>回退方案</w:t>
      </w:r>
      <w:r>
        <w:rPr>
          <w:rFonts w:ascii="宋体" w:hAnsi="宋体" w:eastAsia="宋体" w:cs="Times New Roman"/>
          <w:szCs w:val="21"/>
        </w:rPr>
        <w:t>(</w:t>
      </w:r>
      <w:r>
        <w:rPr>
          <w:rFonts w:hint="eastAsia" w:ascii="宋体" w:hAnsi="宋体" w:eastAsia="宋体" w:cs="Times New Roman"/>
          <w:szCs w:val="21"/>
        </w:rPr>
        <w:t>实施失败后的回退计划</w:t>
      </w:r>
      <w:r>
        <w:rPr>
          <w:rFonts w:ascii="宋体" w:hAnsi="宋体" w:eastAsia="宋体" w:cs="Times New Roman"/>
          <w:szCs w:val="21"/>
        </w:rPr>
        <w:t>)</w:t>
      </w:r>
    </w:p>
    <w:p w14:paraId="3E7DCDBB">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8.2.3.3</w:t>
      </w:r>
      <w:r>
        <w:rPr>
          <w:rFonts w:hint="eastAsia" w:asciiTheme="majorHAnsi" w:hAnsiTheme="majorHAnsi" w:eastAsiaTheme="majorEastAsia" w:cstheme="majorBidi"/>
          <w:b/>
          <w:bCs/>
          <w:szCs w:val="28"/>
        </w:rPr>
        <w:t>问题管理</w:t>
      </w:r>
    </w:p>
    <w:p w14:paraId="7B4A64C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要做好问题管理，要确定问题定义、设计问题记录表格、设计问题统计分析模板、设计知识库模板、确定问题支持渠道。</w:t>
      </w:r>
    </w:p>
    <w:p w14:paraId="700860E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通过问题管理，将突发事件和问题影响降为最低，防止突发事件重复发生。</w:t>
      </w:r>
    </w:p>
    <w:p w14:paraId="0C7A9CFF">
      <w:pPr>
        <w:numPr>
          <w:ilvl w:val="0"/>
          <w:numId w:val="127"/>
        </w:numPr>
        <w:spacing w:line="360" w:lineRule="auto"/>
        <w:rPr>
          <w:rFonts w:hint="eastAsia" w:ascii="宋体" w:hAnsi="宋体" w:eastAsia="宋体" w:cs="Times New Roman"/>
          <w:szCs w:val="21"/>
        </w:rPr>
      </w:pPr>
      <w:r>
        <w:rPr>
          <w:rFonts w:hint="eastAsia" w:ascii="宋体" w:hAnsi="宋体" w:eastAsia="宋体" w:cs="Times New Roman"/>
          <w:szCs w:val="21"/>
        </w:rPr>
        <w:t>问题管理流程</w:t>
      </w:r>
    </w:p>
    <w:p w14:paraId="56E587BA">
      <w:pPr>
        <w:spacing w:line="360" w:lineRule="auto"/>
        <w:rPr>
          <w:rFonts w:hint="eastAsia" w:ascii="宋体" w:hAnsi="宋体" w:eastAsia="宋体" w:cs="Times New Roman"/>
          <w:sz w:val="24"/>
          <w:szCs w:val="24"/>
        </w:rPr>
      </w:pPr>
      <w:r>
        <w:rPr>
          <w:rFonts w:ascii="宋体" w:hAnsi="宋体" w:eastAsia="宋体" w:cs="Times New Roman"/>
          <w:sz w:val="24"/>
          <w:szCs w:val="24"/>
        </w:rPr>
        <w:drawing>
          <wp:anchor distT="0" distB="0" distL="114300" distR="114300" simplePos="0" relativeHeight="251660288" behindDoc="0" locked="0" layoutInCell="1" allowOverlap="1">
            <wp:simplePos x="0" y="0"/>
            <wp:positionH relativeFrom="column">
              <wp:align>center</wp:align>
            </wp:positionH>
            <wp:positionV relativeFrom="paragraph">
              <wp:posOffset>32385</wp:posOffset>
            </wp:positionV>
            <wp:extent cx="5939790" cy="7298055"/>
            <wp:effectExtent l="0" t="0" r="3810" b="0"/>
            <wp:wrapTopAndBottom/>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5939790" cy="7298055"/>
                    </a:xfrm>
                    <a:prstGeom prst="rect">
                      <a:avLst/>
                    </a:prstGeom>
                    <a:noFill/>
                    <a:ln>
                      <a:noFill/>
                    </a:ln>
                  </pic:spPr>
                </pic:pic>
              </a:graphicData>
            </a:graphic>
          </wp:anchor>
        </w:drawing>
      </w:r>
    </w:p>
    <w:p w14:paraId="3E94C10A">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18.2.3.4配置管理</w:t>
      </w:r>
    </w:p>
    <w:p w14:paraId="6BBE67A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要做好配置管理，要确定配置项范围、类型、配置项之间的关系、配置项命名规则、确定配置管理工具、配置更新与审核流程。</w:t>
      </w:r>
    </w:p>
    <w:p w14:paraId="029AAB3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IT</w:t>
      </w:r>
      <w:r>
        <w:rPr>
          <w:rFonts w:hint="eastAsia" w:ascii="宋体" w:hAnsi="宋体" w:eastAsia="宋体" w:cs="Times New Roman"/>
          <w:szCs w:val="21"/>
        </w:rPr>
        <w:t>系统的配置信息是基础信息，配置信息准确可以缩短故障诊断周期，提高系统可用性。应用系统的标准命名等规则，在目前配置</w:t>
      </w:r>
      <w:r>
        <w:rPr>
          <w:rFonts w:ascii="宋体" w:hAnsi="宋体" w:eastAsia="宋体" w:cs="Times New Roman"/>
          <w:szCs w:val="21"/>
        </w:rPr>
        <w:t>(</w:t>
      </w:r>
      <w:r>
        <w:rPr>
          <w:rFonts w:hint="eastAsia" w:ascii="宋体" w:hAnsi="宋体" w:eastAsia="宋体" w:cs="Times New Roman"/>
          <w:szCs w:val="21"/>
        </w:rPr>
        <w:t>或资产</w:t>
      </w:r>
      <w:r>
        <w:rPr>
          <w:rFonts w:ascii="宋体" w:hAnsi="宋体" w:eastAsia="宋体" w:cs="Times New Roman"/>
          <w:szCs w:val="21"/>
        </w:rPr>
        <w:t>/</w:t>
      </w:r>
      <w:r>
        <w:rPr>
          <w:rFonts w:hint="eastAsia" w:ascii="宋体" w:hAnsi="宋体" w:eastAsia="宋体" w:cs="Times New Roman"/>
          <w:szCs w:val="21"/>
        </w:rPr>
        <w:t>台账</w:t>
      </w:r>
      <w:r>
        <w:rPr>
          <w:rFonts w:ascii="宋体" w:hAnsi="宋体" w:eastAsia="宋体" w:cs="Times New Roman"/>
          <w:szCs w:val="21"/>
        </w:rPr>
        <w:t>)</w:t>
      </w:r>
      <w:r>
        <w:rPr>
          <w:rFonts w:hint="eastAsia" w:ascii="宋体" w:hAnsi="宋体" w:eastAsia="宋体" w:cs="Times New Roman"/>
          <w:szCs w:val="21"/>
        </w:rPr>
        <w:t>管理的基础上，按照</w:t>
      </w:r>
      <w:r>
        <w:rPr>
          <w:rFonts w:ascii="宋体" w:hAnsi="宋体" w:eastAsia="宋体" w:cs="Times New Roman"/>
          <w:szCs w:val="21"/>
        </w:rPr>
        <w:t>ITIL</w:t>
      </w:r>
      <w:r>
        <w:rPr>
          <w:rFonts w:hint="eastAsia" w:ascii="宋体" w:hAnsi="宋体" w:eastAsia="宋体" w:cs="Times New Roman"/>
          <w:szCs w:val="21"/>
        </w:rPr>
        <w:t>管理思想对配置项范围进行合理确定，不断补充配置项关系，完善系统的</w:t>
      </w:r>
      <w:r>
        <w:rPr>
          <w:rFonts w:ascii="宋体" w:hAnsi="宋体" w:eastAsia="宋体" w:cs="Times New Roman"/>
          <w:szCs w:val="21"/>
        </w:rPr>
        <w:t>IT</w:t>
      </w:r>
      <w:r>
        <w:rPr>
          <w:rFonts w:hint="eastAsia" w:ascii="宋体" w:hAnsi="宋体" w:eastAsia="宋体" w:cs="Times New Roman"/>
          <w:szCs w:val="21"/>
        </w:rPr>
        <w:t>配置管理数据库</w:t>
      </w:r>
      <w:r>
        <w:rPr>
          <w:rFonts w:ascii="宋体" w:hAnsi="宋体" w:eastAsia="宋体" w:cs="Times New Roman"/>
          <w:szCs w:val="21"/>
        </w:rPr>
        <w:t>CMDB</w:t>
      </w:r>
      <w:r>
        <w:rPr>
          <w:rFonts w:hint="eastAsia" w:ascii="宋体" w:hAnsi="宋体" w:eastAsia="宋体" w:cs="Times New Roman"/>
          <w:szCs w:val="21"/>
        </w:rPr>
        <w:t>。</w:t>
      </w:r>
    </w:p>
    <w:p w14:paraId="02A80088">
      <w:pPr>
        <w:numPr>
          <w:ilvl w:val="0"/>
          <w:numId w:val="128"/>
        </w:numPr>
        <w:spacing w:line="360" w:lineRule="auto"/>
        <w:rPr>
          <w:rFonts w:hint="eastAsia" w:ascii="宋体" w:hAnsi="宋体" w:eastAsia="宋体" w:cs="Times New Roman"/>
          <w:szCs w:val="21"/>
        </w:rPr>
      </w:pPr>
      <w:r>
        <w:rPr>
          <w:rFonts w:hint="eastAsia" w:ascii="宋体" w:hAnsi="宋体" w:eastAsia="宋体" w:cs="Times New Roman"/>
          <w:szCs w:val="21"/>
        </w:rPr>
        <w:t>配置管理流程</w:t>
      </w:r>
    </w:p>
    <w:p w14:paraId="02290BD2">
      <w:pPr>
        <w:spacing w:line="360" w:lineRule="auto"/>
        <w:rPr>
          <w:rFonts w:hint="eastAsia" w:ascii="宋体" w:hAnsi="宋体" w:eastAsia="宋体" w:cs="Times New Roman"/>
          <w:sz w:val="24"/>
          <w:szCs w:val="24"/>
        </w:rPr>
      </w:pPr>
      <w:r>
        <w:rPr>
          <w:rFonts w:ascii="宋体" w:hAnsi="宋体" w:eastAsia="宋体" w:cs="Times New Roman"/>
          <w:sz w:val="24"/>
          <w:szCs w:val="24"/>
        </w:rPr>
        <w:drawing>
          <wp:inline distT="0" distB="0" distL="0" distR="0">
            <wp:extent cx="5259070" cy="2465705"/>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5261438" cy="2467227"/>
                    </a:xfrm>
                    <a:prstGeom prst="rect">
                      <a:avLst/>
                    </a:prstGeom>
                    <a:noFill/>
                    <a:ln>
                      <a:noFill/>
                    </a:ln>
                  </pic:spPr>
                </pic:pic>
              </a:graphicData>
            </a:graphic>
          </wp:inline>
        </w:drawing>
      </w:r>
    </w:p>
    <w:p w14:paraId="7BB73A6B">
      <w:pPr>
        <w:numPr>
          <w:ilvl w:val="0"/>
          <w:numId w:val="128"/>
        </w:numPr>
        <w:spacing w:line="360" w:lineRule="auto"/>
        <w:rPr>
          <w:rFonts w:hint="eastAsia" w:ascii="宋体" w:hAnsi="宋体" w:eastAsia="宋体" w:cs="Times New Roman"/>
          <w:szCs w:val="21"/>
        </w:rPr>
      </w:pPr>
      <w:r>
        <w:rPr>
          <w:rFonts w:hint="eastAsia" w:ascii="宋体" w:hAnsi="宋体" w:eastAsia="宋体" w:cs="Times New Roman"/>
          <w:szCs w:val="21"/>
        </w:rPr>
        <w:t>配置管理规划</w:t>
      </w:r>
    </w:p>
    <w:p w14:paraId="3F4909DB">
      <w:pPr>
        <w:spacing w:line="360" w:lineRule="auto"/>
        <w:ind w:firstLine="420" w:firstLineChars="200"/>
        <w:rPr>
          <w:rFonts w:ascii="Times Roman" w:hAnsi="Times Roman" w:eastAsia="宋体" w:cs="Times Roman"/>
          <w:color w:val="000000"/>
          <w:kern w:val="0"/>
          <w:szCs w:val="21"/>
        </w:rPr>
      </w:pPr>
      <w:r>
        <w:rPr>
          <w:rFonts w:hint="eastAsia" w:ascii="宋体" w:hAnsi="宋体" w:eastAsia="宋体" w:cs="Times New Roman"/>
          <w:szCs w:val="21"/>
        </w:rPr>
        <w:t>在正式运营配置管理之前，需要对配置管理进行全面规划。</w:t>
      </w:r>
    </w:p>
    <w:p w14:paraId="700BF856">
      <w:pPr>
        <w:numPr>
          <w:ilvl w:val="0"/>
          <w:numId w:val="128"/>
        </w:numPr>
        <w:spacing w:line="360" w:lineRule="auto"/>
        <w:rPr>
          <w:rFonts w:hint="eastAsia" w:ascii="宋体" w:hAnsi="宋体" w:eastAsia="宋体" w:cs="Times New Roman"/>
          <w:szCs w:val="21"/>
        </w:rPr>
      </w:pPr>
      <w:r>
        <w:rPr>
          <w:rFonts w:hint="eastAsia" w:ascii="宋体" w:hAnsi="宋体" w:eastAsia="宋体" w:cs="Times New Roman"/>
          <w:szCs w:val="21"/>
        </w:rPr>
        <w:t>配置项识别</w:t>
      </w:r>
    </w:p>
    <w:p w14:paraId="1642FD0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配置项识别是配置管理的一项基础性工作。它要确定配置项的范围、类型、属性、关系、状态、命名规范。</w:t>
      </w:r>
    </w:p>
    <w:p w14:paraId="22F1735F">
      <w:pPr>
        <w:numPr>
          <w:ilvl w:val="0"/>
          <w:numId w:val="128"/>
        </w:numPr>
        <w:spacing w:line="360" w:lineRule="auto"/>
        <w:rPr>
          <w:rFonts w:hint="eastAsia" w:ascii="宋体" w:hAnsi="宋体" w:eastAsia="宋体" w:cs="Times New Roman"/>
          <w:szCs w:val="21"/>
        </w:rPr>
      </w:pPr>
      <w:r>
        <w:rPr>
          <w:rFonts w:hint="eastAsia" w:ascii="宋体" w:hAnsi="宋体" w:eastAsia="宋体" w:cs="Times New Roman"/>
          <w:szCs w:val="21"/>
        </w:rPr>
        <w:t>配置项范围</w:t>
      </w:r>
    </w:p>
    <w:p w14:paraId="23E3D31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包括项目硬件和软件。具体有网络设备、网络线路、服务器设备、系统软件、应用软件等。</w:t>
      </w:r>
    </w:p>
    <w:p w14:paraId="7625C9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5、配置项类型</w:t>
      </w:r>
    </w:p>
    <w:p w14:paraId="22A01F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配置项类别分为配置项大类、配置项小类。</w:t>
      </w:r>
    </w:p>
    <w:p w14:paraId="73E5F29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6、配置项属性</w:t>
      </w:r>
    </w:p>
    <w:p w14:paraId="5797F99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配置项属性包括包括公共属性和个性化属性。</w:t>
      </w:r>
    </w:p>
    <w:p w14:paraId="7C502B4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公共属性是每个配置项都具有的信息。</w:t>
      </w:r>
    </w:p>
    <w:p w14:paraId="2A99B09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个性化属性是每个配置项所独有的信息。</w:t>
      </w:r>
    </w:p>
    <w:p w14:paraId="6519654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7、配置项关系</w:t>
      </w:r>
    </w:p>
    <w:p w14:paraId="1A4E4FD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配置项之间的关系通常可分为物理关系和逻辑关系两大类。</w:t>
      </w:r>
    </w:p>
    <w:p w14:paraId="495AEF0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物理关系包括父子关系、联结关系、依赖关系</w:t>
      </w:r>
      <w:r>
        <w:rPr>
          <w:rFonts w:ascii="宋体" w:hAnsi="宋体" w:eastAsia="宋体" w:cs="Times New Roman"/>
          <w:szCs w:val="21"/>
        </w:rPr>
        <w:t>;</w:t>
      </w:r>
    </w:p>
    <w:p w14:paraId="4090072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逻辑关系包括拷贝、涉及、使用。</w:t>
      </w:r>
    </w:p>
    <w:p w14:paraId="706E49F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8、配置项状态</w:t>
      </w:r>
    </w:p>
    <w:p w14:paraId="52176AE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配置项生命期各个阶段的状态。包括计划中、已定购、开发中、测试中、使用中、故障中、已报废、已否决。</w:t>
      </w:r>
    </w:p>
    <w:p w14:paraId="676E184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9、配置项命名规范</w:t>
      </w:r>
    </w:p>
    <w:p w14:paraId="05A66A9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每个配置项属性应确定规则，以免相同的信息出现不同的表示结果，如微软公司，如果不确定规则，可能会出现微软，也可能会出现</w:t>
      </w:r>
      <w:r>
        <w:rPr>
          <w:rFonts w:ascii="宋体" w:hAnsi="宋体" w:eastAsia="宋体" w:cs="Times New Roman"/>
          <w:szCs w:val="21"/>
        </w:rPr>
        <w:t>Microsoft</w:t>
      </w:r>
      <w:r>
        <w:rPr>
          <w:rFonts w:hint="eastAsia" w:ascii="宋体" w:hAnsi="宋体" w:eastAsia="宋体" w:cs="Times New Roman"/>
          <w:szCs w:val="21"/>
        </w:rPr>
        <w:t>，这样不便于管理、统计。需要确定统一的规则，工程师在填写时只能选择，不能自行填写。规则可以由配置管理系统管理员自行设定、增加，自行维护。</w:t>
      </w:r>
    </w:p>
    <w:p w14:paraId="5C549E1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要确定配置项确定编码规则。配置项号是唯一码，可以唯一标识配置项。</w:t>
      </w:r>
    </w:p>
    <w:p w14:paraId="3541B3C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10、配置项控制</w:t>
      </w:r>
    </w:p>
    <w:p w14:paraId="349A571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对配置项变更进行控制的各种活动，确保配置管理数据库只记录那些得到批准和可识别的配置项，同时确保配置项的增加、修改、替换或删除是根据适当的控制文档进行。</w:t>
      </w:r>
    </w:p>
    <w:p w14:paraId="200D0FD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11、配置项报告</w:t>
      </w:r>
    </w:p>
    <w:p w14:paraId="30255AD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定期报告所有受控配置项的当前状态及其变更轨迹，它可用来建立系统基准线，以及跟踪基准线和发布版本之间的变动情况。</w:t>
      </w:r>
    </w:p>
    <w:p w14:paraId="241A924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12、配置验证和审核</w:t>
      </w:r>
    </w:p>
    <w:p w14:paraId="2A6A225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应该定期评审配置管理数据库，以确认配置项是否实际存在，以及是否在配置管理系统中正确记录了它们的活动。</w:t>
      </w:r>
    </w:p>
    <w:p w14:paraId="44B3D25F">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18.2.3.5知识库管理</w:t>
      </w:r>
    </w:p>
    <w:p w14:paraId="419A68E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要做好知识库管理，要确定知识库更新审核流程、知识库文档编号规则、知识库各类别负责人。</w:t>
      </w:r>
    </w:p>
    <w:p w14:paraId="5BB6DF9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知识库管理计划举例：</w:t>
      </w:r>
    </w:p>
    <w:tbl>
      <w:tblPr>
        <w:tblStyle w:val="40"/>
        <w:tblW w:w="9611" w:type="dxa"/>
        <w:jc w:val="center"/>
        <w:tblLayout w:type="fixed"/>
        <w:tblCellMar>
          <w:top w:w="0" w:type="dxa"/>
          <w:left w:w="108" w:type="dxa"/>
          <w:bottom w:w="0" w:type="dxa"/>
          <w:right w:w="108" w:type="dxa"/>
        </w:tblCellMar>
      </w:tblPr>
      <w:tblGrid>
        <w:gridCol w:w="1135"/>
        <w:gridCol w:w="1276"/>
        <w:gridCol w:w="1701"/>
        <w:gridCol w:w="1134"/>
        <w:gridCol w:w="1134"/>
        <w:gridCol w:w="992"/>
        <w:gridCol w:w="794"/>
        <w:gridCol w:w="709"/>
        <w:gridCol w:w="736"/>
      </w:tblGrid>
      <w:tr w14:paraId="7F2A8486">
        <w:tblPrEx>
          <w:tblCellMar>
            <w:top w:w="0" w:type="dxa"/>
            <w:left w:w="108" w:type="dxa"/>
            <w:bottom w:w="0" w:type="dxa"/>
            <w:right w:w="108" w:type="dxa"/>
          </w:tblCellMar>
        </w:tblPrEx>
        <w:trPr>
          <w:jc w:val="center"/>
        </w:trPr>
        <w:tc>
          <w:tcPr>
            <w:tcW w:w="1135"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1ADCD1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工作内容</w:t>
            </w:r>
          </w:p>
        </w:tc>
        <w:tc>
          <w:tcPr>
            <w:tcW w:w="1276"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3A1247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具体任务</w:t>
            </w:r>
          </w:p>
        </w:tc>
        <w:tc>
          <w:tcPr>
            <w:tcW w:w="1701"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801163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目标</w:t>
            </w:r>
          </w:p>
        </w:tc>
        <w:tc>
          <w:tcPr>
            <w:tcW w:w="1134"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CBF0BA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任务交付成果</w:t>
            </w:r>
          </w:p>
        </w:tc>
        <w:tc>
          <w:tcPr>
            <w:tcW w:w="1134"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2F22A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负责人</w:t>
            </w:r>
          </w:p>
        </w:tc>
        <w:tc>
          <w:tcPr>
            <w:tcW w:w="992"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350DC0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预计完成时间</w:t>
            </w:r>
          </w:p>
        </w:tc>
        <w:tc>
          <w:tcPr>
            <w:tcW w:w="794"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015A1F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实际完成时间</w:t>
            </w:r>
          </w:p>
        </w:tc>
        <w:tc>
          <w:tcPr>
            <w:tcW w:w="709"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8F3DED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当前状态</w:t>
            </w:r>
          </w:p>
        </w:tc>
        <w:tc>
          <w:tcPr>
            <w:tcW w:w="736" w:type="dxa"/>
            <w:tcBorders>
              <w:top w:val="single" w:color="000000" w:sz="16"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EB7E073">
            <w:pPr>
              <w:widowControl/>
              <w:autoSpaceDE w:val="0"/>
              <w:autoSpaceDN w:val="0"/>
              <w:adjustRightInd w:val="0"/>
              <w:spacing w:line="276" w:lineRule="auto"/>
              <w:jc w:val="left"/>
              <w:rPr>
                <w:rFonts w:ascii="宋体" w:hAnsi="Times Roman" w:eastAsia="宋体" w:cs="宋体"/>
                <w:color w:val="000000"/>
                <w:kern w:val="0"/>
                <w:szCs w:val="21"/>
              </w:rPr>
            </w:pPr>
            <w:r>
              <w:rPr>
                <w:rFonts w:ascii="宋体" w:hAnsi="Times Roman" w:eastAsia="宋体" w:cs="宋体"/>
                <w:color w:val="000000"/>
                <w:kern w:val="0"/>
                <w:szCs w:val="21"/>
              </w:rPr>
              <w:drawing>
                <wp:inline distT="0" distB="0" distL="0" distR="0">
                  <wp:extent cx="12700" cy="19685"/>
                  <wp:effectExtent l="0" t="0" r="0" b="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12700" cy="19685"/>
                          </a:xfrm>
                          <a:prstGeom prst="rect">
                            <a:avLst/>
                          </a:prstGeom>
                          <a:noFill/>
                          <a:ln>
                            <a:noFill/>
                          </a:ln>
                        </pic:spPr>
                      </pic:pic>
                    </a:graphicData>
                  </a:graphic>
                </wp:inline>
              </w:drawing>
            </w:r>
            <w:r>
              <w:rPr>
                <w:rFonts w:hint="eastAsia" w:ascii="宋体" w:hAnsi="Times Roman" w:eastAsia="宋体" w:cs="宋体"/>
                <w:color w:val="000000"/>
                <w:kern w:val="0"/>
                <w:szCs w:val="21"/>
              </w:rPr>
              <w:t>行动计划</w:t>
            </w:r>
          </w:p>
        </w:tc>
      </w:tr>
      <w:tr w14:paraId="390B4766">
        <w:tblPrEx>
          <w:tblCellMar>
            <w:top w:w="0" w:type="dxa"/>
            <w:left w:w="108" w:type="dxa"/>
            <w:bottom w:w="0" w:type="dxa"/>
            <w:right w:w="108" w:type="dxa"/>
          </w:tblCellMar>
        </w:tblPrEx>
        <w:trPr>
          <w:jc w:val="center"/>
        </w:trPr>
        <w:tc>
          <w:tcPr>
            <w:tcW w:w="1135"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D2B065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知识管理整体目标</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69EDC4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明确知识管理目标</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7742FE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工程师一次解决率</w:t>
            </w:r>
            <w:r>
              <w:rPr>
                <w:rFonts w:ascii="宋体" w:hAnsi="Times Roman" w:eastAsia="宋体" w:cs="宋体"/>
                <w:color w:val="000000"/>
                <w:kern w:val="0"/>
                <w:szCs w:val="21"/>
              </w:rPr>
              <w:t>60%</w:t>
            </w:r>
            <w:r>
              <w:rPr>
                <w:rFonts w:hint="eastAsia" w:ascii="宋体" w:hAnsi="Times Roman" w:eastAsia="宋体" w:cs="宋体"/>
                <w:color w:val="000000"/>
                <w:kern w:val="0"/>
                <w:szCs w:val="21"/>
              </w:rPr>
              <w:t>知识覆盖率</w:t>
            </w:r>
            <w:r>
              <w:rPr>
                <w:rFonts w:ascii="宋体" w:hAnsi="Times Roman" w:eastAsia="宋体" w:cs="宋体"/>
                <w:color w:val="000000"/>
                <w:kern w:val="0"/>
                <w:szCs w:val="21"/>
              </w:rPr>
              <w:t>90%</w:t>
            </w:r>
            <w:r>
              <w:rPr>
                <w:rFonts w:hint="eastAsia" w:ascii="宋体" w:hAnsi="Times Roman" w:eastAsia="宋体" w:cs="宋体"/>
                <w:color w:val="000000"/>
                <w:kern w:val="0"/>
                <w:szCs w:val="21"/>
              </w:rPr>
              <w:t>知识积累数量达成</w:t>
            </w:r>
            <w:r>
              <w:rPr>
                <w:rFonts w:ascii="宋体" w:hAnsi="Times Roman" w:eastAsia="宋体" w:cs="宋体"/>
                <w:color w:val="000000"/>
                <w:kern w:val="0"/>
                <w:szCs w:val="21"/>
              </w:rPr>
              <w:t>(</w:t>
            </w:r>
            <w:r>
              <w:rPr>
                <w:rFonts w:hint="eastAsia" w:ascii="宋体" w:hAnsi="Times Roman" w:eastAsia="宋体" w:cs="宋体"/>
                <w:color w:val="000000"/>
                <w:kern w:val="0"/>
                <w:szCs w:val="21"/>
              </w:rPr>
              <w:t>依照项目规模而定</w:t>
            </w:r>
            <w:r>
              <w:rPr>
                <w:rFonts w:ascii="宋体" w:hAnsi="Times Roman" w:eastAsia="宋体" w:cs="宋体"/>
                <w:color w:val="000000"/>
                <w:kern w:val="0"/>
                <w:szCs w:val="21"/>
              </w:rPr>
              <w:t>)</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F5EBB0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知识库目标达成</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03932D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D611AE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15303B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8C2428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F7DD2C3">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07059218">
        <w:tblPrEx>
          <w:tblCellMar>
            <w:top w:w="0" w:type="dxa"/>
            <w:left w:w="108" w:type="dxa"/>
            <w:bottom w:w="0" w:type="dxa"/>
            <w:right w:w="108" w:type="dxa"/>
          </w:tblCellMar>
        </w:tblPrEx>
        <w:trPr>
          <w:jc w:val="center"/>
        </w:trPr>
        <w:tc>
          <w:tcPr>
            <w:tcW w:w="1135" w:type="dxa"/>
            <w:vMerge w:val="restar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BEF59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知识库搭建</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8E14E8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明确知识库形式</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68F016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明确使用具体的载体</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736196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知识库的形式</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17A1CD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4B292A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1B0928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DF2A6B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F30B4F">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44E74BE4">
        <w:tblPrEx>
          <w:tblCellMar>
            <w:top w:w="0" w:type="dxa"/>
            <w:left w:w="108" w:type="dxa"/>
            <w:bottom w:w="0" w:type="dxa"/>
            <w:right w:w="108" w:type="dxa"/>
          </w:tblCellMar>
        </w:tblPrEx>
        <w:trPr>
          <w:jc w:val="center"/>
        </w:trPr>
        <w:tc>
          <w:tcPr>
            <w:tcW w:w="1135" w:type="dxa"/>
            <w:vMerge w:val="continue"/>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BC265A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BC1BEB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确定知识管理负责人</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2BD95C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知识管理负责人名单</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E28729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0C0457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B361C2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5E3054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14E00A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7B1528">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2D6F8CF">
        <w:tblPrEx>
          <w:tblCellMar>
            <w:top w:w="0" w:type="dxa"/>
            <w:left w:w="108" w:type="dxa"/>
            <w:bottom w:w="0" w:type="dxa"/>
            <w:right w:w="108" w:type="dxa"/>
          </w:tblCellMar>
        </w:tblPrEx>
        <w:trPr>
          <w:jc w:val="center"/>
        </w:trPr>
        <w:tc>
          <w:tcPr>
            <w:tcW w:w="1135" w:type="dxa"/>
            <w:vMerge w:val="continue"/>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85731A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419E7D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确定知识库内容</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0DFA78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知识库内容覆盖度符合项目要求</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F2AB50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知识库内容</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46F458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项目经理</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BCB152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8F81D9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194E7C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88C8BAC">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354A21B3">
        <w:tblPrEx>
          <w:tblCellMar>
            <w:top w:w="0" w:type="dxa"/>
            <w:left w:w="108" w:type="dxa"/>
            <w:bottom w:w="0" w:type="dxa"/>
            <w:right w:w="108" w:type="dxa"/>
          </w:tblCellMar>
        </w:tblPrEx>
        <w:trPr>
          <w:jc w:val="center"/>
        </w:trPr>
        <w:tc>
          <w:tcPr>
            <w:tcW w:w="1135" w:type="dxa"/>
            <w:vMerge w:val="restar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C14074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知识树设计</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768D03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确定知识树的结构</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B09A81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知识库结构符合项目的要求</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C81BAA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知识树结构</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7E2FCF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A0FC7F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A77B4C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D5E68B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9E51B04">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39394EA9">
        <w:tblPrEx>
          <w:tblCellMar>
            <w:top w:w="0" w:type="dxa"/>
            <w:left w:w="108" w:type="dxa"/>
            <w:bottom w:w="0" w:type="dxa"/>
            <w:right w:w="108" w:type="dxa"/>
          </w:tblCellMar>
        </w:tblPrEx>
        <w:trPr>
          <w:jc w:val="center"/>
        </w:trPr>
        <w:tc>
          <w:tcPr>
            <w:tcW w:w="1135" w:type="dxa"/>
            <w:vMerge w:val="continue"/>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7FBA12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B630A5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知识树目录设置</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18FD70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知识树目录设置符合知识树结构</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638652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知识树结构</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C8D8C1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D434E8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A286F8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C4B69C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424F78B">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578C2723">
        <w:tblPrEx>
          <w:tblCellMar>
            <w:top w:w="0" w:type="dxa"/>
            <w:left w:w="108" w:type="dxa"/>
            <w:bottom w:w="0" w:type="dxa"/>
            <w:right w:w="108" w:type="dxa"/>
          </w:tblCellMar>
        </w:tblPrEx>
        <w:trPr>
          <w:jc w:val="center"/>
        </w:trPr>
        <w:tc>
          <w:tcPr>
            <w:tcW w:w="1135" w:type="dxa"/>
            <w:vMerge w:val="continue"/>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68B87F4">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1EB7E5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知识上传测试</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259F21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上传测试成功</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FA9688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上传后的知识</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1C96E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0D6FAA9">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25AE2D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3BD037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53B85E4">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7BDDE683">
        <w:tblPrEx>
          <w:tblCellMar>
            <w:top w:w="0" w:type="dxa"/>
            <w:left w:w="108" w:type="dxa"/>
            <w:bottom w:w="0" w:type="dxa"/>
            <w:right w:w="108" w:type="dxa"/>
          </w:tblCellMar>
        </w:tblPrEx>
        <w:trPr>
          <w:jc w:val="center"/>
        </w:trPr>
        <w:tc>
          <w:tcPr>
            <w:tcW w:w="1135" w:type="dxa"/>
            <w:vMerge w:val="restart"/>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6C6431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知识转移</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F09310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知识汇总</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EAAF20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知识覆盖率达到</w:t>
            </w:r>
            <w:r>
              <w:rPr>
                <w:rFonts w:ascii="宋体" w:hAnsi="Times Roman" w:eastAsia="宋体" w:cs="宋体"/>
                <w:color w:val="000000"/>
                <w:kern w:val="0"/>
                <w:szCs w:val="21"/>
              </w:rPr>
              <w:t>70%</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F139C3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知识清单</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E5D6B4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0E99FE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A8D07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05233C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C985ABC">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98B400E">
        <w:tblPrEx>
          <w:tblCellMar>
            <w:top w:w="0" w:type="dxa"/>
            <w:left w:w="108" w:type="dxa"/>
            <w:bottom w:w="0" w:type="dxa"/>
            <w:right w:w="108" w:type="dxa"/>
          </w:tblCellMar>
        </w:tblPrEx>
        <w:trPr>
          <w:jc w:val="center"/>
        </w:trPr>
        <w:tc>
          <w:tcPr>
            <w:tcW w:w="1135" w:type="dxa"/>
            <w:vMerge w:val="continue"/>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AE1387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D40C17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知识审核</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84BCD7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知识审核比例</w:t>
            </w:r>
            <w:r>
              <w:rPr>
                <w:rFonts w:ascii="宋体" w:hAnsi="Times Roman" w:eastAsia="宋体" w:cs="宋体"/>
                <w:color w:val="000000"/>
                <w:kern w:val="0"/>
                <w:szCs w:val="21"/>
              </w:rPr>
              <w:t>100%</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F15842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审核后的知识清单</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77AA72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76C443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82984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019880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E846E60">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57E1CB3C">
        <w:tblPrEx>
          <w:tblCellMar>
            <w:top w:w="0" w:type="dxa"/>
            <w:left w:w="108" w:type="dxa"/>
            <w:bottom w:w="0" w:type="dxa"/>
            <w:right w:w="108" w:type="dxa"/>
          </w:tblCellMar>
        </w:tblPrEx>
        <w:trPr>
          <w:jc w:val="center"/>
        </w:trPr>
        <w:tc>
          <w:tcPr>
            <w:tcW w:w="1135" w:type="dxa"/>
            <w:vMerge w:val="restart"/>
            <w:tcBorders>
              <w:top w:val="single" w:color="000000" w:sz="8" w:space="0"/>
              <w:left w:val="single" w:color="000000" w:sz="8" w:space="0"/>
              <w:right w:val="single" w:color="000000" w:sz="8" w:space="0"/>
            </w:tcBorders>
            <w:tcMar>
              <w:top w:w="0" w:type="dxa"/>
              <w:left w:w="0" w:type="dxa"/>
              <w:bottom w:w="0" w:type="dxa"/>
              <w:right w:w="0" w:type="dxa"/>
            </w:tcMar>
            <w:vAlign w:val="center"/>
          </w:tcPr>
          <w:p w14:paraId="0E25112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知识更新</w:t>
            </w: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F0F1A1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知识更新频度</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168F54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每周知识更新</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29616C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知识更新频度</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2F4D1C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0520479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2680BB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2C96F08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59608F1">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3DBF5047">
        <w:tblPrEx>
          <w:tblCellMar>
            <w:top w:w="0" w:type="dxa"/>
            <w:left w:w="108" w:type="dxa"/>
            <w:bottom w:w="0" w:type="dxa"/>
            <w:right w:w="108" w:type="dxa"/>
          </w:tblCellMar>
        </w:tblPrEx>
        <w:trPr>
          <w:jc w:val="center"/>
        </w:trPr>
        <w:tc>
          <w:tcPr>
            <w:tcW w:w="1135" w:type="dxa"/>
            <w:vMerge w:val="continue"/>
            <w:tcBorders>
              <w:left w:val="single" w:color="000000" w:sz="8" w:space="0"/>
              <w:bottom w:val="single" w:color="000000" w:sz="8" w:space="0"/>
              <w:right w:val="single" w:color="000000" w:sz="8" w:space="0"/>
            </w:tcBorders>
            <w:tcMar>
              <w:top w:w="0" w:type="dxa"/>
              <w:left w:w="0" w:type="dxa"/>
              <w:bottom w:w="0" w:type="dxa"/>
              <w:right w:w="0" w:type="dxa"/>
            </w:tcMar>
            <w:vAlign w:val="center"/>
          </w:tcPr>
          <w:p w14:paraId="0C3E93C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7B881C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知识更新数量</w:t>
            </w:r>
          </w:p>
        </w:tc>
        <w:tc>
          <w:tcPr>
            <w:tcW w:w="1701"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C58720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数量20条</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81A9D1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知识更新数量</w:t>
            </w:r>
          </w:p>
        </w:tc>
        <w:tc>
          <w:tcPr>
            <w:tcW w:w="113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4008E6C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知识管理负责人</w:t>
            </w:r>
          </w:p>
        </w:tc>
        <w:tc>
          <w:tcPr>
            <w:tcW w:w="992"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30892F7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94"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9EEA84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09"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3BB2AB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736"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E61EC9E">
            <w:pPr>
              <w:widowControl/>
              <w:autoSpaceDE w:val="0"/>
              <w:autoSpaceDN w:val="0"/>
              <w:adjustRightInd w:val="0"/>
              <w:spacing w:line="276" w:lineRule="auto"/>
              <w:jc w:val="left"/>
              <w:rPr>
                <w:rFonts w:ascii="Times Roman" w:hAnsi="Times Roman" w:eastAsia="宋体" w:cs="Times Roman"/>
                <w:color w:val="000000"/>
                <w:kern w:val="0"/>
                <w:szCs w:val="21"/>
              </w:rPr>
            </w:pPr>
          </w:p>
        </w:tc>
      </w:tr>
    </w:tbl>
    <w:p w14:paraId="6F777667">
      <w:pPr>
        <w:widowControl/>
        <w:autoSpaceDE w:val="0"/>
        <w:autoSpaceDN w:val="0"/>
        <w:adjustRightInd w:val="0"/>
        <w:spacing w:after="240" w:line="300" w:lineRule="atLeast"/>
        <w:jc w:val="left"/>
        <w:rPr>
          <w:rFonts w:ascii="Times Roman" w:hAnsi="Times Roman" w:eastAsia="宋体" w:cs="Times Roman"/>
          <w:color w:val="000000"/>
          <w:kern w:val="0"/>
          <w:sz w:val="24"/>
          <w:szCs w:val="24"/>
        </w:rPr>
      </w:pPr>
    </w:p>
    <w:p w14:paraId="5506399D">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18.2.3.6发布管理</w:t>
      </w:r>
    </w:p>
    <w:p w14:paraId="6ADD20F6">
      <w:pPr>
        <w:numPr>
          <w:ilvl w:val="0"/>
          <w:numId w:val="129"/>
        </w:numPr>
        <w:spacing w:line="360" w:lineRule="auto"/>
        <w:rPr>
          <w:rFonts w:hint="eastAsia" w:ascii="宋体" w:hAnsi="宋体" w:eastAsia="宋体" w:cs="Times New Roman"/>
          <w:szCs w:val="21"/>
        </w:rPr>
      </w:pPr>
      <w:r>
        <w:rPr>
          <w:rFonts w:hint="eastAsia" w:ascii="宋体" w:hAnsi="宋体" w:eastAsia="宋体" w:cs="Times New Roman"/>
          <w:szCs w:val="21"/>
        </w:rPr>
        <w:t>发布管理流程</w:t>
      </w:r>
    </w:p>
    <w:p w14:paraId="404670E8">
      <w:pPr>
        <w:spacing w:line="360" w:lineRule="auto"/>
        <w:ind w:left="480"/>
        <w:jc w:val="left"/>
        <w:rPr>
          <w:rFonts w:hint="eastAsia" w:ascii="宋体" w:hAnsi="宋体" w:eastAsia="宋体" w:cs="Times New Roman"/>
          <w:sz w:val="24"/>
          <w:szCs w:val="24"/>
        </w:rPr>
      </w:pPr>
      <w:r>
        <w:rPr>
          <w:rFonts w:ascii="宋体" w:hAnsi="宋体" w:eastAsia="宋体" w:cs="Times New Roman"/>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5939790" cy="2317750"/>
            <wp:effectExtent l="0" t="0" r="3810" b="0"/>
            <wp:wrapSquare wrapText="bothSides"/>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5939790" cy="2317750"/>
                    </a:xfrm>
                    <a:prstGeom prst="rect">
                      <a:avLst/>
                    </a:prstGeom>
                    <a:noFill/>
                    <a:ln>
                      <a:noFill/>
                    </a:ln>
                  </pic:spPr>
                </pic:pic>
              </a:graphicData>
            </a:graphic>
          </wp:anchor>
        </w:drawing>
      </w:r>
    </w:p>
    <w:p w14:paraId="696651B7">
      <w:pPr>
        <w:numPr>
          <w:ilvl w:val="0"/>
          <w:numId w:val="129"/>
        </w:numPr>
        <w:spacing w:line="360" w:lineRule="auto"/>
        <w:rPr>
          <w:rFonts w:hint="eastAsia" w:ascii="宋体" w:hAnsi="宋体" w:eastAsia="宋体" w:cs="Times New Roman"/>
          <w:szCs w:val="21"/>
        </w:rPr>
      </w:pPr>
      <w:r>
        <w:rPr>
          <w:rFonts w:hint="eastAsia" w:ascii="宋体" w:hAnsi="宋体" w:eastAsia="宋体" w:cs="Times New Roman"/>
          <w:szCs w:val="21"/>
        </w:rPr>
        <w:t>发布策略</w:t>
      </w:r>
    </w:p>
    <w:tbl>
      <w:tblPr>
        <w:tblStyle w:val="40"/>
        <w:tblpPr w:leftFromText="180" w:rightFromText="180" w:vertAnchor="text" w:horzAnchor="page" w:tblpXSpec="center" w:tblpY="29"/>
        <w:tblW w:w="9606" w:type="dxa"/>
        <w:jc w:val="center"/>
        <w:tblLayout w:type="fixed"/>
        <w:tblCellMar>
          <w:top w:w="0" w:type="dxa"/>
          <w:left w:w="108" w:type="dxa"/>
          <w:bottom w:w="0" w:type="dxa"/>
          <w:right w:w="108" w:type="dxa"/>
        </w:tblCellMar>
      </w:tblPr>
      <w:tblGrid>
        <w:gridCol w:w="817"/>
        <w:gridCol w:w="3119"/>
        <w:gridCol w:w="5670"/>
      </w:tblGrid>
      <w:tr w14:paraId="4FD0F0B8">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shd w:val="clear" w:color="auto" w:fill="F0F0F0"/>
            <w:tcMar>
              <w:top w:w="0" w:type="dxa"/>
              <w:left w:w="0" w:type="dxa"/>
              <w:bottom w:w="0" w:type="dxa"/>
              <w:right w:w="0" w:type="dxa"/>
            </w:tcMar>
            <w:vAlign w:val="center"/>
          </w:tcPr>
          <w:p w14:paraId="1559C6B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序号</w:t>
            </w:r>
          </w:p>
        </w:tc>
        <w:tc>
          <w:tcPr>
            <w:tcW w:w="3119" w:type="dxa"/>
            <w:tcBorders>
              <w:top w:val="single" w:color="000000" w:sz="4" w:space="0"/>
              <w:left w:val="single" w:color="000000" w:sz="4" w:space="0"/>
              <w:bottom w:val="single" w:color="000000" w:sz="4" w:space="0"/>
              <w:right w:val="single" w:color="000000" w:sz="4" w:space="0"/>
            </w:tcBorders>
            <w:shd w:val="clear" w:color="auto" w:fill="F0F0F0"/>
            <w:tcMar>
              <w:top w:w="0" w:type="dxa"/>
              <w:left w:w="0" w:type="dxa"/>
              <w:bottom w:w="0" w:type="dxa"/>
              <w:right w:w="0" w:type="dxa"/>
            </w:tcMar>
            <w:vAlign w:val="center"/>
          </w:tcPr>
          <w:p w14:paraId="3029A0F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发布策略标准</w:t>
            </w:r>
          </w:p>
        </w:tc>
        <w:tc>
          <w:tcPr>
            <w:tcW w:w="5670" w:type="dxa"/>
            <w:tcBorders>
              <w:top w:val="single" w:color="000000" w:sz="4" w:space="0"/>
              <w:left w:val="single" w:color="000000" w:sz="4" w:space="0"/>
              <w:bottom w:val="single" w:color="000000" w:sz="4" w:space="0"/>
              <w:right w:val="single" w:color="000000" w:sz="4" w:space="0"/>
            </w:tcBorders>
            <w:shd w:val="clear" w:color="auto" w:fill="F0F0F0"/>
            <w:tcMar>
              <w:top w:w="0" w:type="dxa"/>
              <w:left w:w="0" w:type="dxa"/>
              <w:bottom w:w="0" w:type="dxa"/>
              <w:right w:w="0" w:type="dxa"/>
            </w:tcMar>
            <w:vAlign w:val="center"/>
          </w:tcPr>
          <w:p w14:paraId="481103F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内容</w:t>
            </w:r>
          </w:p>
        </w:tc>
      </w:tr>
      <w:tr w14:paraId="047E2438">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AF9737">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宋体" w:hAnsi="Times Roman" w:eastAsia="宋体" w:cs="宋体"/>
                <w:color w:val="000000"/>
                <w:kern w:val="0"/>
                <w:szCs w:val="21"/>
              </w:rPr>
              <w:t>1</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48E0A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由可定义的发布所控制</w:t>
            </w:r>
            <w:r>
              <w:rPr>
                <w:rFonts w:ascii="宋体" w:hAnsi="Times Roman" w:eastAsia="宋体" w:cs="宋体"/>
                <w:color w:val="000000"/>
                <w:kern w:val="0"/>
                <w:szCs w:val="21"/>
              </w:rPr>
              <w:t>IT</w:t>
            </w:r>
            <w:r>
              <w:rPr>
                <w:rFonts w:hint="eastAsia" w:ascii="宋体" w:hAnsi="Times Roman" w:eastAsia="宋体" w:cs="宋体"/>
                <w:color w:val="000000"/>
                <w:kern w:val="0"/>
                <w:szCs w:val="21"/>
              </w:rPr>
              <w:t>集成构架的级别</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E0934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分为重大发布、普通发布、小型发布三种发布类型</w:t>
            </w:r>
          </w:p>
        </w:tc>
      </w:tr>
      <w:tr w14:paraId="71BC993E">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4038A1">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宋体" w:hAnsi="Times Roman" w:eastAsia="宋体" w:cs="宋体"/>
                <w:color w:val="000000"/>
                <w:kern w:val="0"/>
                <w:szCs w:val="21"/>
              </w:rPr>
              <w:t>2</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C972D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发布命名和编号规则</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47BA24">
            <w:pPr>
              <w:widowControl/>
              <w:autoSpaceDE w:val="0"/>
              <w:autoSpaceDN w:val="0"/>
              <w:adjustRightInd w:val="0"/>
              <w:spacing w:line="276" w:lineRule="auto"/>
              <w:jc w:val="left"/>
              <w:rPr>
                <w:rFonts w:ascii="宋体" w:hAnsi="Times Roman" w:eastAsia="宋体" w:cs="宋体"/>
                <w:color w:val="000000"/>
                <w:kern w:val="0"/>
                <w:szCs w:val="21"/>
              </w:rPr>
            </w:pPr>
            <w:r>
              <w:rPr>
                <w:rFonts w:ascii="宋体" w:hAnsi="Times Roman" w:eastAsia="宋体" w:cs="宋体"/>
                <w:color w:val="000000"/>
                <w:kern w:val="0"/>
                <w:szCs w:val="21"/>
              </w:rPr>
              <w:drawing>
                <wp:inline distT="0" distB="0" distL="0" distR="0">
                  <wp:extent cx="6350" cy="6350"/>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ascii="宋体" w:hAnsi="Times Roman" w:eastAsia="宋体" w:cs="宋体"/>
                <w:color w:val="000000"/>
                <w:kern w:val="0"/>
                <w:szCs w:val="21"/>
              </w:rPr>
              <w:t>按发布内容确定发布名称，编号</w:t>
            </w:r>
          </w:p>
        </w:tc>
      </w:tr>
      <w:tr w14:paraId="100C34C6">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4FD922">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宋体" w:hAnsi="Times Roman" w:eastAsia="宋体" w:cs="宋体"/>
                <w:color w:val="000000"/>
                <w:kern w:val="0"/>
                <w:szCs w:val="21"/>
              </w:rPr>
              <w:t>3</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49D6A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重大发布、普通发布和小型发布的定义</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BB99E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1、重大发布</w:t>
            </w:r>
            <w:r>
              <w:rPr>
                <w:rFonts w:ascii="宋体" w:hAnsi="Times Roman" w:eastAsia="宋体" w:cs="宋体"/>
                <w:color w:val="000000"/>
                <w:kern w:val="0"/>
                <w:szCs w:val="21"/>
              </w:rPr>
              <w:t>:</w:t>
            </w:r>
            <w:r>
              <w:rPr>
                <w:rFonts w:hint="eastAsia" w:ascii="宋体" w:hAnsi="Times Roman" w:eastAsia="宋体" w:cs="宋体"/>
                <w:color w:val="000000"/>
                <w:kern w:val="0"/>
                <w:szCs w:val="21"/>
              </w:rPr>
              <w:t>影响</w:t>
            </w:r>
            <w:r>
              <w:rPr>
                <w:rFonts w:ascii="宋体" w:hAnsi="Times Roman" w:eastAsia="宋体" w:cs="宋体"/>
                <w:color w:val="000000"/>
                <w:kern w:val="0"/>
                <w:szCs w:val="21"/>
              </w:rPr>
              <w:t>10%</w:t>
            </w:r>
            <w:r>
              <w:rPr>
                <w:rFonts w:hint="eastAsia" w:ascii="宋体" w:hAnsi="Times Roman" w:eastAsia="宋体" w:cs="宋体"/>
                <w:color w:val="000000"/>
                <w:kern w:val="0"/>
                <w:szCs w:val="21"/>
              </w:rPr>
              <w:t>以上用户的系统变更</w:t>
            </w:r>
            <w:r>
              <w:rPr>
                <w:rFonts w:ascii="宋体" w:hAnsi="Times Roman" w:eastAsia="宋体" w:cs="宋体"/>
                <w:color w:val="000000"/>
                <w:kern w:val="0"/>
                <w:szCs w:val="21"/>
              </w:rPr>
              <w:t>;2</w:t>
            </w:r>
            <w:r>
              <w:rPr>
                <w:rFonts w:hint="eastAsia" w:ascii="宋体" w:hAnsi="Times Roman" w:eastAsia="宋体" w:cs="宋体"/>
                <w:color w:val="000000"/>
                <w:kern w:val="0"/>
                <w:szCs w:val="21"/>
              </w:rPr>
              <w:t>、普通发布</w:t>
            </w:r>
            <w:r>
              <w:rPr>
                <w:rFonts w:ascii="宋体" w:hAnsi="Times Roman" w:eastAsia="宋体" w:cs="宋体"/>
                <w:color w:val="000000"/>
                <w:kern w:val="0"/>
                <w:szCs w:val="21"/>
              </w:rPr>
              <w:t>:</w:t>
            </w:r>
            <w:r>
              <w:rPr>
                <w:rFonts w:hint="eastAsia" w:ascii="宋体" w:hAnsi="Times Roman" w:eastAsia="宋体" w:cs="宋体"/>
                <w:color w:val="000000"/>
                <w:kern w:val="0"/>
                <w:szCs w:val="21"/>
              </w:rPr>
              <w:t>对业务影响一般且可控，影响用户数在</w:t>
            </w:r>
            <w:r>
              <w:rPr>
                <w:rFonts w:ascii="宋体" w:hAnsi="Times Roman" w:eastAsia="宋体" w:cs="宋体"/>
                <w:color w:val="000000"/>
                <w:kern w:val="0"/>
                <w:szCs w:val="21"/>
              </w:rPr>
              <w:t>1%-10%</w:t>
            </w:r>
            <w:r>
              <w:rPr>
                <w:rFonts w:hint="eastAsia" w:ascii="宋体" w:hAnsi="Times Roman" w:eastAsia="宋体" w:cs="宋体"/>
                <w:color w:val="000000"/>
                <w:kern w:val="0"/>
                <w:szCs w:val="21"/>
              </w:rPr>
              <w:t>；3、小型发布：影响用户数在1%以内，对业务影响轻微</w:t>
            </w:r>
          </w:p>
        </w:tc>
      </w:tr>
      <w:tr w14:paraId="7D70B9AB">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513B1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4</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54ACC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重大发布、普通发布和小型发布频率的指导原则</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7657A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重大发布和普通发布的频率建议不高于一个月五次。应当对用户影响最小的时间进行。</w:t>
            </w:r>
          </w:p>
          <w:p w14:paraId="100E062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小型发布的频率建议不高于一个小时一次。应当在下</w:t>
            </w:r>
          </w:p>
          <w:p w14:paraId="050DCCA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班后实施。</w:t>
            </w:r>
          </w:p>
        </w:tc>
      </w:tr>
      <w:tr w14:paraId="4489299E">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8FCC4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5</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9BD29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每种发布类型所预期的成果，如安装指南和发布记录等</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EC050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所有类型的发布，都要求周知干系人，由于发布引起的调整、变更所造成的影响。所有需要配合的变更，要发给干系人操作手册。所有发布都要记录在案。</w:t>
            </w:r>
          </w:p>
        </w:tc>
      </w:tr>
      <w:tr w14:paraId="4E13BD91">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0E70F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6</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1049B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产品策略以及对撤销计划进行测试的程度</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E7A0E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产品策略</w:t>
            </w:r>
            <w:r>
              <w:rPr>
                <w:rFonts w:ascii="宋体" w:hAnsi="Times Roman" w:eastAsia="宋体" w:cs="宋体"/>
                <w:color w:val="000000"/>
                <w:kern w:val="0"/>
                <w:szCs w:val="21"/>
              </w:rPr>
              <w:t>:</w:t>
            </w:r>
            <w:r>
              <w:rPr>
                <w:rFonts w:hint="eastAsia" w:ascii="宋体" w:hAnsi="Times Roman" w:eastAsia="宋体" w:cs="宋体"/>
                <w:color w:val="000000"/>
                <w:kern w:val="0"/>
                <w:szCs w:val="21"/>
              </w:rPr>
              <w:t>采用适合公司业务实际的、有一定前瞻性先进性且可扩展和控制，有后期服务的产品。所有变更都必须提前设计好完整的撤销计划，该撤销计划必须是验证过有效的回退。</w:t>
            </w:r>
          </w:p>
        </w:tc>
      </w:tr>
      <w:tr w14:paraId="4BE16F91">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5C37B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7</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D36C9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从应用架构和设计的技术角度看，集中式发布管理的职责</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F973F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职责纲领为</w:t>
            </w:r>
            <w:r>
              <w:rPr>
                <w:rFonts w:ascii="宋体" w:hAnsi="Times Roman" w:eastAsia="宋体" w:cs="宋体"/>
                <w:color w:val="000000"/>
                <w:kern w:val="0"/>
                <w:szCs w:val="21"/>
              </w:rPr>
              <w:t>:</w:t>
            </w:r>
            <w:r>
              <w:rPr>
                <w:rFonts w:hint="eastAsia" w:ascii="宋体" w:hAnsi="Times Roman" w:eastAsia="宋体" w:cs="宋体"/>
                <w:color w:val="000000"/>
                <w:kern w:val="0"/>
                <w:szCs w:val="21"/>
              </w:rPr>
              <w:t>统一管理、有效控制、满足发展、风险屏蔽</w:t>
            </w:r>
          </w:p>
        </w:tc>
      </w:tr>
      <w:tr w14:paraId="08C5F229">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81DC0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8</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E3B86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有关发布管理控制流程的描述</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267E3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所有发布都需要有的流程</w:t>
            </w:r>
            <w:r>
              <w:rPr>
                <w:rFonts w:ascii="宋体" w:hAnsi="Times Roman" w:eastAsia="宋体" w:cs="宋体"/>
                <w:color w:val="000000"/>
                <w:kern w:val="0"/>
                <w:szCs w:val="21"/>
              </w:rPr>
              <w:t>:</w:t>
            </w:r>
            <w:r>
              <w:rPr>
                <w:rFonts w:hint="eastAsia" w:ascii="宋体" w:hAnsi="Times Roman" w:eastAsia="宋体" w:cs="宋体"/>
                <w:color w:val="000000"/>
                <w:kern w:val="0"/>
                <w:szCs w:val="21"/>
              </w:rPr>
              <w:t>提交</w:t>
            </w:r>
            <w:r>
              <w:rPr>
                <w:rFonts w:ascii="宋体" w:hAnsi="Times Roman" w:eastAsia="宋体" w:cs="宋体"/>
                <w:color w:val="000000"/>
                <w:kern w:val="0"/>
                <w:szCs w:val="21"/>
              </w:rPr>
              <w:t>IT</w:t>
            </w:r>
            <w:r>
              <w:rPr>
                <w:rFonts w:hint="eastAsia" w:ascii="宋体" w:hAnsi="Times Roman" w:eastAsia="宋体" w:cs="宋体"/>
                <w:color w:val="000000"/>
                <w:kern w:val="0"/>
                <w:szCs w:val="21"/>
              </w:rPr>
              <w:t>变更单，网上发文通知用户，经过本部门领导和项目经理审批</w:t>
            </w:r>
            <w:r>
              <w:rPr>
                <w:rFonts w:ascii="宋体" w:hAnsi="Times Roman" w:eastAsia="宋体" w:cs="宋体"/>
                <w:color w:val="000000"/>
                <w:kern w:val="0"/>
                <w:szCs w:val="21"/>
              </w:rPr>
              <w:t>;</w:t>
            </w:r>
            <w:r>
              <w:rPr>
                <w:rFonts w:hint="eastAsia" w:ascii="宋体" w:hAnsi="Times Roman" w:eastAsia="宋体" w:cs="宋体"/>
                <w:color w:val="000000"/>
                <w:kern w:val="0"/>
                <w:szCs w:val="21"/>
              </w:rPr>
              <w:t>邮件通知，要经过本部门领导审批，且按规范模式发送。</w:t>
            </w:r>
          </w:p>
        </w:tc>
      </w:tr>
      <w:tr w14:paraId="4EAB8E00">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E7B60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9</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3E3D8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配置文档记录，以及新增软件验收标准的定义</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CB0C8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配置文档记录要求统一管理</w:t>
            </w:r>
            <w:r>
              <w:rPr>
                <w:rFonts w:ascii="宋体" w:hAnsi="Times Roman" w:eastAsia="宋体" w:cs="宋体"/>
                <w:color w:val="000000"/>
                <w:kern w:val="0"/>
                <w:szCs w:val="21"/>
              </w:rPr>
              <w:t>;</w:t>
            </w:r>
            <w:r>
              <w:rPr>
                <w:rFonts w:hint="eastAsia" w:ascii="宋体" w:hAnsi="Times Roman" w:eastAsia="宋体" w:cs="宋体"/>
                <w:color w:val="000000"/>
                <w:kern w:val="0"/>
                <w:szCs w:val="21"/>
              </w:rPr>
              <w:t>新增软件的验收标准定义，要在软件设计阶段定义完成，以按时达成用户需求为最终验收标准</w:t>
            </w:r>
          </w:p>
        </w:tc>
      </w:tr>
      <w:tr w14:paraId="1E93E4E6">
        <w:tblPrEx>
          <w:tblCellMar>
            <w:top w:w="0" w:type="dxa"/>
            <w:left w:w="108" w:type="dxa"/>
            <w:bottom w:w="0" w:type="dxa"/>
            <w:right w:w="108" w:type="dxa"/>
          </w:tblCellMar>
        </w:tblPrEx>
        <w:trPr>
          <w:jc w:val="center"/>
        </w:trPr>
        <w:tc>
          <w:tcPr>
            <w:tcW w:w="81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73677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10</w:t>
            </w:r>
          </w:p>
        </w:tc>
        <w:tc>
          <w:tcPr>
            <w:tcW w:w="31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546B4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由</w:t>
            </w:r>
            <w:r>
              <w:rPr>
                <w:rFonts w:ascii="宋体" w:hAnsi="Times Roman" w:eastAsia="宋体" w:cs="宋体"/>
                <w:color w:val="000000"/>
                <w:kern w:val="0"/>
                <w:szCs w:val="21"/>
              </w:rPr>
              <w:t>IT</w:t>
            </w:r>
            <w:r>
              <w:rPr>
                <w:rFonts w:hint="eastAsia" w:ascii="宋体" w:hAnsi="Times Roman" w:eastAsia="宋体" w:cs="宋体"/>
                <w:color w:val="000000"/>
                <w:kern w:val="0"/>
                <w:szCs w:val="21"/>
              </w:rPr>
              <w:t>管理部门和用户共同对发布验收进行规划</w:t>
            </w:r>
          </w:p>
        </w:tc>
        <w:tc>
          <w:tcPr>
            <w:tcW w:w="56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A3C3E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发布实施运维方和用户负责最终验收</w:t>
            </w:r>
          </w:p>
          <w:p w14:paraId="16A04C18">
            <w:pPr>
              <w:widowControl/>
              <w:autoSpaceDE w:val="0"/>
              <w:autoSpaceDN w:val="0"/>
              <w:adjustRightInd w:val="0"/>
              <w:spacing w:line="276" w:lineRule="auto"/>
              <w:jc w:val="left"/>
              <w:rPr>
                <w:rFonts w:ascii="宋体" w:hAnsi="Times Roman" w:eastAsia="宋体" w:cs="宋体"/>
                <w:color w:val="000000"/>
                <w:kern w:val="0"/>
                <w:szCs w:val="21"/>
              </w:rPr>
            </w:pPr>
          </w:p>
        </w:tc>
      </w:tr>
    </w:tbl>
    <w:p w14:paraId="2AC11D8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进行规范的发布政策和统一的规划。对重大发布，需要提前规划其发布识别或版本号。</w:t>
      </w:r>
    </w:p>
    <w:p w14:paraId="4D9692F1">
      <w:pPr>
        <w:numPr>
          <w:ilvl w:val="0"/>
          <w:numId w:val="129"/>
        </w:numPr>
        <w:spacing w:line="360" w:lineRule="auto"/>
        <w:rPr>
          <w:rFonts w:hint="eastAsia" w:ascii="宋体" w:hAnsi="宋体" w:eastAsia="宋体" w:cs="Times New Roman"/>
          <w:szCs w:val="21"/>
        </w:rPr>
      </w:pPr>
      <w:r>
        <w:rPr>
          <w:rFonts w:hint="eastAsia" w:ascii="宋体" w:hAnsi="宋体" w:eastAsia="宋体" w:cs="Times New Roman"/>
          <w:szCs w:val="21"/>
        </w:rPr>
        <w:t>发布规则</w:t>
      </w:r>
    </w:p>
    <w:p w14:paraId="24900B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所有发布管理的实施，均需要作出发布规划。</w:t>
      </w:r>
    </w:p>
    <w:p w14:paraId="451BF948">
      <w:pPr>
        <w:numPr>
          <w:ilvl w:val="0"/>
          <w:numId w:val="130"/>
        </w:numPr>
        <w:spacing w:line="360" w:lineRule="auto"/>
        <w:rPr>
          <w:rFonts w:hint="eastAsia" w:ascii="宋体" w:hAnsi="宋体" w:eastAsia="宋体" w:cs="Times New Roman"/>
          <w:szCs w:val="21"/>
        </w:rPr>
      </w:pPr>
      <w:r>
        <w:rPr>
          <w:rFonts w:hint="eastAsia" w:ascii="宋体" w:hAnsi="宋体" w:eastAsia="宋体" w:cs="Times New Roman"/>
          <w:szCs w:val="21"/>
        </w:rPr>
        <w:t>发布规则内容</w:t>
      </w:r>
    </w:p>
    <w:tbl>
      <w:tblPr>
        <w:tblStyle w:val="40"/>
        <w:tblW w:w="9148" w:type="dxa"/>
        <w:jc w:val="center"/>
        <w:tblLayout w:type="autofit"/>
        <w:tblCellMar>
          <w:top w:w="0" w:type="dxa"/>
          <w:left w:w="108" w:type="dxa"/>
          <w:bottom w:w="0" w:type="dxa"/>
          <w:right w:w="108" w:type="dxa"/>
        </w:tblCellMar>
      </w:tblPr>
      <w:tblGrid>
        <w:gridCol w:w="676"/>
        <w:gridCol w:w="8472"/>
      </w:tblGrid>
      <w:tr w14:paraId="3507EEE4">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shd w:val="clear" w:color="auto" w:fill="F0F0F0"/>
          </w:tcPr>
          <w:p w14:paraId="5D372369">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eastAsia="宋体" w:cs="宋体"/>
                <w:color w:val="000000"/>
                <w:kern w:val="0"/>
                <w:szCs w:val="21"/>
              </w:rPr>
              <w:t>序号</w:t>
            </w:r>
          </w:p>
        </w:tc>
        <w:tc>
          <w:tcPr>
            <w:tcW w:w="8472" w:type="dxa"/>
            <w:tcBorders>
              <w:top w:val="single" w:color="000000" w:sz="4" w:space="0"/>
              <w:left w:val="single" w:color="000000" w:sz="4" w:space="0"/>
              <w:bottom w:val="single" w:color="000000" w:sz="4" w:space="0"/>
              <w:right w:val="single" w:color="000000" w:sz="4" w:space="0"/>
            </w:tcBorders>
            <w:shd w:val="clear" w:color="auto" w:fill="F0F0F0"/>
          </w:tcPr>
          <w:p w14:paraId="27564E56">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发布规划内容</w:t>
            </w:r>
          </w:p>
        </w:tc>
      </w:tr>
      <w:tr w14:paraId="2B91B113">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0C647CC5">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1</w:t>
            </w:r>
          </w:p>
        </w:tc>
        <w:tc>
          <w:tcPr>
            <w:tcW w:w="8472" w:type="dxa"/>
            <w:tcBorders>
              <w:top w:val="single" w:color="000000" w:sz="4" w:space="0"/>
              <w:left w:val="single" w:color="000000" w:sz="4" w:space="0"/>
              <w:bottom w:val="single" w:color="000000" w:sz="4" w:space="0"/>
              <w:right w:val="single" w:color="000000" w:sz="4" w:space="0"/>
            </w:tcBorders>
          </w:tcPr>
          <w:p w14:paraId="0613402D">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协调发布的内容</w:t>
            </w:r>
          </w:p>
        </w:tc>
      </w:tr>
      <w:tr w14:paraId="56E06AB1">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0F42FE9F">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2</w:t>
            </w:r>
          </w:p>
        </w:tc>
        <w:tc>
          <w:tcPr>
            <w:tcW w:w="8472" w:type="dxa"/>
            <w:tcBorders>
              <w:top w:val="single" w:color="000000" w:sz="4" w:space="0"/>
              <w:left w:val="single" w:color="000000" w:sz="4" w:space="0"/>
              <w:bottom w:val="single" w:color="000000" w:sz="4" w:space="0"/>
              <w:right w:val="single" w:color="000000" w:sz="4" w:space="0"/>
            </w:tcBorders>
          </w:tcPr>
          <w:p w14:paraId="182ECFA3">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就发布的日程安排、地点和组织单元进行协商</w:t>
            </w:r>
          </w:p>
        </w:tc>
      </w:tr>
      <w:tr w14:paraId="0558544F">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7A69F744">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3</w:t>
            </w:r>
          </w:p>
        </w:tc>
        <w:tc>
          <w:tcPr>
            <w:tcW w:w="8472" w:type="dxa"/>
            <w:tcBorders>
              <w:top w:val="single" w:color="000000" w:sz="4" w:space="0"/>
              <w:left w:val="single" w:color="000000" w:sz="4" w:space="0"/>
              <w:bottom w:val="single" w:color="000000" w:sz="4" w:space="0"/>
              <w:right w:val="single" w:color="000000" w:sz="4" w:space="0"/>
            </w:tcBorders>
          </w:tcPr>
          <w:p w14:paraId="4E3FEC48">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制定发布日程安排</w:t>
            </w:r>
          </w:p>
        </w:tc>
      </w:tr>
      <w:tr w14:paraId="0C9273F4">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28A71F7C">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4</w:t>
            </w:r>
          </w:p>
        </w:tc>
        <w:tc>
          <w:tcPr>
            <w:tcW w:w="8472" w:type="dxa"/>
            <w:tcBorders>
              <w:top w:val="single" w:color="000000" w:sz="4" w:space="0"/>
              <w:left w:val="single" w:color="000000" w:sz="4" w:space="0"/>
              <w:bottom w:val="single" w:color="000000" w:sz="4" w:space="0"/>
              <w:right w:val="single" w:color="000000" w:sz="4" w:space="0"/>
            </w:tcBorders>
          </w:tcPr>
          <w:p w14:paraId="2E6FA826">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制定沟通计划</w:t>
            </w:r>
          </w:p>
        </w:tc>
      </w:tr>
      <w:tr w14:paraId="1249800E">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69770951">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5</w:t>
            </w:r>
          </w:p>
        </w:tc>
        <w:tc>
          <w:tcPr>
            <w:tcW w:w="8472" w:type="dxa"/>
            <w:tcBorders>
              <w:top w:val="single" w:color="000000" w:sz="4" w:space="0"/>
              <w:left w:val="single" w:color="000000" w:sz="4" w:space="0"/>
              <w:bottom w:val="single" w:color="000000" w:sz="4" w:space="0"/>
              <w:right w:val="single" w:color="000000" w:sz="4" w:space="0"/>
            </w:tcBorders>
          </w:tcPr>
          <w:p w14:paraId="16AD52AD">
            <w:pPr>
              <w:widowControl/>
              <w:autoSpaceDE w:val="0"/>
              <w:autoSpaceDN w:val="0"/>
              <w:adjustRightInd w:val="0"/>
              <w:spacing w:line="276" w:lineRule="auto"/>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6350" cy="6350"/>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ascii="宋体" w:hAnsi="Times Roman" w:eastAsia="宋体" w:cs="宋体"/>
                <w:color w:val="000000"/>
                <w:kern w:val="0"/>
                <w:szCs w:val="21"/>
              </w:rPr>
              <w:t>现场考察以确定正在使用的硬件和软件</w:t>
            </w:r>
          </w:p>
        </w:tc>
      </w:tr>
      <w:tr w14:paraId="4F890206">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28C25E52">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6</w:t>
            </w:r>
          </w:p>
        </w:tc>
        <w:tc>
          <w:tcPr>
            <w:tcW w:w="8472" w:type="dxa"/>
            <w:tcBorders>
              <w:top w:val="single" w:color="000000" w:sz="4" w:space="0"/>
              <w:left w:val="single" w:color="000000" w:sz="4" w:space="0"/>
              <w:bottom w:val="single" w:color="000000" w:sz="4" w:space="0"/>
              <w:right w:val="single" w:color="000000" w:sz="4" w:space="0"/>
            </w:tcBorders>
          </w:tcPr>
          <w:p w14:paraId="43A94356">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就角色和职责进行协商</w:t>
            </w:r>
          </w:p>
        </w:tc>
      </w:tr>
      <w:tr w14:paraId="6A028724">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561F7A78">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7</w:t>
            </w:r>
          </w:p>
        </w:tc>
        <w:tc>
          <w:tcPr>
            <w:tcW w:w="8472" w:type="dxa"/>
            <w:tcBorders>
              <w:top w:val="single" w:color="000000" w:sz="4" w:space="0"/>
              <w:left w:val="single" w:color="000000" w:sz="4" w:space="0"/>
              <w:bottom w:val="single" w:color="000000" w:sz="4" w:space="0"/>
              <w:right w:val="single" w:color="000000" w:sz="4" w:space="0"/>
            </w:tcBorders>
          </w:tcPr>
          <w:p w14:paraId="10AA22B7">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获取详细的报价单，并与供应商就新硬件、新软件和安装服务进行谈判协商</w:t>
            </w:r>
          </w:p>
        </w:tc>
      </w:tr>
      <w:tr w14:paraId="1CE72926">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7E0766E9">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8</w:t>
            </w:r>
          </w:p>
        </w:tc>
        <w:tc>
          <w:tcPr>
            <w:tcW w:w="8472" w:type="dxa"/>
            <w:tcBorders>
              <w:top w:val="single" w:color="000000" w:sz="4" w:space="0"/>
              <w:left w:val="single" w:color="000000" w:sz="4" w:space="0"/>
              <w:bottom w:val="single" w:color="000000" w:sz="4" w:space="0"/>
              <w:right w:val="single" w:color="000000" w:sz="4" w:space="0"/>
            </w:tcBorders>
          </w:tcPr>
          <w:p w14:paraId="7D03FBFE">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制定回退计划</w:t>
            </w:r>
          </w:p>
        </w:tc>
      </w:tr>
      <w:tr w14:paraId="3147D673">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6B22639B">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9</w:t>
            </w:r>
          </w:p>
        </w:tc>
        <w:tc>
          <w:tcPr>
            <w:tcW w:w="8472" w:type="dxa"/>
            <w:tcBorders>
              <w:top w:val="single" w:color="000000" w:sz="4" w:space="0"/>
              <w:left w:val="single" w:color="000000" w:sz="4" w:space="0"/>
              <w:bottom w:val="single" w:color="000000" w:sz="4" w:space="0"/>
              <w:right w:val="single" w:color="000000" w:sz="4" w:space="0"/>
            </w:tcBorders>
          </w:tcPr>
          <w:p w14:paraId="2154121E">
            <w:pPr>
              <w:widowControl/>
              <w:autoSpaceDE w:val="0"/>
              <w:autoSpaceDN w:val="0"/>
              <w:adjustRightInd w:val="0"/>
              <w:spacing w:line="276" w:lineRule="auto"/>
              <w:rPr>
                <w:rFonts w:ascii="Times Roman" w:hAnsi="Times Roman" w:eastAsia="宋体" w:cs="Times Roman"/>
                <w:color w:val="000000"/>
                <w:kern w:val="0"/>
                <w:szCs w:val="21"/>
              </w:rPr>
            </w:pPr>
            <w:r>
              <w:rPr>
                <w:rFonts w:hint="eastAsia" w:ascii="宋体" w:hAnsi="Times Roman" w:eastAsia="宋体" w:cs="宋体"/>
                <w:color w:val="000000"/>
                <w:kern w:val="0"/>
                <w:szCs w:val="21"/>
              </w:rPr>
              <w:t>为发布制定质量计划</w:t>
            </w:r>
          </w:p>
        </w:tc>
      </w:tr>
      <w:tr w14:paraId="169BF00A">
        <w:tblPrEx>
          <w:tblCellMar>
            <w:top w:w="0" w:type="dxa"/>
            <w:left w:w="108" w:type="dxa"/>
            <w:bottom w:w="0" w:type="dxa"/>
            <w:right w:w="108" w:type="dxa"/>
          </w:tblCellMar>
        </w:tblPrEx>
        <w:trPr>
          <w:jc w:val="center"/>
        </w:trPr>
        <w:tc>
          <w:tcPr>
            <w:tcW w:w="676" w:type="dxa"/>
            <w:tcBorders>
              <w:top w:val="single" w:color="000000" w:sz="4" w:space="0"/>
              <w:left w:val="single" w:color="000000" w:sz="4" w:space="0"/>
              <w:bottom w:val="single" w:color="000000" w:sz="4" w:space="0"/>
              <w:right w:val="single" w:color="000000" w:sz="4" w:space="0"/>
            </w:tcBorders>
          </w:tcPr>
          <w:p w14:paraId="2BFAD38B">
            <w:pPr>
              <w:widowControl/>
              <w:autoSpaceDE w:val="0"/>
              <w:autoSpaceDN w:val="0"/>
              <w:adjustRightInd w:val="0"/>
              <w:spacing w:line="276" w:lineRule="auto"/>
              <w:rPr>
                <w:rFonts w:ascii="Times Roman" w:hAnsi="Times Roman" w:eastAsia="宋体" w:cs="Times Roman"/>
                <w:color w:val="000000"/>
                <w:kern w:val="0"/>
                <w:szCs w:val="21"/>
              </w:rPr>
            </w:pPr>
            <w:r>
              <w:rPr>
                <w:rFonts w:ascii="宋体" w:hAnsi="Times Roman" w:eastAsia="宋体" w:cs="宋体"/>
                <w:color w:val="000000"/>
                <w:kern w:val="0"/>
                <w:szCs w:val="21"/>
              </w:rPr>
              <w:t>10</w:t>
            </w:r>
          </w:p>
        </w:tc>
        <w:tc>
          <w:tcPr>
            <w:tcW w:w="8472" w:type="dxa"/>
            <w:tcBorders>
              <w:top w:val="single" w:color="000000" w:sz="4" w:space="0"/>
              <w:left w:val="single" w:color="000000" w:sz="4" w:space="0"/>
              <w:bottom w:val="single" w:color="000000" w:sz="4" w:space="0"/>
              <w:right w:val="single" w:color="000000" w:sz="4" w:space="0"/>
            </w:tcBorders>
          </w:tcPr>
          <w:p w14:paraId="50924633">
            <w:pPr>
              <w:widowControl/>
              <w:autoSpaceDE w:val="0"/>
              <w:autoSpaceDN w:val="0"/>
              <w:adjustRightInd w:val="0"/>
              <w:spacing w:line="276" w:lineRule="auto"/>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6350" cy="6350"/>
                  <wp:effectExtent l="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ascii="宋体" w:hAnsi="Times Roman" w:eastAsia="宋体" w:cs="宋体"/>
                <w:color w:val="000000"/>
                <w:kern w:val="0"/>
                <w:szCs w:val="21"/>
              </w:rPr>
              <w:t>由管理部门和用户共同对发布验收进行规划</w:t>
            </w:r>
          </w:p>
        </w:tc>
      </w:tr>
    </w:tbl>
    <w:p w14:paraId="77547D7B">
      <w:pPr>
        <w:numPr>
          <w:ilvl w:val="0"/>
          <w:numId w:val="130"/>
        </w:numPr>
        <w:spacing w:line="360" w:lineRule="auto"/>
        <w:rPr>
          <w:rFonts w:hint="eastAsia" w:ascii="宋体" w:hAnsi="宋体" w:eastAsia="宋体" w:cs="Times New Roman"/>
          <w:szCs w:val="21"/>
        </w:rPr>
      </w:pPr>
      <w:r>
        <w:rPr>
          <w:rFonts w:hint="eastAsia" w:ascii="宋体" w:hAnsi="宋体" w:eastAsia="宋体" w:cs="Times New Roman"/>
          <w:szCs w:val="21"/>
        </w:rPr>
        <w:t>发布规则和输入输出</w:t>
      </w:r>
    </w:p>
    <w:tbl>
      <w:tblPr>
        <w:tblStyle w:val="40"/>
        <w:tblW w:w="9257" w:type="dxa"/>
        <w:jc w:val="center"/>
        <w:tblLayout w:type="fixed"/>
        <w:tblCellMar>
          <w:top w:w="0" w:type="dxa"/>
          <w:left w:w="108" w:type="dxa"/>
          <w:bottom w:w="0" w:type="dxa"/>
          <w:right w:w="108" w:type="dxa"/>
        </w:tblCellMar>
      </w:tblPr>
      <w:tblGrid>
        <w:gridCol w:w="1339"/>
        <w:gridCol w:w="3520"/>
        <w:gridCol w:w="4398"/>
      </w:tblGrid>
      <w:tr w14:paraId="0B51522D">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5ECD51">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标号</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F7A385">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信息输入</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491257">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信息输出</w:t>
            </w:r>
          </w:p>
        </w:tc>
      </w:tr>
      <w:tr w14:paraId="4B654C74">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CA2F29">
            <w:pPr>
              <w:widowControl/>
              <w:autoSpaceDE w:val="0"/>
              <w:autoSpaceDN w:val="0"/>
              <w:adjustRightInd w:val="0"/>
              <w:spacing w:line="276" w:lineRule="auto"/>
              <w:rPr>
                <w:rFonts w:ascii="宋体" w:hAnsi="Times Roman" w:eastAsia="宋体" w:cs="宋体"/>
                <w:color w:val="000000"/>
                <w:kern w:val="0"/>
                <w:szCs w:val="21"/>
              </w:rPr>
            </w:pPr>
            <w:r>
              <w:rPr>
                <w:rFonts w:ascii="宋体" w:hAnsi="Times Roman" w:eastAsia="宋体" w:cs="宋体"/>
                <w:color w:val="000000"/>
                <w:kern w:val="0"/>
                <w:szCs w:val="21"/>
              </w:rPr>
              <w:t>1</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80152E">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项目生命周期</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B96506">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针对每个特定发布的计划</w:t>
            </w:r>
          </w:p>
        </w:tc>
      </w:tr>
      <w:tr w14:paraId="77240AB5">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32DD9A">
            <w:pPr>
              <w:widowControl/>
              <w:autoSpaceDE w:val="0"/>
              <w:autoSpaceDN w:val="0"/>
              <w:adjustRightInd w:val="0"/>
              <w:spacing w:line="276" w:lineRule="auto"/>
              <w:rPr>
                <w:rFonts w:ascii="宋体" w:hAnsi="Times Roman" w:eastAsia="宋体" w:cs="宋体"/>
                <w:color w:val="000000"/>
                <w:kern w:val="0"/>
                <w:szCs w:val="21"/>
              </w:rPr>
            </w:pPr>
            <w:r>
              <w:rPr>
                <w:rFonts w:ascii="宋体" w:hAnsi="Times Roman" w:eastAsia="宋体" w:cs="宋体"/>
                <w:color w:val="000000"/>
                <w:kern w:val="0"/>
                <w:szCs w:val="21"/>
              </w:rPr>
              <w:t>2</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6C2028">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已经批准的法布计划文件</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1A75C0">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高级测试计划</w:t>
            </w:r>
          </w:p>
        </w:tc>
      </w:tr>
      <w:tr w14:paraId="4166D703">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BBB84A">
            <w:pPr>
              <w:widowControl/>
              <w:autoSpaceDE w:val="0"/>
              <w:autoSpaceDN w:val="0"/>
              <w:adjustRightInd w:val="0"/>
              <w:spacing w:line="276" w:lineRule="auto"/>
              <w:rPr>
                <w:rFonts w:ascii="宋体" w:hAnsi="Times Roman" w:eastAsia="宋体" w:cs="宋体"/>
                <w:color w:val="000000"/>
                <w:kern w:val="0"/>
                <w:szCs w:val="21"/>
              </w:rPr>
            </w:pPr>
            <w:r>
              <w:rPr>
                <w:rFonts w:ascii="宋体" w:hAnsi="Times Roman" w:eastAsia="宋体" w:cs="宋体"/>
                <w:color w:val="000000"/>
                <w:kern w:val="0"/>
                <w:szCs w:val="21"/>
              </w:rPr>
              <w:t>3</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99D683">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发布策略</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C71B16">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发布的验收标准</w:t>
            </w:r>
          </w:p>
        </w:tc>
      </w:tr>
      <w:tr w14:paraId="20F50EBC">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535486">
            <w:pPr>
              <w:widowControl/>
              <w:autoSpaceDE w:val="0"/>
              <w:autoSpaceDN w:val="0"/>
              <w:adjustRightInd w:val="0"/>
              <w:spacing w:line="276" w:lineRule="auto"/>
              <w:rPr>
                <w:rFonts w:ascii="宋体" w:hAnsi="Times Roman" w:eastAsia="宋体" w:cs="宋体"/>
                <w:color w:val="000000"/>
                <w:kern w:val="0"/>
                <w:szCs w:val="21"/>
              </w:rPr>
            </w:pPr>
            <w:r>
              <w:rPr>
                <w:rFonts w:ascii="宋体" w:hAnsi="Times Roman" w:eastAsia="宋体" w:cs="宋体"/>
                <w:color w:val="000000"/>
                <w:kern w:val="0"/>
                <w:szCs w:val="21"/>
              </w:rPr>
              <w:t>4</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DE68A2">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业务需求概要</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60BB0F">
            <w:pPr>
              <w:widowControl/>
              <w:autoSpaceDE w:val="0"/>
              <w:autoSpaceDN w:val="0"/>
              <w:adjustRightInd w:val="0"/>
              <w:spacing w:line="276" w:lineRule="auto"/>
              <w:rPr>
                <w:rFonts w:ascii="宋体" w:hAnsi="Times Roman" w:eastAsia="宋体" w:cs="宋体"/>
                <w:color w:val="000000"/>
                <w:kern w:val="0"/>
                <w:szCs w:val="21"/>
              </w:rPr>
            </w:pPr>
          </w:p>
        </w:tc>
      </w:tr>
      <w:tr w14:paraId="770112B7">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43056E">
            <w:pPr>
              <w:widowControl/>
              <w:autoSpaceDE w:val="0"/>
              <w:autoSpaceDN w:val="0"/>
              <w:adjustRightInd w:val="0"/>
              <w:spacing w:line="276" w:lineRule="auto"/>
              <w:rPr>
                <w:rFonts w:ascii="宋体" w:hAnsi="Times Roman" w:eastAsia="宋体" w:cs="宋体"/>
                <w:color w:val="000000"/>
                <w:kern w:val="0"/>
                <w:szCs w:val="21"/>
              </w:rPr>
            </w:pPr>
            <w:r>
              <w:rPr>
                <w:rFonts w:ascii="宋体" w:hAnsi="Times Roman" w:eastAsia="宋体" w:cs="宋体"/>
                <w:color w:val="000000"/>
                <w:kern w:val="0"/>
                <w:szCs w:val="21"/>
              </w:rPr>
              <w:t>5</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344392">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约束和先决条件</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11268F">
            <w:pPr>
              <w:widowControl/>
              <w:autoSpaceDE w:val="0"/>
              <w:autoSpaceDN w:val="0"/>
              <w:adjustRightInd w:val="0"/>
              <w:spacing w:line="276" w:lineRule="auto"/>
              <w:rPr>
                <w:rFonts w:ascii="宋体" w:hAnsi="Times Roman" w:eastAsia="宋体" w:cs="宋体"/>
                <w:color w:val="000000"/>
                <w:kern w:val="0"/>
                <w:szCs w:val="21"/>
              </w:rPr>
            </w:pPr>
          </w:p>
        </w:tc>
      </w:tr>
      <w:tr w14:paraId="24C22A3F">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37DD5A">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6</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33D509">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审批结论</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80802D">
            <w:pPr>
              <w:widowControl/>
              <w:autoSpaceDE w:val="0"/>
              <w:autoSpaceDN w:val="0"/>
              <w:adjustRightInd w:val="0"/>
              <w:spacing w:line="276" w:lineRule="auto"/>
              <w:rPr>
                <w:rFonts w:ascii="宋体" w:hAnsi="Times Roman" w:eastAsia="宋体" w:cs="宋体"/>
                <w:color w:val="000000"/>
                <w:kern w:val="0"/>
                <w:szCs w:val="21"/>
              </w:rPr>
            </w:pPr>
          </w:p>
        </w:tc>
      </w:tr>
      <w:tr w14:paraId="15F01DD1">
        <w:tblPrEx>
          <w:tblCellMar>
            <w:top w:w="0" w:type="dxa"/>
            <w:left w:w="108" w:type="dxa"/>
            <w:bottom w:w="0" w:type="dxa"/>
            <w:right w:w="108" w:type="dxa"/>
          </w:tblCellMar>
        </w:tblPrEx>
        <w:trPr>
          <w:jc w:val="center"/>
        </w:trPr>
        <w:tc>
          <w:tcPr>
            <w:tcW w:w="133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DB7BF1">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7</w:t>
            </w:r>
          </w:p>
        </w:tc>
        <w:tc>
          <w:tcPr>
            <w:tcW w:w="35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2EAA36">
            <w:pPr>
              <w:widowControl/>
              <w:autoSpaceDE w:val="0"/>
              <w:autoSpaceDN w:val="0"/>
              <w:adjustRightInd w:val="0"/>
              <w:spacing w:line="276" w:lineRule="auto"/>
              <w:rPr>
                <w:rFonts w:ascii="宋体" w:hAnsi="Times Roman" w:eastAsia="宋体" w:cs="宋体"/>
                <w:color w:val="000000"/>
                <w:kern w:val="0"/>
                <w:szCs w:val="21"/>
              </w:rPr>
            </w:pPr>
            <w:r>
              <w:rPr>
                <w:rFonts w:hint="eastAsia" w:ascii="宋体" w:hAnsi="Times Roman" w:eastAsia="宋体" w:cs="宋体"/>
                <w:color w:val="000000"/>
                <w:kern w:val="0"/>
                <w:szCs w:val="21"/>
              </w:rPr>
              <w:t>相关模板</w:t>
            </w:r>
          </w:p>
        </w:tc>
        <w:tc>
          <w:tcPr>
            <w:tcW w:w="43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44B567">
            <w:pPr>
              <w:widowControl/>
              <w:autoSpaceDE w:val="0"/>
              <w:autoSpaceDN w:val="0"/>
              <w:adjustRightInd w:val="0"/>
              <w:spacing w:line="276" w:lineRule="auto"/>
              <w:rPr>
                <w:rFonts w:ascii="宋体" w:hAnsi="Times Roman" w:eastAsia="宋体" w:cs="宋体"/>
                <w:color w:val="000000"/>
                <w:kern w:val="0"/>
                <w:szCs w:val="21"/>
              </w:rPr>
            </w:pPr>
          </w:p>
        </w:tc>
      </w:tr>
    </w:tbl>
    <w:p w14:paraId="37B495E5">
      <w:pPr>
        <w:spacing w:line="360" w:lineRule="auto"/>
        <w:rPr>
          <w:rFonts w:hint="eastAsia" w:ascii="宋体" w:hAnsi="宋体" w:eastAsia="宋体" w:cs="Times New Roman"/>
          <w:szCs w:val="21"/>
        </w:rPr>
      </w:pPr>
    </w:p>
    <w:p w14:paraId="25E74A29">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18.2.3.7持续性管理</w:t>
      </w:r>
    </w:p>
    <w:p w14:paraId="3514C3D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持续性管理的目的是防止业务活动的中断，保护关键业务流程不会受信息系统重大失效或自然灾害的影响，并确保他们的及时恢复。</w:t>
      </w:r>
    </w:p>
    <w:p w14:paraId="78A8CFE3">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风险评估</w:t>
      </w:r>
    </w:p>
    <w:p w14:paraId="7F3C22A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确定需要着重保护的关键业务。优先对关键业务进行风险评估。</w:t>
      </w:r>
    </w:p>
    <w:p w14:paraId="410B911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支撑以上几项服务的关键资源主要包括以下几个方面</w:t>
      </w:r>
      <w:r>
        <w:rPr>
          <w:rFonts w:ascii="宋体" w:hAnsi="宋体" w:eastAsia="宋体" w:cs="Times New Roman"/>
          <w:szCs w:val="21"/>
        </w:rPr>
        <w:t>:</w:t>
      </w:r>
    </w:p>
    <w:p w14:paraId="73C98FB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1.数据中心</w:t>
      </w:r>
      <w:r>
        <w:rPr>
          <w:rFonts w:ascii="宋体" w:hAnsi="宋体" w:eastAsia="宋体" w:cs="Times New Roman"/>
          <w:szCs w:val="21"/>
        </w:rPr>
        <w:t>/</w:t>
      </w:r>
      <w:r>
        <w:rPr>
          <w:rFonts w:hint="eastAsia" w:ascii="宋体" w:hAnsi="宋体" w:eastAsia="宋体" w:cs="Times New Roman"/>
          <w:szCs w:val="21"/>
        </w:rPr>
        <w:t>机房环境</w:t>
      </w:r>
      <w:r>
        <w:rPr>
          <w:rFonts w:ascii="宋体" w:hAnsi="宋体" w:eastAsia="宋体" w:cs="Times New Roman"/>
          <w:szCs w:val="21"/>
        </w:rPr>
        <w:t>:</w:t>
      </w:r>
      <w:r>
        <w:rPr>
          <w:rFonts w:hint="eastAsia" w:ascii="宋体" w:hAnsi="宋体" w:eastAsia="宋体" w:cs="Times New Roman"/>
          <w:szCs w:val="21"/>
        </w:rPr>
        <w:t>主机、存储</w:t>
      </w:r>
      <w:r>
        <w:rPr>
          <w:rFonts w:ascii="宋体" w:hAnsi="宋体" w:eastAsia="宋体" w:cs="Times New Roman"/>
          <w:szCs w:val="21"/>
        </w:rPr>
        <w:t>/UPS</w:t>
      </w:r>
      <w:r>
        <w:rPr>
          <w:rFonts w:hint="eastAsia" w:ascii="宋体" w:hAnsi="宋体" w:eastAsia="宋体" w:cs="Times New Roman"/>
          <w:szCs w:val="21"/>
        </w:rPr>
        <w:t>、空调、消防设施等。</w:t>
      </w:r>
    </w:p>
    <w:p w14:paraId="169A7AE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2.网络安全设备</w:t>
      </w:r>
      <w:r>
        <w:rPr>
          <w:rFonts w:ascii="宋体" w:hAnsi="宋体" w:eastAsia="宋体" w:cs="Times New Roman"/>
          <w:szCs w:val="21"/>
        </w:rPr>
        <w:t>:</w:t>
      </w:r>
      <w:r>
        <w:rPr>
          <w:rFonts w:hint="eastAsia" w:ascii="宋体" w:hAnsi="宋体" w:eastAsia="宋体" w:cs="Times New Roman"/>
          <w:szCs w:val="21"/>
        </w:rPr>
        <w:t>路由器、交换机、防火墙等。</w:t>
      </w:r>
    </w:p>
    <w:p w14:paraId="3F6AB93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3.核心管理</w:t>
      </w:r>
      <w:r>
        <w:rPr>
          <w:rFonts w:ascii="宋体" w:hAnsi="宋体" w:eastAsia="宋体" w:cs="Times New Roman"/>
          <w:szCs w:val="21"/>
        </w:rPr>
        <w:t>/</w:t>
      </w:r>
      <w:r>
        <w:rPr>
          <w:rFonts w:hint="eastAsia" w:ascii="宋体" w:hAnsi="宋体" w:eastAsia="宋体" w:cs="Times New Roman"/>
          <w:szCs w:val="21"/>
        </w:rPr>
        <w:t>技术人员</w:t>
      </w:r>
      <w:r>
        <w:rPr>
          <w:rFonts w:ascii="宋体" w:hAnsi="宋体" w:eastAsia="宋体" w:cs="Times New Roman"/>
          <w:szCs w:val="21"/>
        </w:rPr>
        <w:t>:</w:t>
      </w:r>
      <w:r>
        <w:rPr>
          <w:rFonts w:hint="eastAsia" w:ascii="宋体" w:hAnsi="宋体" w:eastAsia="宋体" w:cs="Times New Roman"/>
          <w:szCs w:val="21"/>
        </w:rPr>
        <w:t>各基础架构管理员、应用管理员等。</w:t>
      </w:r>
    </w:p>
    <w:p w14:paraId="7C50CBD2">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潜在的威胁事件</w:t>
      </w:r>
    </w:p>
    <w:p w14:paraId="42A82AC1">
      <w:pPr>
        <w:spacing w:line="360" w:lineRule="auto"/>
        <w:ind w:left="480"/>
        <w:rPr>
          <w:rFonts w:hint="eastAsia" w:ascii="宋体" w:hAnsi="宋体" w:eastAsia="宋体" w:cs="Times New Roman"/>
          <w:szCs w:val="21"/>
        </w:rPr>
      </w:pPr>
      <w:r>
        <w:rPr>
          <w:rFonts w:hint="eastAsia" w:ascii="宋体" w:hAnsi="宋体" w:eastAsia="宋体" w:cs="Times New Roman"/>
          <w:szCs w:val="21"/>
        </w:rPr>
        <w:t>影响以上几项服务的威胁事件主要包括以下几个方面:</w:t>
      </w:r>
    </w:p>
    <w:p w14:paraId="487D048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影响环境的事件:如地震、火灾、停电、环境设备故障等。</w:t>
      </w:r>
    </w:p>
    <w:p w14:paraId="7F22B34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影响应用的事件:如网络攻击、病毒、服务器设备故障、存储、操作系统、数据库、业务系统、应用软件故障等。</w:t>
      </w:r>
    </w:p>
    <w:p w14:paraId="7143E87B">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制定业务连续性计划</w:t>
      </w:r>
    </w:p>
    <w:p w14:paraId="553A9A1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针对以上几项关键服务，整理制定业务连续计划。即遇到故障后，如何快速回复业务可以放在各应用操作手册中。</w:t>
      </w:r>
    </w:p>
    <w:p w14:paraId="443725DF">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测试和修订计划</w:t>
      </w:r>
    </w:p>
    <w:p w14:paraId="12B4C5F7">
      <w:pPr>
        <w:spacing w:line="360" w:lineRule="auto"/>
        <w:ind w:firstLine="420" w:firstLineChars="200"/>
        <w:rPr>
          <w:rFonts w:ascii="宋体" w:hAnsi="Times Roman" w:eastAsia="宋体" w:cs="宋体"/>
          <w:color w:val="000000"/>
          <w:kern w:val="0"/>
          <w:szCs w:val="21"/>
        </w:rPr>
      </w:pPr>
      <w:r>
        <w:rPr>
          <w:rFonts w:hint="eastAsia" w:ascii="宋体" w:hAnsi="宋体" w:eastAsia="宋体" w:cs="Times New Roman"/>
          <w:szCs w:val="21"/>
        </w:rPr>
        <w:t>测试的目的是为了确保制定的业务连续性计划能够满足企业业务恢复的要求。需要对业务连续性计划做定期测试，因为环境总是在持续变化，每一次测试都能带来一些改进。</w:t>
      </w:r>
    </w:p>
    <w:p w14:paraId="3C1B4210">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18.2.3.8可用性管理</w:t>
      </w:r>
    </w:p>
    <w:p w14:paraId="7CC23587">
      <w:pPr>
        <w:widowControl/>
        <w:autoSpaceDE w:val="0"/>
        <w:autoSpaceDN w:val="0"/>
        <w:adjustRightInd w:val="0"/>
        <w:spacing w:line="280" w:lineRule="atLeast"/>
        <w:jc w:val="left"/>
        <w:rPr>
          <w:rFonts w:ascii="Times Roman" w:hAnsi="Times Roman" w:cs="Times Roman"/>
          <w:color w:val="000000"/>
          <w:kern w:val="0"/>
          <w:sz w:val="24"/>
          <w:szCs w:val="24"/>
        </w:rPr>
      </w:pPr>
      <w:r>
        <w:rPr>
          <w:rFonts w:ascii="Times Roman" w:hAnsi="Times Roman" w:cs="Times Roman"/>
          <w:color w:val="000000"/>
          <w:kern w:val="0"/>
          <w:sz w:val="24"/>
          <w:szCs w:val="24"/>
        </w:rPr>
        <w:drawing>
          <wp:inline distT="0" distB="0" distL="0" distR="0">
            <wp:extent cx="5278755" cy="3151505"/>
            <wp:effectExtent l="0" t="0" r="4445"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5278755" cy="3151505"/>
                    </a:xfrm>
                    <a:prstGeom prst="rect">
                      <a:avLst/>
                    </a:prstGeom>
                    <a:noFill/>
                    <a:ln>
                      <a:noFill/>
                    </a:ln>
                  </pic:spPr>
                </pic:pic>
              </a:graphicData>
            </a:graphic>
          </wp:inline>
        </w:drawing>
      </w:r>
    </w:p>
    <w:p w14:paraId="418C747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可用性管理的目标是要提供符合预定可用性级别且成本合理的</w:t>
      </w:r>
      <w:r>
        <w:rPr>
          <w:rFonts w:ascii="宋体" w:hAnsi="宋体" w:eastAsia="宋体" w:cs="Times New Roman"/>
          <w:szCs w:val="21"/>
        </w:rPr>
        <w:t>IT</w:t>
      </w:r>
      <w:r>
        <w:rPr>
          <w:rFonts w:hint="eastAsia" w:ascii="宋体" w:hAnsi="宋体" w:eastAsia="宋体" w:cs="Times New Roman"/>
          <w:szCs w:val="21"/>
        </w:rPr>
        <w:t>服务，以帮助用户实现其业务目标。</w:t>
      </w:r>
    </w:p>
    <w:p w14:paraId="445C5C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可用性管理既要确保对服务质量构成影响的事件不会发生，又要确保在意外事件发生的情况下采取及时有效的补救措施。</w:t>
      </w:r>
    </w:p>
    <w:p w14:paraId="2645789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由于可用性管理和服务连续性管理均试图消除</w:t>
      </w:r>
      <w:r>
        <w:rPr>
          <w:rFonts w:ascii="宋体" w:hAnsi="宋体" w:eastAsia="宋体" w:cs="Times New Roman"/>
          <w:szCs w:val="21"/>
        </w:rPr>
        <w:t>IT</w:t>
      </w:r>
      <w:r>
        <w:rPr>
          <w:rFonts w:hint="eastAsia" w:ascii="宋体" w:hAnsi="宋体" w:eastAsia="宋体" w:cs="Times New Roman"/>
          <w:szCs w:val="21"/>
        </w:rPr>
        <w:t>服务所面临的风险，因此，两种流程在具有密切相关性。可用性管理首先集中应对每天均可能出现的常见风险。而罕见、重大或意外风险则由服务连续性管理加以应对。</w:t>
      </w:r>
    </w:p>
    <w:p w14:paraId="522FB5A2">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18.2.3.9容量管理</w:t>
      </w:r>
    </w:p>
    <w:p w14:paraId="0B57E8F6">
      <w:pPr>
        <w:widowControl/>
        <w:autoSpaceDE w:val="0"/>
        <w:autoSpaceDN w:val="0"/>
        <w:adjustRightInd w:val="0"/>
        <w:spacing w:line="280" w:lineRule="atLeast"/>
        <w:jc w:val="left"/>
        <w:rPr>
          <w:rFonts w:ascii="Times Roman" w:hAnsi="Times Roman" w:cs="Times Roman"/>
          <w:color w:val="000000"/>
          <w:kern w:val="0"/>
          <w:sz w:val="24"/>
          <w:szCs w:val="24"/>
        </w:rPr>
      </w:pPr>
      <w:r>
        <w:rPr>
          <w:rFonts w:ascii="Times Roman" w:hAnsi="Times Roman" w:cs="Times Roman"/>
          <w:color w:val="000000"/>
          <w:kern w:val="0"/>
          <w:sz w:val="24"/>
          <w:szCs w:val="24"/>
        </w:rPr>
        <w:drawing>
          <wp:inline distT="0" distB="0" distL="0" distR="0">
            <wp:extent cx="5272405" cy="4241165"/>
            <wp:effectExtent l="0" t="0" r="10795" b="635"/>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5272405" cy="4241165"/>
                    </a:xfrm>
                    <a:prstGeom prst="rect">
                      <a:avLst/>
                    </a:prstGeom>
                    <a:noFill/>
                    <a:ln>
                      <a:noFill/>
                    </a:ln>
                  </pic:spPr>
                </pic:pic>
              </a:graphicData>
            </a:graphic>
          </wp:inline>
        </w:drawing>
      </w:r>
    </w:p>
    <w:p w14:paraId="4690E86E"/>
    <w:p w14:paraId="40318D3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容量管理包括三个子流程</w:t>
      </w:r>
      <w:r>
        <w:rPr>
          <w:rFonts w:ascii="宋体" w:hAnsi="宋体" w:eastAsia="宋体" w:cs="Times New Roman"/>
          <w:szCs w:val="21"/>
        </w:rPr>
        <w:t>:</w:t>
      </w:r>
    </w:p>
    <w:p w14:paraId="48044FBA">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业务容量管理——该子流程的目标是了解当前及未来的业务需求。这可以通过从客户获得有关信息，如战略计划、营销计划，或通过实施趋势分析来确定。该子流程主要是一个主动性的流程。</w:t>
      </w:r>
    </w:p>
    <w:p w14:paraId="687361FE">
      <w:pPr>
        <w:numPr>
          <w:ilvl w:val="0"/>
          <w:numId w:val="122"/>
        </w:numPr>
        <w:spacing w:line="360" w:lineRule="auto"/>
        <w:rPr>
          <w:rFonts w:hint="eastAsia" w:ascii="宋体" w:hAnsi="宋体" w:eastAsia="宋体" w:cs="Times New Roman"/>
          <w:szCs w:val="21"/>
        </w:rPr>
      </w:pPr>
      <w:r>
        <w:rPr>
          <w:rFonts w:hint="eastAsia" w:ascii="宋体" w:hAnsi="宋体" w:eastAsia="宋体" w:cs="Times New Roman"/>
          <w:szCs w:val="21"/>
        </w:rPr>
        <w:t>服务能力计划——该子流程的目标是确定和了解IT服务(提供给客户的产品或服务)的使用情况。需要充分了解服务运作的绩效和高峰时期的负载量。</w:t>
      </w:r>
    </w:p>
    <w:p w14:paraId="2D833BCB">
      <w:pPr>
        <w:numPr>
          <w:ilvl w:val="0"/>
          <w:numId w:val="122"/>
        </w:numPr>
        <w:spacing w:line="360" w:lineRule="auto"/>
        <w:rPr>
          <w:rFonts w:hint="eastAsia" w:ascii="宋体" w:hAnsi="宋体" w:eastAsia="宋体" w:cs="Times New Roman"/>
          <w:sz w:val="24"/>
          <w:szCs w:val="24"/>
        </w:rPr>
      </w:pPr>
      <w:r>
        <w:rPr>
          <w:rFonts w:hint="eastAsia" w:ascii="宋体" w:hAnsi="宋体" w:eastAsia="宋体" w:cs="Times New Roman"/>
          <w:szCs w:val="21"/>
        </w:rPr>
        <w:t>资源容量管理——该子流程的目标是确定和了解IT基础设施及其组件的利用情况。典型的资源包括网络带宽、处理能力以及磁盘容量等。为了有效地管理这些资源，需要提早发现潜在的问题。组织也需要了解技术的最新发展。密切地监控IT基础设施运作的趋势也是该子流程的一项重要的活动。</w:t>
      </w:r>
    </w:p>
    <w:p w14:paraId="1E99B184">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18.2.3.10服务级别管理</w:t>
      </w:r>
    </w:p>
    <w:p w14:paraId="093BD57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1、服务级别管理流程</w:t>
      </w:r>
    </w:p>
    <w:p w14:paraId="57791F21">
      <w:pPr>
        <w:widowControl/>
        <w:autoSpaceDE w:val="0"/>
        <w:autoSpaceDN w:val="0"/>
        <w:adjustRightInd w:val="0"/>
        <w:spacing w:line="280" w:lineRule="atLeast"/>
        <w:jc w:val="left"/>
        <w:rPr>
          <w:rFonts w:ascii="Times Roman" w:hAnsi="Times Roman" w:cs="Times Roman"/>
          <w:color w:val="000000"/>
          <w:kern w:val="0"/>
          <w:sz w:val="24"/>
          <w:szCs w:val="24"/>
        </w:rPr>
      </w:pPr>
      <w:r>
        <w:rPr>
          <w:rFonts w:ascii="Times Roman" w:hAnsi="Times Roman" w:cs="Times Roman"/>
          <w:color w:val="000000"/>
          <w:kern w:val="0"/>
          <w:sz w:val="24"/>
          <w:szCs w:val="24"/>
        </w:rPr>
        <w:drawing>
          <wp:anchor distT="0" distB="0" distL="114300" distR="114300" simplePos="0" relativeHeight="251664384" behindDoc="0" locked="0" layoutInCell="1" allowOverlap="1">
            <wp:simplePos x="0" y="0"/>
            <wp:positionH relativeFrom="column">
              <wp:align>center</wp:align>
            </wp:positionH>
            <wp:positionV relativeFrom="paragraph">
              <wp:posOffset>69215</wp:posOffset>
            </wp:positionV>
            <wp:extent cx="5045710" cy="3417570"/>
            <wp:effectExtent l="0" t="0" r="8890" b="11430"/>
            <wp:wrapTopAndBottom/>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5045710" cy="3417570"/>
                    </a:xfrm>
                    <a:prstGeom prst="rect">
                      <a:avLst/>
                    </a:prstGeom>
                    <a:noFill/>
                    <a:ln>
                      <a:noFill/>
                    </a:ln>
                  </pic:spPr>
                </pic:pic>
              </a:graphicData>
            </a:graphic>
          </wp:anchor>
        </w:drawing>
      </w:r>
    </w:p>
    <w:p w14:paraId="5CAC1A37">
      <w:pPr>
        <w:spacing w:line="360" w:lineRule="auto"/>
        <w:ind w:firstLine="420" w:firstLineChars="200"/>
        <w:rPr>
          <w:rFonts w:ascii="Times New Roman" w:hAnsi="Times New Roman" w:eastAsia="宋体" w:cs="Times New Roman"/>
          <w:szCs w:val="21"/>
        </w:rPr>
      </w:pPr>
      <w:r>
        <w:rPr>
          <w:rFonts w:hint="eastAsia" w:ascii="宋体" w:hAnsi="宋体" w:eastAsia="宋体" w:cs="Times New Roman"/>
          <w:szCs w:val="21"/>
        </w:rPr>
        <w:t>在服务级别需求的基础上，服务商和客户讨论、协商，确定最终的服务级别协议。在协议规定的服务期内，作为评价和调整有关</w:t>
      </w:r>
      <w:r>
        <w:rPr>
          <w:rFonts w:ascii="宋体" w:hAnsi="宋体" w:eastAsia="宋体" w:cs="Times New Roman"/>
          <w:szCs w:val="21"/>
        </w:rPr>
        <w:t>IT</w:t>
      </w:r>
      <w:r>
        <w:rPr>
          <w:rFonts w:hint="eastAsia" w:ascii="宋体" w:hAnsi="宋体" w:eastAsia="宋体" w:cs="Times New Roman"/>
          <w:szCs w:val="21"/>
        </w:rPr>
        <w:t>服务的一个标准。</w:t>
      </w:r>
    </w:p>
    <w:p w14:paraId="5176990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2、操作手册和操作级别协议</w:t>
      </w:r>
    </w:p>
    <w:p w14:paraId="4DD994B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各岗位需要有相关操作手册。操作手册包含从应用到底层架构的日常维护操作，主机、系统、数据库、业务系统、应用启动和迁移方法，常见问题和故障解决方法。</w:t>
      </w:r>
    </w:p>
    <w:p w14:paraId="2F2AC49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同时明确操作级别协议，比如日常运维监控频率，监控对象，监控方法等。</w:t>
      </w:r>
    </w:p>
    <w:p w14:paraId="16C395DE">
      <w:pPr>
        <w:pStyle w:val="6"/>
        <w:spacing w:before="260" w:after="260" w:line="416" w:lineRule="auto"/>
        <w:jc w:val="both"/>
        <w:rPr>
          <w:rFonts w:hint="eastAsia" w:ascii="宋体" w:hAnsi="宋体" w:cstheme="majorBidi"/>
          <w:szCs w:val="24"/>
        </w:rPr>
      </w:pPr>
      <w:bookmarkStart w:id="356" w:name="_Toc180265728"/>
      <w:r>
        <w:rPr>
          <w:rFonts w:ascii="宋体" w:hAnsi="宋体" w:cstheme="majorBidi"/>
          <w:szCs w:val="24"/>
        </w:rPr>
        <w:t>信息安全管理</w:t>
      </w:r>
      <w:bookmarkEnd w:id="356"/>
    </w:p>
    <w:p w14:paraId="6859190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中招联合能力建设遵循</w:t>
      </w:r>
      <w:r>
        <w:rPr>
          <w:rFonts w:ascii="宋体" w:hAnsi="宋体" w:eastAsia="宋体" w:cs="Times New Roman"/>
          <w:szCs w:val="21"/>
        </w:rPr>
        <w:t>GB/T28827</w:t>
      </w:r>
      <w:r>
        <w:rPr>
          <w:rFonts w:hint="eastAsia" w:ascii="宋体" w:hAnsi="宋体" w:eastAsia="宋体" w:cs="Times New Roman"/>
          <w:szCs w:val="21"/>
        </w:rPr>
        <w:t>系列标准</w:t>
      </w:r>
      <w:r>
        <w:rPr>
          <w:rFonts w:ascii="宋体" w:hAnsi="宋体" w:eastAsia="宋体" w:cs="Times New Roman"/>
          <w:szCs w:val="21"/>
        </w:rPr>
        <w:t>;</w:t>
      </w:r>
      <w:r>
        <w:rPr>
          <w:rFonts w:hint="eastAsia" w:ascii="宋体" w:hAnsi="宋体" w:eastAsia="宋体" w:cs="Times New Roman"/>
          <w:szCs w:val="21"/>
        </w:rPr>
        <w:t>提供的运维支持人员受到过信息安全知识和风险管理相关培训</w:t>
      </w:r>
      <w:r>
        <w:rPr>
          <w:rFonts w:ascii="宋体" w:hAnsi="宋体" w:eastAsia="宋体" w:cs="Times New Roman"/>
          <w:szCs w:val="21"/>
        </w:rPr>
        <w:t>;</w:t>
      </w:r>
      <w:r>
        <w:rPr>
          <w:rFonts w:hint="eastAsia" w:ascii="宋体" w:hAnsi="宋体" w:eastAsia="宋体" w:cs="Times New Roman"/>
          <w:szCs w:val="21"/>
        </w:rPr>
        <w:t>自愿接受甲方或其委托第三方的服务能力评估和风险评估。</w:t>
      </w:r>
    </w:p>
    <w:p w14:paraId="3D22D2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中招联合会严格遵照合同约定及要求，履行信息安全相关的责任和义务。</w:t>
      </w:r>
    </w:p>
    <w:p w14:paraId="7BEF7D1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中招联合会对公司相关人员进行信息安全培训，并配合组织开展的信息安全培训，确保信息安全管控措施在驻场服务过程中有效落实。</w:t>
      </w:r>
    </w:p>
    <w:p w14:paraId="2D9F690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中招联合驻场人员入场时会根据甲方要求签订保密承诺书。</w:t>
      </w:r>
    </w:p>
    <w:p w14:paraId="578CDA8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对于驻场人员需要访问或使用的信息资产，中招联合会根据甲方相关管理要求进行申请、使用、回收，按“必须知道”和“最小授权”原则进行访问授权。</w:t>
      </w:r>
    </w:p>
    <w:p w14:paraId="51A8549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中招联合驻场人员原则上不会使用甲方网络资源访问互联网。确因工作需要使用络资源访问互联网的，会向所属处申请，由处负责人审批同意后方可访问。如有未经审批访问互联网的或上网从事与工作无关活动的</w:t>
      </w:r>
      <w:r>
        <w:rPr>
          <w:rFonts w:ascii="宋体" w:hAnsi="宋体" w:eastAsia="宋体" w:cs="Times New Roman"/>
          <w:szCs w:val="21"/>
        </w:rPr>
        <w:t>(</w:t>
      </w:r>
      <w:r>
        <w:rPr>
          <w:rFonts w:hint="eastAsia" w:ascii="宋体" w:hAnsi="宋体" w:eastAsia="宋体" w:cs="Times New Roman"/>
          <w:szCs w:val="21"/>
        </w:rPr>
        <w:t>如发布不良言论等</w:t>
      </w:r>
      <w:r>
        <w:rPr>
          <w:rFonts w:ascii="宋体" w:hAnsi="宋体" w:eastAsia="宋体" w:cs="Times New Roman"/>
          <w:szCs w:val="21"/>
        </w:rPr>
        <w:t>)</w:t>
      </w:r>
      <w:r>
        <w:rPr>
          <w:rFonts w:hint="eastAsia" w:ascii="宋体" w:hAnsi="宋体" w:eastAsia="宋体" w:cs="Times New Roman"/>
          <w:szCs w:val="21"/>
        </w:rPr>
        <w:t>，会追究相关责任。</w:t>
      </w:r>
    </w:p>
    <w:p w14:paraId="41C2261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中招联合非驻场项目人员如需与驻场人员或甲方交互项目相关材料，会经甲方审核同意后，通过加密的、受控的通讯渠道进行。</w:t>
      </w:r>
    </w:p>
    <w:p w14:paraId="503CC04F">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8.2.4.1</w:t>
      </w:r>
      <w:r>
        <w:rPr>
          <w:rFonts w:hint="eastAsia" w:asciiTheme="majorHAnsi" w:hAnsiTheme="majorHAnsi" w:eastAsiaTheme="majorEastAsia" w:cstheme="majorBidi"/>
          <w:b/>
          <w:bCs/>
          <w:szCs w:val="28"/>
        </w:rPr>
        <w:t>信息资产安全</w:t>
      </w:r>
    </w:p>
    <w:p w14:paraId="45AA831F">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资产管理员负责识别管理的信息资产。</w:t>
      </w:r>
    </w:p>
    <w:p w14:paraId="39750FBC">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资产管理员负责核实和维护本部门系统信息资产的信息。</w:t>
      </w:r>
    </w:p>
    <w:p w14:paraId="5AE9601C">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资产属性发生变更，资产管理员要及时更新信息资产记录。变更包括地理位置变动、信息资产配置信息、补丁信息等变动。</w:t>
      </w:r>
    </w:p>
    <w:p w14:paraId="4618F095">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资产管理权限发生变更，资产管理员要及时通知本公司安全管理员，将资产状况及时更新到公司安全管理系统中。管理权限变更包括资产所属系统发生变更和信息资产所属部门发生变更。</w:t>
      </w:r>
    </w:p>
    <w:p w14:paraId="45D258DF">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资产设备由设备所属的系统管理人员负责安全防护。</w:t>
      </w:r>
    </w:p>
    <w:p w14:paraId="31A84D90">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部门信息安全工作组定期巡检本部门所属系统信息资产的安全状况。</w:t>
      </w:r>
    </w:p>
    <w:p w14:paraId="20B44C08">
      <w:pPr>
        <w:numPr>
          <w:ilvl w:val="0"/>
          <w:numId w:val="131"/>
        </w:numPr>
        <w:spacing w:line="360" w:lineRule="auto"/>
        <w:rPr>
          <w:rFonts w:hint="eastAsia" w:ascii="宋体" w:hAnsi="宋体" w:eastAsia="宋体" w:cs="Times New Roman"/>
          <w:szCs w:val="21"/>
        </w:rPr>
      </w:pPr>
      <w:r>
        <w:rPr>
          <w:rFonts w:hint="eastAsia" w:ascii="宋体" w:hAnsi="宋体" w:eastAsia="宋体" w:cs="Times New Roman"/>
          <w:szCs w:val="21"/>
        </w:rPr>
        <w:t>在系统建设设备选型时应符合公司入网规范，确保产品的可靠性。</w:t>
      </w:r>
    </w:p>
    <w:p w14:paraId="3FD583A8">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8.2.4.2</w:t>
      </w:r>
      <w:r>
        <w:rPr>
          <w:rFonts w:hint="eastAsia" w:asciiTheme="majorHAnsi" w:hAnsiTheme="majorHAnsi" w:eastAsiaTheme="majorEastAsia" w:cstheme="majorBidi"/>
          <w:b/>
          <w:bCs/>
          <w:szCs w:val="28"/>
        </w:rPr>
        <w:t>网络安全管理</w:t>
      </w:r>
    </w:p>
    <w:p w14:paraId="7D289912">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各系统网络设备当前运行配置文件应和备份配置文件保持一致。</w:t>
      </w:r>
    </w:p>
    <w:p w14:paraId="19854DF7">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网络设备登录提示标识应适当屏蔽内部网络信息内容，并应有相关合法性警告信息。</w:t>
      </w:r>
    </w:p>
    <w:p w14:paraId="2A0CAB1D">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通过设备日志或外部认证设备维护对设备的登录状况，内容应当包括访问登录时间，人员，成功登录和失败登录时间和次数等信息。</w:t>
      </w:r>
    </w:p>
    <w:p w14:paraId="430D3BB8">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严格控制对网络设备的管理授权。按照最小权限原则对用户进行授权。</w:t>
      </w:r>
    </w:p>
    <w:p w14:paraId="6DB8E6EB">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各系统网络设备的密码应严格按照《账号、口令及权限管理办法》执行。</w:t>
      </w:r>
    </w:p>
    <w:p w14:paraId="697FC6D8">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严禁管理员透漏设备口令、</w:t>
      </w:r>
      <w:r>
        <w:rPr>
          <w:rFonts w:ascii="宋体" w:hAnsi="宋体" w:eastAsia="宋体" w:cs="Times New Roman"/>
          <w:szCs w:val="21"/>
        </w:rPr>
        <w:t>SNMP</w:t>
      </w:r>
      <w:r>
        <w:rPr>
          <w:rFonts w:hint="eastAsia" w:ascii="宋体" w:hAnsi="宋体" w:eastAsia="宋体" w:cs="Times New Roman"/>
          <w:szCs w:val="21"/>
        </w:rPr>
        <w:t>字符串、设备配置文件等信息给未授权人员。</w:t>
      </w:r>
    </w:p>
    <w:p w14:paraId="65FC47E0">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所有网络必须具有关于拓扑结构、所用设备、链路使用情况等关于网络情况的详细说明文档，并保持文档内容和现有网络、设备连接和链路信息保持一致。</w:t>
      </w:r>
    </w:p>
    <w:p w14:paraId="1A5E3C70">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对重要区域实行冷备份与热备份相结合的方式，避免双重失效造成的影响。</w:t>
      </w:r>
    </w:p>
    <w:p w14:paraId="2C4142EB">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重要系统在网络上传输机密性要求高的信息时，必须启用可靠的加密算法保证传输安全。</w:t>
      </w:r>
    </w:p>
    <w:p w14:paraId="5EB10DFB">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由统一的</w:t>
      </w:r>
      <w:r>
        <w:rPr>
          <w:rFonts w:ascii="宋体" w:hAnsi="宋体" w:eastAsia="宋体" w:cs="Times New Roman"/>
          <w:szCs w:val="21"/>
        </w:rPr>
        <w:t>IP</w:t>
      </w:r>
      <w:r>
        <w:rPr>
          <w:rFonts w:hint="eastAsia" w:ascii="宋体" w:hAnsi="宋体" w:eastAsia="宋体" w:cs="Times New Roman"/>
          <w:szCs w:val="21"/>
        </w:rPr>
        <w:t>地址管理机构、人员负责对</w:t>
      </w:r>
      <w:r>
        <w:rPr>
          <w:rFonts w:ascii="宋体" w:hAnsi="宋体" w:eastAsia="宋体" w:cs="Times New Roman"/>
          <w:szCs w:val="21"/>
        </w:rPr>
        <w:t>IP</w:t>
      </w:r>
      <w:r>
        <w:rPr>
          <w:rFonts w:hint="eastAsia" w:ascii="宋体" w:hAnsi="宋体" w:eastAsia="宋体" w:cs="Times New Roman"/>
          <w:szCs w:val="21"/>
        </w:rPr>
        <w:t>地址进行规划、登记、维护和分配。确保部门有足够的地址容量并有一定的冗余供扩展使用，并及时关闭和回收被废止的地址。</w:t>
      </w:r>
    </w:p>
    <w:p w14:paraId="49724381">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未经公司信息安全组织批准，测试网络与公司内部网络不能直接连接。</w:t>
      </w:r>
    </w:p>
    <w:p w14:paraId="3F94863A">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未经公司信息安全组织批准，严禁员工私自设立拨号接入服务。</w:t>
      </w:r>
    </w:p>
    <w:p w14:paraId="3FEE3B28">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未经公司信息安全组织批准，严禁员工通过拔号方式对外部网络进行访问。</w:t>
      </w:r>
    </w:p>
    <w:p w14:paraId="31605070">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所有的远程访问必须具备身份鉴别和访问授权控制，至少应采用用户名</w:t>
      </w:r>
      <w:r>
        <w:rPr>
          <w:rFonts w:ascii="宋体" w:hAnsi="宋体" w:eastAsia="宋体" w:cs="Times New Roman"/>
          <w:szCs w:val="21"/>
        </w:rPr>
        <w:t>/</w:t>
      </w:r>
      <w:r>
        <w:rPr>
          <w:rFonts w:hint="eastAsia" w:ascii="宋体" w:hAnsi="宋体" w:eastAsia="宋体" w:cs="Times New Roman"/>
          <w:szCs w:val="21"/>
        </w:rPr>
        <w:t>口令方式，通过</w:t>
      </w:r>
      <w:r>
        <w:rPr>
          <w:rFonts w:ascii="宋体" w:hAnsi="宋体" w:eastAsia="宋体" w:cs="Times New Roman"/>
          <w:szCs w:val="21"/>
        </w:rPr>
        <w:t>Internet</w:t>
      </w:r>
      <w:r>
        <w:rPr>
          <w:rFonts w:hint="eastAsia" w:ascii="宋体" w:hAnsi="宋体" w:eastAsia="宋体" w:cs="Times New Roman"/>
          <w:szCs w:val="21"/>
        </w:rPr>
        <w:t>的远程接入访问必须通过</w:t>
      </w:r>
      <w:r>
        <w:rPr>
          <w:rFonts w:ascii="宋体" w:hAnsi="宋体" w:eastAsia="宋体" w:cs="Times New Roman"/>
          <w:szCs w:val="21"/>
        </w:rPr>
        <w:t>VPN</w:t>
      </w:r>
      <w:r>
        <w:rPr>
          <w:rFonts w:hint="eastAsia" w:ascii="宋体" w:hAnsi="宋体" w:eastAsia="宋体" w:cs="Times New Roman"/>
          <w:szCs w:val="21"/>
        </w:rPr>
        <w:t>的连接，并启用</w:t>
      </w:r>
      <w:r>
        <w:rPr>
          <w:rFonts w:ascii="宋体" w:hAnsi="宋体" w:eastAsia="宋体" w:cs="Times New Roman"/>
          <w:szCs w:val="21"/>
        </w:rPr>
        <w:t>VPN</w:t>
      </w:r>
      <w:r>
        <w:rPr>
          <w:rFonts w:hint="eastAsia" w:ascii="宋体" w:hAnsi="宋体" w:eastAsia="宋体" w:cs="Times New Roman"/>
          <w:szCs w:val="21"/>
        </w:rPr>
        <w:t>的加密与验证功能。</w:t>
      </w:r>
    </w:p>
    <w:p w14:paraId="56FAA989">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不同安全区域之间应采用防火墙，路由器访问控制列表等方式对边界进行保护。只开放必要的服务和端口，减少暴露在网络外部的风险。</w:t>
      </w:r>
    </w:p>
    <w:p w14:paraId="6946C63B">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根据业务变化及时检验更新现有的防火墙配置策略，满足新的安全需求。</w:t>
      </w:r>
    </w:p>
    <w:p w14:paraId="5B2FC0FD">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采取逻辑或物理隔离方法对网络采取必要的隔离措施，以维护不同网络间信息的机密性，解决网络信息分区传输的安全问题。</w:t>
      </w:r>
    </w:p>
    <w:p w14:paraId="520B97E7">
      <w:pPr>
        <w:numPr>
          <w:ilvl w:val="0"/>
          <w:numId w:val="132"/>
        </w:numPr>
        <w:spacing w:line="360" w:lineRule="auto"/>
        <w:rPr>
          <w:rFonts w:hint="eastAsia" w:ascii="宋体" w:hAnsi="宋体" w:eastAsia="宋体" w:cs="Times New Roman"/>
          <w:szCs w:val="21"/>
        </w:rPr>
      </w:pPr>
      <w:r>
        <w:rPr>
          <w:rFonts w:hint="eastAsia" w:ascii="宋体" w:hAnsi="宋体" w:eastAsia="宋体" w:cs="Times New Roman"/>
          <w:szCs w:val="21"/>
        </w:rPr>
        <w:t>网络中各设备应开启日志记录功能，对网络使用情况进行记录。</w:t>
      </w:r>
    </w:p>
    <w:p w14:paraId="21CF6BA3">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8.2.4.3</w:t>
      </w:r>
      <w:r>
        <w:rPr>
          <w:rFonts w:hint="eastAsia" w:asciiTheme="majorHAnsi" w:hAnsiTheme="majorHAnsi" w:eastAsiaTheme="majorEastAsia" w:cstheme="majorBidi"/>
          <w:b/>
          <w:bCs/>
          <w:szCs w:val="28"/>
        </w:rPr>
        <w:t>账号、口令及权限管理</w:t>
      </w:r>
    </w:p>
    <w:p w14:paraId="2D61033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帐号管理</w:t>
      </w:r>
    </w:p>
    <w:p w14:paraId="7DC514E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系统管理员应当对系统帐号使用情况进行统一管理，并对每个帐号的使用者信息、帐号权限、使用期限进行记录。</w:t>
      </w:r>
    </w:p>
    <w:p w14:paraId="0CBF6CB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应避免使用系统默认账号，系统管理员应当为每一个系统用户设置一个帐号，避免系统内部存在共享帐号。</w:t>
      </w:r>
    </w:p>
    <w:p w14:paraId="26BA3B9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各系统管理员应当对系统中存在的账号进行定期检查，确保系统中不存在无用或匿名账号。</w:t>
      </w:r>
    </w:p>
    <w:p w14:paraId="518CCF8B">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部门信息安全组定期检查各系统帐号管理情况，内容应包含如下几个方面</w:t>
      </w:r>
      <w:r>
        <w:rPr>
          <w:rFonts w:ascii="宋体" w:hAnsi="宋体" w:eastAsia="宋体" w:cs="Times New Roman"/>
          <w:szCs w:val="21"/>
        </w:rPr>
        <w:t>:</w:t>
      </w:r>
    </w:p>
    <w:p w14:paraId="2202F079">
      <w:pPr>
        <w:numPr>
          <w:ilvl w:val="0"/>
          <w:numId w:val="133"/>
        </w:numPr>
        <w:spacing w:line="360" w:lineRule="auto"/>
        <w:rPr>
          <w:rFonts w:hint="eastAsia" w:ascii="宋体" w:hAnsi="宋体" w:eastAsia="宋体" w:cs="Times New Roman"/>
          <w:szCs w:val="21"/>
        </w:rPr>
      </w:pPr>
      <w:r>
        <w:rPr>
          <w:rFonts w:hint="eastAsia" w:ascii="宋体" w:hAnsi="宋体" w:eastAsia="宋体" w:cs="Times New Roman"/>
          <w:szCs w:val="21"/>
        </w:rPr>
        <w:t>员工离职或帐号已经过期，相应的帐号在系统中仍然存在上;</w:t>
      </w:r>
    </w:p>
    <w:p w14:paraId="65D017CA">
      <w:pPr>
        <w:numPr>
          <w:ilvl w:val="0"/>
          <w:numId w:val="133"/>
        </w:numPr>
        <w:spacing w:line="360" w:lineRule="auto"/>
        <w:rPr>
          <w:rFonts w:hint="eastAsia" w:ascii="宋体" w:hAnsi="宋体" w:eastAsia="宋体" w:cs="Times New Roman"/>
          <w:szCs w:val="21"/>
        </w:rPr>
      </w:pPr>
      <w:r>
        <w:rPr>
          <w:rFonts w:hint="eastAsia" w:ascii="宋体" w:hAnsi="宋体" w:eastAsia="宋体" w:cs="Times New Roman"/>
          <w:szCs w:val="21"/>
        </w:rPr>
        <w:t>用户是否被授予了与其工作职责不相符的系统访问权限;</w:t>
      </w:r>
    </w:p>
    <w:p w14:paraId="7B2D854F">
      <w:pPr>
        <w:numPr>
          <w:ilvl w:val="0"/>
          <w:numId w:val="133"/>
        </w:numPr>
        <w:spacing w:line="360" w:lineRule="auto"/>
        <w:rPr>
          <w:rFonts w:hint="eastAsia" w:ascii="宋体" w:hAnsi="宋体" w:eastAsia="宋体" w:cs="Times New Roman"/>
          <w:szCs w:val="21"/>
        </w:rPr>
      </w:pPr>
      <w:r>
        <w:rPr>
          <w:rFonts w:hint="eastAsia" w:ascii="宋体" w:hAnsi="宋体" w:eastAsia="宋体" w:cs="Times New Roman"/>
          <w:szCs w:val="21"/>
        </w:rPr>
        <w:t>帐号使用情况是否和系统管理员备案的用户账号权限情况一致;</w:t>
      </w:r>
    </w:p>
    <w:p w14:paraId="1C601B3E">
      <w:pPr>
        <w:numPr>
          <w:ilvl w:val="0"/>
          <w:numId w:val="133"/>
        </w:numPr>
        <w:spacing w:line="360" w:lineRule="auto"/>
        <w:rPr>
          <w:rFonts w:hint="eastAsia" w:ascii="宋体" w:hAnsi="宋体" w:eastAsia="宋体" w:cs="Times New Roman"/>
          <w:szCs w:val="21"/>
        </w:rPr>
      </w:pPr>
      <w:r>
        <w:rPr>
          <w:rFonts w:hint="eastAsia" w:ascii="宋体" w:hAnsi="宋体" w:eastAsia="宋体" w:cs="Times New Roman"/>
          <w:szCs w:val="21"/>
        </w:rPr>
        <w:t>是否存在非法账号或者长期未使用账号;</w:t>
      </w:r>
    </w:p>
    <w:p w14:paraId="2E01D099">
      <w:pPr>
        <w:numPr>
          <w:ilvl w:val="0"/>
          <w:numId w:val="133"/>
        </w:numPr>
        <w:spacing w:line="360" w:lineRule="auto"/>
        <w:rPr>
          <w:rFonts w:hint="eastAsia" w:ascii="宋体" w:hAnsi="宋体" w:eastAsia="宋体" w:cs="Times New Roman"/>
          <w:szCs w:val="21"/>
        </w:rPr>
      </w:pPr>
      <w:r>
        <w:rPr>
          <w:rFonts w:hint="eastAsia" w:ascii="宋体" w:hAnsi="宋体" w:eastAsia="宋体" w:cs="Times New Roman"/>
          <w:szCs w:val="21"/>
        </w:rPr>
        <w:t>是否存在弱口令账号。</w:t>
      </w:r>
    </w:p>
    <w:p w14:paraId="16AC447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各系统应具有系统安全日志功能，能够记录系统帐号的登录和访问时间、操作内容、</w:t>
      </w:r>
      <w:r>
        <w:rPr>
          <w:rFonts w:ascii="宋体" w:hAnsi="宋体" w:eastAsia="宋体" w:cs="Times New Roman"/>
          <w:szCs w:val="21"/>
        </w:rPr>
        <w:t>IP</w:t>
      </w:r>
      <w:r>
        <w:rPr>
          <w:rFonts w:hint="eastAsia" w:ascii="宋体" w:hAnsi="宋体" w:eastAsia="宋体" w:cs="Times New Roman"/>
          <w:szCs w:val="21"/>
        </w:rPr>
        <w:t>地址等信息。</w:t>
      </w:r>
    </w:p>
    <w:p w14:paraId="69CB5CA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系统在创建账号、变更账号以及撤销账号的过程中，应到得到部门经理的审批后才可实施。</w:t>
      </w:r>
    </w:p>
    <w:p w14:paraId="39AD465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口令管理</w:t>
      </w:r>
    </w:p>
    <w:p w14:paraId="47700D6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1、系统密码、口令的设置至少应该符合以下要求</w:t>
      </w:r>
      <w:r>
        <w:rPr>
          <w:rFonts w:ascii="宋体" w:hAnsi="宋体" w:eastAsia="宋体" w:cs="Times New Roman"/>
          <w:szCs w:val="21"/>
        </w:rPr>
        <w:t>:</w:t>
      </w:r>
    </w:p>
    <w:p w14:paraId="30BF4984">
      <w:pPr>
        <w:numPr>
          <w:ilvl w:val="0"/>
          <w:numId w:val="134"/>
        </w:numPr>
        <w:spacing w:line="360" w:lineRule="auto"/>
        <w:rPr>
          <w:rFonts w:hint="eastAsia" w:ascii="宋体" w:hAnsi="宋体" w:eastAsia="宋体" w:cs="Times New Roman"/>
          <w:szCs w:val="21"/>
        </w:rPr>
      </w:pPr>
      <w:r>
        <w:rPr>
          <w:rFonts w:hint="eastAsia" w:ascii="宋体" w:hAnsi="宋体" w:eastAsia="宋体" w:cs="Times New Roman"/>
          <w:szCs w:val="21"/>
        </w:rPr>
        <w:t>长度大于8位;</w:t>
      </w:r>
    </w:p>
    <w:p w14:paraId="357414A9">
      <w:pPr>
        <w:numPr>
          <w:ilvl w:val="0"/>
          <w:numId w:val="134"/>
        </w:numPr>
        <w:spacing w:line="360" w:lineRule="auto"/>
        <w:rPr>
          <w:rFonts w:hint="eastAsia" w:ascii="宋体" w:hAnsi="宋体" w:eastAsia="宋体" w:cs="Times New Roman"/>
          <w:szCs w:val="21"/>
        </w:rPr>
      </w:pPr>
      <w:r>
        <w:rPr>
          <w:rFonts w:hint="eastAsia" w:ascii="宋体" w:hAnsi="宋体" w:eastAsia="宋体" w:cs="Times New Roman"/>
          <w:szCs w:val="21"/>
        </w:rPr>
        <w:t>大小写字母、数字，以及特殊字符混合使用，例如:TmB1w2R!;</w:t>
      </w:r>
    </w:p>
    <w:p w14:paraId="41496AB7">
      <w:pPr>
        <w:numPr>
          <w:ilvl w:val="0"/>
          <w:numId w:val="134"/>
        </w:numPr>
        <w:spacing w:line="360" w:lineRule="auto"/>
        <w:rPr>
          <w:rFonts w:hint="eastAsia" w:ascii="宋体" w:hAnsi="宋体" w:eastAsia="宋体" w:cs="Times New Roman"/>
          <w:szCs w:val="21"/>
        </w:rPr>
      </w:pPr>
      <w:r>
        <w:rPr>
          <w:rFonts w:hint="eastAsia" w:ascii="宋体" w:hAnsi="宋体" w:eastAsia="宋体" w:cs="Times New Roman"/>
          <w:szCs w:val="21"/>
        </w:rPr>
        <w:t>是任何语言的单词;</w:t>
      </w:r>
    </w:p>
    <w:p w14:paraId="388FC7B9">
      <w:pPr>
        <w:numPr>
          <w:ilvl w:val="0"/>
          <w:numId w:val="134"/>
        </w:numPr>
        <w:spacing w:line="360" w:lineRule="auto"/>
        <w:rPr>
          <w:rFonts w:hint="eastAsia" w:ascii="宋体" w:hAnsi="宋体" w:eastAsia="宋体" w:cs="Times New Roman"/>
          <w:szCs w:val="21"/>
        </w:rPr>
      </w:pPr>
      <w:r>
        <w:rPr>
          <w:rFonts w:hint="eastAsia" w:ascii="宋体" w:hAnsi="宋体" w:eastAsia="宋体" w:cs="Times New Roman"/>
          <w:szCs w:val="21"/>
        </w:rPr>
        <w:t>不能使用缺省设置的密码。</w:t>
      </w:r>
    </w:p>
    <w:p w14:paraId="7EEDC47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2、密码至少应该保证每季度更换一次，包括</w:t>
      </w:r>
      <w:r>
        <w:rPr>
          <w:rFonts w:ascii="宋体" w:hAnsi="宋体" w:eastAsia="宋体" w:cs="Times New Roman"/>
          <w:szCs w:val="21"/>
        </w:rPr>
        <w:t>:UNIX/Linux</w:t>
      </w:r>
      <w:r>
        <w:rPr>
          <w:rFonts w:hint="eastAsia" w:ascii="宋体" w:hAnsi="宋体" w:eastAsia="宋体" w:cs="Times New Roman"/>
          <w:szCs w:val="21"/>
        </w:rPr>
        <w:t>系统</w:t>
      </w:r>
      <w:r>
        <w:rPr>
          <w:rFonts w:ascii="宋体" w:hAnsi="宋体" w:eastAsia="宋体" w:cs="Times New Roman"/>
          <w:szCs w:val="21"/>
        </w:rPr>
        <w:t>root</w:t>
      </w:r>
      <w:r>
        <w:rPr>
          <w:rFonts w:hint="eastAsia" w:ascii="宋体" w:hAnsi="宋体" w:eastAsia="宋体" w:cs="Times New Roman"/>
          <w:szCs w:val="21"/>
        </w:rPr>
        <w:t>用户的密码、网络设备的</w:t>
      </w:r>
      <w:r>
        <w:rPr>
          <w:rFonts w:ascii="宋体" w:hAnsi="宋体" w:eastAsia="宋体" w:cs="Times New Roman"/>
          <w:szCs w:val="21"/>
        </w:rPr>
        <w:t>enable</w:t>
      </w:r>
      <w:r>
        <w:rPr>
          <w:rFonts w:hint="eastAsia" w:ascii="宋体" w:hAnsi="宋体" w:eastAsia="宋体" w:cs="Times New Roman"/>
          <w:szCs w:val="21"/>
        </w:rPr>
        <w:t>密码、</w:t>
      </w:r>
      <w:r>
        <w:rPr>
          <w:rFonts w:ascii="宋体" w:hAnsi="宋体" w:eastAsia="宋体" w:cs="Times New Roman"/>
          <w:szCs w:val="21"/>
        </w:rPr>
        <w:t>Windows</w:t>
      </w:r>
      <w:r>
        <w:rPr>
          <w:rFonts w:hint="eastAsia" w:ascii="宋体" w:hAnsi="宋体" w:eastAsia="宋体" w:cs="Times New Roman"/>
          <w:szCs w:val="21"/>
        </w:rPr>
        <w:t>系统</w:t>
      </w:r>
      <w:r>
        <w:rPr>
          <w:rFonts w:ascii="宋体" w:hAnsi="宋体" w:eastAsia="宋体" w:cs="Times New Roman"/>
          <w:szCs w:val="21"/>
        </w:rPr>
        <w:t>Administrator</w:t>
      </w:r>
      <w:r>
        <w:rPr>
          <w:rFonts w:hint="eastAsia" w:ascii="宋体" w:hAnsi="宋体" w:eastAsia="宋体" w:cs="Times New Roman"/>
          <w:szCs w:val="21"/>
        </w:rPr>
        <w:t>用户的密码，以及应用系统的管理用户密码。</w:t>
      </w:r>
    </w:p>
    <w:p w14:paraId="0298102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3、密码不能以明文的方式通过电子邮件或者其它网络传输方式进行传输。</w:t>
      </w:r>
    </w:p>
    <w:p w14:paraId="1EAFB3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4、公司员工不能将密码告诉别人，如果系统的密码泄漏了，必须立即更改。</w:t>
      </w:r>
    </w:p>
    <w:p w14:paraId="558BFC9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5、系统管理员不能共享超级用户帐号，应采用组策略控制超级用户的访问。</w:t>
      </w:r>
    </w:p>
    <w:p w14:paraId="76650A8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6、业务管理人员不能共享业务管理帐号，应当为每一位业务管理人员分配单独的帐号。</w:t>
      </w:r>
    </w:p>
    <w:p w14:paraId="1D52FF8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7、所有系统集成商在施工期间设立的缺省密码在系统投入使用之前都要删除。</w:t>
      </w:r>
    </w:p>
    <w:p w14:paraId="142156A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8、密码要以加密形式保存，加密算法强度要高，加密算法要不可逆。</w:t>
      </w:r>
    </w:p>
    <w:p w14:paraId="5E0512A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9、密码在输入系统时，不能在显示屏上明文显示出来。</w:t>
      </w:r>
    </w:p>
    <w:p w14:paraId="03A8E13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10、系统应该强制指定密码的策略，包括密码的最短有效期、最长有效期、最短长度、</w:t>
      </w:r>
    </w:p>
    <w:p w14:paraId="00D5BBD4">
      <w:pPr>
        <w:spacing w:line="360" w:lineRule="auto"/>
        <w:rPr>
          <w:rFonts w:hint="eastAsia" w:ascii="宋体" w:hAnsi="宋体" w:eastAsia="宋体" w:cs="Times New Roman"/>
          <w:szCs w:val="21"/>
        </w:rPr>
      </w:pPr>
      <w:r>
        <w:rPr>
          <w:rFonts w:hint="eastAsia" w:ascii="宋体" w:hAnsi="宋体" w:eastAsia="宋体" w:cs="Times New Roman"/>
          <w:szCs w:val="21"/>
        </w:rPr>
        <w:t>复杂性等。</w:t>
      </w:r>
    </w:p>
    <w:p w14:paraId="22935F4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11、除了系统管理员外，普通用户不能改变其它用户的口令。</w:t>
      </w:r>
    </w:p>
    <w:p w14:paraId="0AB9EC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权限管理</w:t>
      </w:r>
    </w:p>
    <w:p w14:paraId="19B9605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1、各系统应根据“最小授权”的原则设定账户访问权限，控制用户仅能够访问到工作需要的信息。</w:t>
      </w:r>
    </w:p>
    <w:p w14:paraId="77B176E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2、从账号管理的角度，应进行基于角色的访问控制权限的设定，即对系统的访问控制权限是以角色或组为单位进行授予。</w:t>
      </w:r>
    </w:p>
    <w:p w14:paraId="6E2B723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3、细分角色根据系统的特性和功能长期存在，基本不随人员和管理岗位的变更而变更。</w:t>
      </w:r>
    </w:p>
    <w:p w14:paraId="13C8A42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4、一个用户根据实际情况可以分配多个角色。</w:t>
      </w:r>
    </w:p>
    <w:p w14:paraId="134F659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5、各系统应该设置审计用户的权限，审计用户应当具备比较完整的读权限，审计用户应当能够读取系统关键文件，检查系统设置、系统日志等信息。</w:t>
      </w:r>
    </w:p>
    <w:p w14:paraId="67F8DC0B">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8.2.4.4</w:t>
      </w:r>
      <w:r>
        <w:rPr>
          <w:rFonts w:hint="eastAsia" w:asciiTheme="majorHAnsi" w:hAnsiTheme="majorHAnsi" w:eastAsiaTheme="majorEastAsia" w:cstheme="majorBidi"/>
          <w:b/>
          <w:bCs/>
          <w:szCs w:val="28"/>
        </w:rPr>
        <w:t>配置变更管理</w:t>
      </w:r>
    </w:p>
    <w:p w14:paraId="511E86C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1、系统管理员应对本系统的设备、系统等</w:t>
      </w:r>
      <w:r>
        <w:rPr>
          <w:rFonts w:ascii="宋体" w:hAnsi="宋体" w:eastAsia="宋体" w:cs="Times New Roman"/>
          <w:szCs w:val="21"/>
        </w:rPr>
        <w:t>IT</w:t>
      </w:r>
      <w:r>
        <w:rPr>
          <w:rFonts w:hint="eastAsia" w:ascii="宋体" w:hAnsi="宋体" w:eastAsia="宋体" w:cs="Times New Roman"/>
          <w:szCs w:val="21"/>
        </w:rPr>
        <w:t>资产的配置进行记录，并保存配置记录信息。</w:t>
      </w:r>
    </w:p>
    <w:p w14:paraId="1B2693D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2、各系统在发生变更操作时，应根据相关制度进行审批、测试。</w:t>
      </w:r>
    </w:p>
    <w:p w14:paraId="32031E8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3、各系统执行变更操作前，要对变更操作进行测试</w:t>
      </w:r>
      <w:r>
        <w:rPr>
          <w:rFonts w:ascii="宋体" w:hAnsi="宋体" w:eastAsia="宋体" w:cs="Times New Roman"/>
          <w:szCs w:val="21"/>
        </w:rPr>
        <w:t>;</w:t>
      </w:r>
      <w:r>
        <w:rPr>
          <w:rFonts w:hint="eastAsia" w:ascii="宋体" w:hAnsi="宋体" w:eastAsia="宋体" w:cs="Times New Roman"/>
          <w:szCs w:val="21"/>
        </w:rPr>
        <w:t>确定无不利影响后，提交系统测试结果、系统配置变更实施方案和回退方案，由本部门经理和公司相关主管部门提出配置变更申请。</w:t>
      </w:r>
    </w:p>
    <w:p w14:paraId="3CB74FC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4、申请审批通过后，才可以进行配置变更操作</w:t>
      </w:r>
      <w:r>
        <w:rPr>
          <w:rFonts w:ascii="宋体" w:hAnsi="宋体" w:eastAsia="宋体" w:cs="Times New Roman"/>
          <w:szCs w:val="21"/>
        </w:rPr>
        <w:t>;</w:t>
      </w:r>
      <w:r>
        <w:rPr>
          <w:rFonts w:hint="eastAsia" w:ascii="宋体" w:hAnsi="宋体" w:eastAsia="宋体" w:cs="Times New Roman"/>
          <w:szCs w:val="21"/>
        </w:rPr>
        <w:t>进行配置变更操作前，需要对变更设备进行配置备份。</w:t>
      </w:r>
    </w:p>
    <w:p w14:paraId="5F7C4F3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5、各系统管理员应对变更操作的具体步骤进行记录并保存。</w:t>
      </w:r>
    </w:p>
    <w:p w14:paraId="3EF9087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6、各系统管理员进行配置变更操作后，应将变更后的配置信息进行记录。</w:t>
      </w:r>
    </w:p>
    <w:p w14:paraId="72C5A7BF">
      <w:pPr>
        <w:pStyle w:val="73"/>
        <w:numPr>
          <w:ilvl w:val="0"/>
          <w:numId w:val="131"/>
        </w:numPr>
        <w:spacing w:line="360" w:lineRule="auto"/>
        <w:ind w:firstLineChars="0"/>
        <w:rPr>
          <w:rFonts w:hint="eastAsia" w:ascii="宋体" w:hAnsi="宋体" w:eastAsia="宋体" w:cs="Times New Roman"/>
          <w:szCs w:val="21"/>
        </w:rPr>
      </w:pPr>
      <w:r>
        <w:rPr>
          <w:rFonts w:hint="eastAsia" w:ascii="宋体" w:hAnsi="宋体" w:eastAsia="宋体" w:cs="Times New Roman"/>
          <w:szCs w:val="21"/>
        </w:rPr>
        <w:t>各系统发生配置变更后，应在公司信息安全办公室进行备案。</w:t>
      </w:r>
    </w:p>
    <w:p w14:paraId="23C13C48">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8.2.4.5</w:t>
      </w:r>
      <w:r>
        <w:rPr>
          <w:rFonts w:hint="eastAsia" w:asciiTheme="majorHAnsi" w:hAnsiTheme="majorHAnsi" w:eastAsiaTheme="majorEastAsia" w:cstheme="majorBidi"/>
          <w:b/>
          <w:bCs/>
          <w:szCs w:val="28"/>
        </w:rPr>
        <w:t>生产终端管理</w:t>
      </w:r>
    </w:p>
    <w:p w14:paraId="47324D3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1、生产终端使用的软件必须是正版软件，禁止安装与生产工作无关的软件，如游戏、视频等。</w:t>
      </w:r>
    </w:p>
    <w:p w14:paraId="6FC9975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2、生产终端必须安装防病毒系统，系统管理员应定期检查并保持病毒码为最新病毒码。</w:t>
      </w:r>
    </w:p>
    <w:p w14:paraId="23BED1D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3、生产终端必须及时安装安全补丁，系统管理员应定期检查并保持系统补丁全面安装。</w:t>
      </w:r>
    </w:p>
    <w:p w14:paraId="6A84459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4、生产终端应根据用户权限设置账户和口令应按照《账号、口令和权限管理办法》中的规定进行设置。</w:t>
      </w:r>
    </w:p>
    <w:p w14:paraId="6F6DDB8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5、生产终端禁止开放没有限制的文件共享。</w:t>
      </w:r>
    </w:p>
    <w:p w14:paraId="648C0D6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6、公司各生产终端应根据公司计算机命名方式统一命名。</w:t>
      </w:r>
    </w:p>
    <w:p w14:paraId="6BEA30C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7、生产终端应设定屏幕保护，并确保在无人看管的情况下进行锁屏。</w:t>
      </w:r>
    </w:p>
    <w:p w14:paraId="125D593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8、在没有特殊情况下，生产终端禁止通过任何方式接入</w:t>
      </w:r>
      <w:r>
        <w:rPr>
          <w:rFonts w:ascii="宋体" w:hAnsi="宋体" w:eastAsia="宋体" w:cs="Times New Roman"/>
          <w:szCs w:val="21"/>
        </w:rPr>
        <w:t>INTERNET</w:t>
      </w:r>
      <w:r>
        <w:rPr>
          <w:rFonts w:hint="eastAsia" w:ascii="宋体" w:hAnsi="宋体" w:eastAsia="宋体" w:cs="Times New Roman"/>
          <w:szCs w:val="21"/>
        </w:rPr>
        <w:t>网络。</w:t>
      </w:r>
    </w:p>
    <w:p w14:paraId="2235868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9、在未经允许的情况下，禁止私自在生产终端上接如移动存储设备、调制解调器、红外设备、无线设备和串口设备等外设，以便消除由此可能带来的旁路以及恶意代码、病毒的引入。</w:t>
      </w:r>
    </w:p>
    <w:p w14:paraId="7A779FB1">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8.2.4.6</w:t>
      </w:r>
      <w:r>
        <w:rPr>
          <w:rFonts w:hint="eastAsia" w:asciiTheme="majorHAnsi" w:hAnsiTheme="majorHAnsi" w:eastAsiaTheme="majorEastAsia" w:cstheme="majorBidi"/>
          <w:b/>
          <w:bCs/>
          <w:szCs w:val="28"/>
        </w:rPr>
        <w:t>病毒防护管理</w:t>
      </w:r>
    </w:p>
    <w:p w14:paraId="5A364CA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、所有业务系统服务器、生产终端和办公电脑都应当按照公司要求安装了相应的病毒防护软件或采用了相应的病毒防护手段。</w:t>
      </w:r>
    </w:p>
    <w:p w14:paraId="7027662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、应当确保防止病毒软件每天进行病毒库更新，设置防病毒软件定期</w:t>
      </w:r>
      <w:r>
        <w:rPr>
          <w:rFonts w:ascii="宋体" w:hAnsi="宋体" w:eastAsia="宋体" w:cs="Times New Roman"/>
          <w:szCs w:val="21"/>
        </w:rPr>
        <w:t>(</w:t>
      </w:r>
      <w:r>
        <w:rPr>
          <w:rFonts w:hint="eastAsia" w:ascii="宋体" w:hAnsi="宋体" w:eastAsia="宋体" w:cs="Times New Roman"/>
          <w:szCs w:val="21"/>
        </w:rPr>
        <w:t>每周或没月</w:t>
      </w:r>
      <w:r>
        <w:rPr>
          <w:rFonts w:ascii="宋体" w:hAnsi="宋体" w:eastAsia="宋体" w:cs="Times New Roman"/>
          <w:szCs w:val="21"/>
        </w:rPr>
        <w:t>)</w:t>
      </w:r>
      <w:r>
        <w:rPr>
          <w:rFonts w:hint="eastAsia" w:ascii="宋体" w:hAnsi="宋体" w:eastAsia="宋体" w:cs="Times New Roman"/>
          <w:szCs w:val="21"/>
        </w:rPr>
        <w:t>对全部硬盘进行病毒扫描。</w:t>
      </w:r>
    </w:p>
    <w:p w14:paraId="3287BF7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、如果自己无法对病毒防护措施的有效性进行判断，应及时通知公司</w:t>
      </w:r>
      <w:r>
        <w:rPr>
          <w:rFonts w:ascii="宋体" w:hAnsi="宋体" w:eastAsia="宋体" w:cs="Times New Roman"/>
          <w:szCs w:val="21"/>
        </w:rPr>
        <w:t>IT</w:t>
      </w:r>
      <w:r>
        <w:rPr>
          <w:rFonts w:hint="eastAsia" w:ascii="宋体" w:hAnsi="宋体" w:eastAsia="宋体" w:cs="Times New Roman"/>
          <w:szCs w:val="21"/>
        </w:rPr>
        <w:t>服务部门进行解决。</w:t>
      </w:r>
    </w:p>
    <w:p w14:paraId="1CC8058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、各系统防病毒系统应遵循公司病毒防护系统整体规划。</w:t>
      </w:r>
    </w:p>
    <w:p w14:paraId="4088DDB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、如果发现个人办公终端感染病毒，应首先拔掉网线，降低可能对公司网络造成的影响，然后进行杀毒处理。</w:t>
      </w:r>
    </w:p>
    <w:p w14:paraId="5DAE8EDE">
      <w:pPr>
        <w:pStyle w:val="73"/>
        <w:numPr>
          <w:ilvl w:val="0"/>
          <w:numId w:val="128"/>
        </w:numPr>
        <w:spacing w:line="360" w:lineRule="auto"/>
        <w:ind w:firstLineChars="0"/>
        <w:rPr>
          <w:rFonts w:hint="eastAsia" w:ascii="宋体" w:hAnsi="宋体" w:eastAsia="宋体" w:cs="Times New Roman"/>
          <w:szCs w:val="21"/>
        </w:rPr>
      </w:pPr>
      <w:r>
        <w:rPr>
          <w:rFonts w:hint="eastAsia" w:ascii="宋体" w:hAnsi="宋体" w:eastAsia="宋体" w:cs="Times New Roman"/>
          <w:szCs w:val="21"/>
        </w:rPr>
        <w:t>各系统管理员在生产和业务网络发现病毒，应立即进行处理。</w:t>
      </w:r>
    </w:p>
    <w:p w14:paraId="0CABCF3E">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8.2.4.7</w:t>
      </w:r>
      <w:r>
        <w:rPr>
          <w:rFonts w:hint="eastAsia" w:asciiTheme="majorHAnsi" w:hAnsiTheme="majorHAnsi" w:eastAsiaTheme="majorEastAsia" w:cstheme="majorBidi"/>
          <w:b/>
          <w:bCs/>
          <w:szCs w:val="28"/>
        </w:rPr>
        <w:t>办公终端管理</w:t>
      </w:r>
    </w:p>
    <w:p w14:paraId="363A22EA">
      <w:pPr>
        <w:numPr>
          <w:ilvl w:val="0"/>
          <w:numId w:val="135"/>
        </w:numPr>
        <w:spacing w:line="360" w:lineRule="auto"/>
        <w:rPr>
          <w:rFonts w:hint="eastAsia" w:ascii="宋体" w:hAnsi="宋体" w:eastAsia="宋体" w:cs="Times New Roman"/>
          <w:szCs w:val="21"/>
        </w:rPr>
      </w:pPr>
      <w:r>
        <w:rPr>
          <w:rFonts w:hint="eastAsia" w:ascii="宋体" w:hAnsi="宋体" w:eastAsia="宋体" w:cs="Times New Roman"/>
          <w:szCs w:val="21"/>
        </w:rPr>
        <w:t>所有办公终端的命名应符合公司计算机命名规范。</w:t>
      </w:r>
    </w:p>
    <w:p w14:paraId="6F5A36FC">
      <w:pPr>
        <w:numPr>
          <w:ilvl w:val="0"/>
          <w:numId w:val="135"/>
        </w:numPr>
        <w:spacing w:line="360" w:lineRule="auto"/>
        <w:rPr>
          <w:rFonts w:hint="eastAsia" w:ascii="宋体" w:hAnsi="宋体" w:eastAsia="宋体" w:cs="Times New Roman"/>
          <w:szCs w:val="21"/>
        </w:rPr>
      </w:pPr>
      <w:r>
        <w:rPr>
          <w:rFonts w:hint="eastAsia" w:ascii="宋体" w:hAnsi="宋体" w:eastAsia="宋体" w:cs="Times New Roman"/>
          <w:szCs w:val="21"/>
        </w:rPr>
        <w:t>所有的办公终端应加入公司的域管理模式，正确是使用公司的各项资源。</w:t>
      </w:r>
    </w:p>
    <w:p w14:paraId="72FC426D">
      <w:pPr>
        <w:numPr>
          <w:ilvl w:val="0"/>
          <w:numId w:val="135"/>
        </w:numPr>
        <w:spacing w:line="360" w:lineRule="auto"/>
        <w:rPr>
          <w:rFonts w:hint="eastAsia" w:ascii="宋体" w:hAnsi="宋体" w:eastAsia="宋体" w:cs="Times New Roman"/>
          <w:szCs w:val="21"/>
        </w:rPr>
      </w:pPr>
      <w:r>
        <w:rPr>
          <w:rFonts w:hint="eastAsia" w:ascii="宋体" w:hAnsi="宋体" w:eastAsia="宋体" w:cs="Times New Roman"/>
          <w:szCs w:val="21"/>
        </w:rPr>
        <w:t>所有的办公终端应正确安装防病毒系统，确保及时更新病毒码。</w:t>
      </w:r>
    </w:p>
    <w:p w14:paraId="528D4A8E">
      <w:pPr>
        <w:numPr>
          <w:ilvl w:val="0"/>
          <w:numId w:val="135"/>
        </w:numPr>
        <w:spacing w:line="360" w:lineRule="auto"/>
        <w:rPr>
          <w:rFonts w:hint="eastAsia" w:ascii="宋体" w:hAnsi="宋体" w:eastAsia="宋体" w:cs="Times New Roman"/>
          <w:szCs w:val="21"/>
        </w:rPr>
      </w:pPr>
      <w:r>
        <w:rPr>
          <w:rFonts w:hint="eastAsia" w:ascii="宋体" w:hAnsi="宋体" w:eastAsia="宋体" w:cs="Times New Roman"/>
          <w:szCs w:val="21"/>
        </w:rPr>
        <w:t>所有的办公终端应及时安装系统补丁，应与公司发布的补丁保持一致。</w:t>
      </w:r>
    </w:p>
    <w:p w14:paraId="11720647">
      <w:pPr>
        <w:numPr>
          <w:ilvl w:val="0"/>
          <w:numId w:val="135"/>
        </w:numPr>
        <w:spacing w:line="360" w:lineRule="auto"/>
        <w:rPr>
          <w:rFonts w:hint="eastAsia" w:ascii="宋体" w:hAnsi="宋体" w:eastAsia="宋体" w:cs="Times New Roman"/>
          <w:szCs w:val="21"/>
        </w:rPr>
      </w:pPr>
      <w:r>
        <w:rPr>
          <w:rFonts w:hint="eastAsia" w:ascii="宋体" w:hAnsi="宋体" w:eastAsia="宋体" w:cs="Times New Roman"/>
          <w:szCs w:val="21"/>
        </w:rPr>
        <w:t>公司所有办公终端的密码不能为空，根据密码规定严格执行。</w:t>
      </w:r>
    </w:p>
    <w:p w14:paraId="5E67795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6、所有办公终端不得私自装配并使用可读写光驱、磁带机、磁光盘机和</w:t>
      </w:r>
      <w:r>
        <w:rPr>
          <w:rFonts w:ascii="宋体" w:hAnsi="宋体" w:eastAsia="宋体" w:cs="Times New Roman"/>
          <w:szCs w:val="21"/>
        </w:rPr>
        <w:t>USB</w:t>
      </w:r>
      <w:r>
        <w:rPr>
          <w:rFonts w:hint="eastAsia" w:ascii="宋体" w:hAnsi="宋体" w:eastAsia="宋体" w:cs="Times New Roman"/>
          <w:szCs w:val="21"/>
        </w:rPr>
        <w:t>硬盘等外置存储设备。</w:t>
      </w:r>
    </w:p>
    <w:p w14:paraId="42A76E4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7、所有办公终端不得私自转借给他人使用，防止信息的泄密和数据破坏。</w:t>
      </w:r>
    </w:p>
    <w:p w14:paraId="2C3F5C7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8、所有移动办公终端在外出办公时，不要使其处于无人看管状态。</w:t>
      </w:r>
    </w:p>
    <w:p w14:paraId="15C9EDB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9、办公终端不得私自安装盗版软件和与工作无关的软件，不得私自安装扫描软件或黑客攻击工具。</w:t>
      </w:r>
    </w:p>
    <w:p w14:paraId="7EB11B5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10、未经公司</w:t>
      </w:r>
      <w:r>
        <w:rPr>
          <w:rFonts w:ascii="宋体" w:hAnsi="宋体" w:eastAsia="宋体" w:cs="Times New Roman"/>
          <w:szCs w:val="21"/>
        </w:rPr>
        <w:t>IT</w:t>
      </w:r>
      <w:r>
        <w:rPr>
          <w:rFonts w:hint="eastAsia" w:ascii="宋体" w:hAnsi="宋体" w:eastAsia="宋体" w:cs="Times New Roman"/>
          <w:szCs w:val="21"/>
        </w:rPr>
        <w:t>服务部门批准，员工不得在公司使用</w:t>
      </w:r>
      <w:r>
        <w:rPr>
          <w:rFonts w:ascii="宋体" w:hAnsi="宋体" w:eastAsia="宋体" w:cs="Times New Roman"/>
          <w:szCs w:val="21"/>
        </w:rPr>
        <w:t>modem</w:t>
      </w:r>
      <w:r>
        <w:rPr>
          <w:rFonts w:hint="eastAsia" w:ascii="宋体" w:hAnsi="宋体" w:eastAsia="宋体" w:cs="Times New Roman"/>
          <w:szCs w:val="21"/>
        </w:rPr>
        <w:t>进行拨号上网。</w:t>
      </w:r>
    </w:p>
    <w:p w14:paraId="6B7373C2">
      <w:pPr>
        <w:pStyle w:val="73"/>
        <w:numPr>
          <w:ilvl w:val="3"/>
          <w:numId w:val="93"/>
        </w:numPr>
        <w:spacing w:line="360" w:lineRule="auto"/>
        <w:ind w:firstLineChars="0"/>
        <w:rPr>
          <w:rFonts w:hint="eastAsia" w:ascii="宋体" w:hAnsi="宋体" w:eastAsia="宋体" w:cs="Times New Roman"/>
          <w:szCs w:val="21"/>
        </w:rPr>
      </w:pPr>
      <w:r>
        <w:rPr>
          <w:rFonts w:hint="eastAsia" w:ascii="宋体" w:hAnsi="宋体" w:eastAsia="宋体" w:cs="Times New Roman"/>
          <w:szCs w:val="21"/>
        </w:rPr>
        <w:t>员工不允许向外面发送涉及公司秘密、机密和绝密的信息。</w:t>
      </w:r>
    </w:p>
    <w:p w14:paraId="472CC380">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8.2.4.8</w:t>
      </w:r>
      <w:r>
        <w:rPr>
          <w:rFonts w:hint="eastAsia" w:asciiTheme="majorHAnsi" w:hAnsiTheme="majorHAnsi" w:eastAsiaTheme="majorEastAsia" w:cstheme="majorBidi"/>
          <w:b/>
          <w:bCs/>
          <w:szCs w:val="28"/>
        </w:rPr>
        <w:t>数据安全管理</w:t>
      </w:r>
    </w:p>
    <w:p w14:paraId="1B54E03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1、数据存储安全管理</w:t>
      </w:r>
    </w:p>
    <w:p w14:paraId="222B5CB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数据存储介质包括</w:t>
      </w:r>
      <w:r>
        <w:rPr>
          <w:rFonts w:ascii="宋体" w:hAnsi="宋体" w:eastAsia="宋体" w:cs="Times New Roman"/>
          <w:szCs w:val="21"/>
        </w:rPr>
        <w:t>:</w:t>
      </w:r>
      <w:r>
        <w:rPr>
          <w:rFonts w:hint="eastAsia" w:ascii="宋体" w:hAnsi="宋体" w:eastAsia="宋体" w:cs="Times New Roman"/>
          <w:szCs w:val="21"/>
        </w:rPr>
        <w:t>纸质文档、语音或其录音、复写纸、输出报告、一次性打印机色带、软盘、硬盘、磁带、可以移动的磁盘或卡带、光存储介质</w:t>
      </w:r>
      <w:r>
        <w:rPr>
          <w:rFonts w:ascii="宋体" w:hAnsi="宋体" w:eastAsia="宋体" w:cs="Times New Roman"/>
          <w:szCs w:val="21"/>
        </w:rPr>
        <w:t>(</w:t>
      </w:r>
      <w:r>
        <w:rPr>
          <w:rFonts w:hint="eastAsia" w:ascii="宋体" w:hAnsi="宋体" w:eastAsia="宋体" w:cs="Times New Roman"/>
          <w:szCs w:val="21"/>
        </w:rPr>
        <w:t>所有形式的媒介，包括制造商的软件发布媒介</w:t>
      </w:r>
      <w:r>
        <w:rPr>
          <w:rFonts w:ascii="宋体" w:hAnsi="宋体" w:eastAsia="宋体" w:cs="Times New Roman"/>
          <w:szCs w:val="21"/>
        </w:rPr>
        <w:t>)</w:t>
      </w:r>
      <w:r>
        <w:rPr>
          <w:rFonts w:hint="eastAsia" w:ascii="宋体" w:hAnsi="宋体" w:eastAsia="宋体" w:cs="Times New Roman"/>
          <w:szCs w:val="21"/>
        </w:rPr>
        <w:t>。存储介质管理必须遵从以下规定</w:t>
      </w:r>
      <w:r>
        <w:rPr>
          <w:rFonts w:ascii="宋体" w:hAnsi="宋体" w:eastAsia="宋体" w:cs="Times New Roman"/>
          <w:szCs w:val="21"/>
        </w:rPr>
        <w:t>:</w:t>
      </w:r>
    </w:p>
    <w:p w14:paraId="749119DE">
      <w:pPr>
        <w:numPr>
          <w:ilvl w:val="0"/>
          <w:numId w:val="136"/>
        </w:numPr>
        <w:spacing w:line="360" w:lineRule="auto"/>
        <w:rPr>
          <w:rFonts w:hint="eastAsia" w:ascii="宋体" w:hAnsi="宋体" w:eastAsia="宋体" w:cs="Times New Roman"/>
          <w:szCs w:val="21"/>
        </w:rPr>
      </w:pPr>
      <w:r>
        <w:rPr>
          <w:rFonts w:hint="eastAsia" w:ascii="宋体" w:hAnsi="宋体" w:eastAsia="宋体" w:cs="Times New Roman"/>
          <w:szCs w:val="21"/>
        </w:rPr>
        <w:t>包含重要、敏感或关键数据的移动式存储介质不得无人值守，以免被盗。例如:物理方式锁闭。</w:t>
      </w:r>
    </w:p>
    <w:p w14:paraId="7D9A52BB">
      <w:pPr>
        <w:numPr>
          <w:ilvl w:val="0"/>
          <w:numId w:val="136"/>
        </w:numPr>
        <w:spacing w:line="360" w:lineRule="auto"/>
        <w:rPr>
          <w:rFonts w:hint="eastAsia" w:ascii="宋体" w:hAnsi="宋体" w:eastAsia="宋体" w:cs="Times New Roman"/>
          <w:szCs w:val="21"/>
        </w:rPr>
      </w:pPr>
      <w:r>
        <w:rPr>
          <w:rFonts w:hint="eastAsia" w:ascii="宋体" w:hAnsi="宋体" w:eastAsia="宋体" w:cs="Times New Roman"/>
          <w:szCs w:val="21"/>
        </w:rPr>
        <w:t>删除可重复使用的存储媒介中不再需要的数据。</w:t>
      </w:r>
    </w:p>
    <w:p w14:paraId="2464BE28">
      <w:pPr>
        <w:numPr>
          <w:ilvl w:val="0"/>
          <w:numId w:val="136"/>
        </w:numPr>
        <w:spacing w:line="360" w:lineRule="auto"/>
        <w:rPr>
          <w:rFonts w:hint="eastAsia" w:ascii="宋体" w:hAnsi="宋体" w:eastAsia="宋体" w:cs="Times New Roman"/>
          <w:szCs w:val="21"/>
        </w:rPr>
      </w:pPr>
      <w:r>
        <w:rPr>
          <w:rFonts w:hint="eastAsia" w:ascii="宋体" w:hAnsi="宋体" w:eastAsia="宋体" w:cs="Times New Roman"/>
          <w:szCs w:val="21"/>
        </w:rPr>
        <w:t>删除可重复使用存储介质上的机密及绝密数据时，为了避免在可移动介质上遗留信息，应该对介质进行消磁或彻底的格式化，或者使用专用的工具在存储区域填入无用的信息进行覆盖。</w:t>
      </w:r>
    </w:p>
    <w:p w14:paraId="47DFBF80">
      <w:pPr>
        <w:numPr>
          <w:ilvl w:val="0"/>
          <w:numId w:val="136"/>
        </w:numPr>
        <w:spacing w:line="360" w:lineRule="auto"/>
        <w:rPr>
          <w:rFonts w:hint="eastAsia" w:ascii="宋体" w:hAnsi="宋体" w:eastAsia="宋体" w:cs="Times New Roman"/>
          <w:szCs w:val="21"/>
        </w:rPr>
      </w:pPr>
      <w:r>
        <w:rPr>
          <w:rFonts w:hint="eastAsia" w:ascii="宋体" w:hAnsi="宋体" w:eastAsia="宋体" w:cs="Times New Roman"/>
          <w:szCs w:val="21"/>
        </w:rPr>
        <w:t>任何存储媒介带入和带出公司都需经过授权，并保留相应记录，方便审计跟踪。所有存储媒介都应遵照其制造商的规范保存。</w:t>
      </w:r>
    </w:p>
    <w:p w14:paraId="6DC26977">
      <w:pPr>
        <w:numPr>
          <w:ilvl w:val="0"/>
          <w:numId w:val="127"/>
        </w:numPr>
        <w:spacing w:line="360" w:lineRule="auto"/>
        <w:rPr>
          <w:rFonts w:hint="eastAsia" w:ascii="宋体" w:hAnsi="宋体" w:eastAsia="宋体" w:cs="Times New Roman"/>
          <w:szCs w:val="21"/>
        </w:rPr>
      </w:pPr>
      <w:r>
        <w:rPr>
          <w:rFonts w:hint="eastAsia" w:ascii="宋体" w:hAnsi="宋体" w:eastAsia="宋体" w:cs="Times New Roman"/>
          <w:szCs w:val="21"/>
        </w:rPr>
        <w:t>数据传输安全管理</w:t>
      </w:r>
    </w:p>
    <w:p w14:paraId="5654DD82">
      <w:pPr>
        <w:numPr>
          <w:ilvl w:val="0"/>
          <w:numId w:val="137"/>
        </w:numPr>
        <w:spacing w:line="360" w:lineRule="auto"/>
        <w:rPr>
          <w:rFonts w:hint="eastAsia" w:ascii="宋体" w:hAnsi="宋体" w:eastAsia="宋体" w:cs="Times New Roman"/>
          <w:szCs w:val="21"/>
        </w:rPr>
      </w:pPr>
      <w:r>
        <w:rPr>
          <w:rFonts w:hint="eastAsia" w:ascii="宋体" w:hAnsi="宋体" w:eastAsia="宋体" w:cs="Times New Roman"/>
          <w:szCs w:val="21"/>
        </w:rPr>
        <w:t>在对数据进行传输时，应该在风险评估的基础上采用合理的加密技术，选择和应用加密技术时，应该考虑以下因素</w:t>
      </w:r>
      <w:r>
        <w:rPr>
          <w:rFonts w:ascii="宋体" w:hAnsi="宋体" w:eastAsia="宋体" w:cs="Times New Roman"/>
          <w:szCs w:val="21"/>
        </w:rPr>
        <w:t>:</w:t>
      </w:r>
    </w:p>
    <w:p w14:paraId="10C2B7FE">
      <w:pPr>
        <w:numPr>
          <w:ilvl w:val="0"/>
          <w:numId w:val="138"/>
        </w:numPr>
        <w:spacing w:line="360" w:lineRule="auto"/>
        <w:rPr>
          <w:rFonts w:hint="eastAsia" w:ascii="宋体" w:hAnsi="宋体" w:eastAsia="宋体" w:cs="Times New Roman"/>
          <w:szCs w:val="21"/>
        </w:rPr>
      </w:pPr>
      <w:r>
        <w:rPr>
          <w:rFonts w:hint="eastAsia" w:ascii="宋体" w:hAnsi="宋体" w:eastAsia="宋体" w:cs="Times New Roman"/>
          <w:szCs w:val="21"/>
        </w:rPr>
        <w:t>必须符合国家有关加密技术的法律法规，包括使用和进出口限制;</w:t>
      </w:r>
    </w:p>
    <w:p w14:paraId="1919571B">
      <w:pPr>
        <w:numPr>
          <w:ilvl w:val="0"/>
          <w:numId w:val="138"/>
        </w:numPr>
        <w:spacing w:line="360" w:lineRule="auto"/>
        <w:rPr>
          <w:rFonts w:hint="eastAsia" w:ascii="宋体" w:hAnsi="宋体" w:eastAsia="宋体" w:cs="Times New Roman"/>
          <w:szCs w:val="21"/>
        </w:rPr>
      </w:pPr>
      <w:r>
        <w:rPr>
          <w:rFonts w:hint="eastAsia" w:ascii="宋体" w:hAnsi="宋体" w:eastAsia="宋体" w:cs="Times New Roman"/>
          <w:szCs w:val="21"/>
        </w:rPr>
        <w:t>根据风险评估确定保护级别，并以此确定加密算法的类型、属性，以及所用密钥的长度</w:t>
      </w:r>
      <w:r>
        <w:rPr>
          <w:rFonts w:ascii="宋体" w:hAnsi="宋体" w:eastAsia="宋体" w:cs="Times New Roman"/>
          <w:szCs w:val="21"/>
        </w:rPr>
        <w:t>;</w:t>
      </w:r>
    </w:p>
    <w:p w14:paraId="7C2F5363">
      <w:pPr>
        <w:numPr>
          <w:ilvl w:val="0"/>
          <w:numId w:val="138"/>
        </w:numPr>
        <w:spacing w:line="360" w:lineRule="auto"/>
        <w:rPr>
          <w:rFonts w:hint="eastAsia" w:ascii="宋体" w:hAnsi="宋体" w:eastAsia="宋体" w:cs="Times New Roman"/>
          <w:szCs w:val="21"/>
        </w:rPr>
      </w:pPr>
      <w:r>
        <w:rPr>
          <w:rFonts w:hint="eastAsia" w:ascii="宋体" w:hAnsi="宋体" w:eastAsia="宋体" w:cs="Times New Roman"/>
          <w:szCs w:val="21"/>
        </w:rPr>
        <w:t>听取专家的建议，确定合适的保护级别，选择能够提供所需保护的合适的产品，该产品应能实现安全的密钥管理。另外，还应听取与加密技术法律法规相关的法律建议。</w:t>
      </w:r>
    </w:p>
    <w:p w14:paraId="3E9F0017">
      <w:pPr>
        <w:numPr>
          <w:ilvl w:val="0"/>
          <w:numId w:val="137"/>
        </w:numPr>
        <w:spacing w:line="360" w:lineRule="auto"/>
        <w:rPr>
          <w:rFonts w:hint="eastAsia" w:ascii="宋体" w:hAnsi="宋体" w:eastAsia="宋体" w:cs="Times New Roman"/>
          <w:szCs w:val="21"/>
        </w:rPr>
      </w:pPr>
      <w:r>
        <w:rPr>
          <w:rFonts w:hint="eastAsia" w:ascii="宋体" w:hAnsi="宋体" w:eastAsia="宋体" w:cs="Times New Roman"/>
          <w:szCs w:val="21"/>
        </w:rPr>
        <w:t>机密和绝密信息在存储和传输时必须加密，加密方式可以分为</w:t>
      </w:r>
      <w:r>
        <w:rPr>
          <w:rFonts w:ascii="宋体" w:hAnsi="宋体" w:eastAsia="宋体" w:cs="Times New Roman"/>
          <w:szCs w:val="21"/>
        </w:rPr>
        <w:t>:</w:t>
      </w:r>
      <w:r>
        <w:rPr>
          <w:rFonts w:hint="eastAsia" w:ascii="宋体" w:hAnsi="宋体" w:eastAsia="宋体" w:cs="Times New Roman"/>
          <w:szCs w:val="21"/>
        </w:rPr>
        <w:t>对称加密和不对称加密。对称加密的密钥长度至少达到</w:t>
      </w:r>
      <w:r>
        <w:rPr>
          <w:rFonts w:ascii="宋体" w:hAnsi="宋体" w:eastAsia="宋体" w:cs="Times New Roman"/>
          <w:szCs w:val="21"/>
        </w:rPr>
        <w:t>128</w:t>
      </w:r>
      <w:r>
        <w:rPr>
          <w:rFonts w:hint="eastAsia" w:ascii="宋体" w:hAnsi="宋体" w:eastAsia="宋体" w:cs="Times New Roman"/>
          <w:szCs w:val="21"/>
        </w:rPr>
        <w:t>位，不对称加密算法密钥长度至少</w:t>
      </w:r>
      <w:r>
        <w:rPr>
          <w:rFonts w:ascii="宋体" w:hAnsi="宋体" w:eastAsia="宋体" w:cs="Times New Roman"/>
          <w:szCs w:val="21"/>
        </w:rPr>
        <w:t>1024</w:t>
      </w:r>
      <w:r>
        <w:rPr>
          <w:rFonts w:hint="eastAsia" w:ascii="宋体" w:hAnsi="宋体" w:eastAsia="宋体" w:cs="Times New Roman"/>
          <w:szCs w:val="21"/>
        </w:rPr>
        <w:t>位</w:t>
      </w:r>
      <w:r>
        <w:rPr>
          <w:rFonts w:ascii="宋体" w:hAnsi="宋体" w:eastAsia="宋体" w:cs="Times New Roman"/>
          <w:szCs w:val="21"/>
        </w:rPr>
        <w:t>(RSA</w:t>
      </w:r>
      <w:r>
        <w:rPr>
          <w:rFonts w:hint="eastAsia" w:ascii="宋体" w:hAnsi="宋体" w:eastAsia="宋体" w:cs="Times New Roman"/>
          <w:szCs w:val="21"/>
        </w:rPr>
        <w:t>算法</w:t>
      </w:r>
      <w:r>
        <w:rPr>
          <w:rFonts w:ascii="宋体" w:hAnsi="宋体" w:eastAsia="宋体" w:cs="Times New Roman"/>
          <w:szCs w:val="21"/>
        </w:rPr>
        <w:t>)</w:t>
      </w:r>
      <w:r>
        <w:rPr>
          <w:rFonts w:hint="eastAsia" w:ascii="宋体" w:hAnsi="宋体" w:eastAsia="宋体" w:cs="Times New Roman"/>
          <w:szCs w:val="21"/>
        </w:rPr>
        <w:t>。当环境不允许加密时</w:t>
      </w:r>
      <w:r>
        <w:rPr>
          <w:rFonts w:ascii="宋体" w:hAnsi="宋体" w:eastAsia="宋体" w:cs="Times New Roman"/>
          <w:szCs w:val="21"/>
        </w:rPr>
        <w:t>(</w:t>
      </w:r>
      <w:r>
        <w:rPr>
          <w:rFonts w:hint="eastAsia" w:ascii="宋体" w:hAnsi="宋体" w:eastAsia="宋体" w:cs="Times New Roman"/>
          <w:szCs w:val="21"/>
        </w:rPr>
        <w:t>例如法律禁止等</w:t>
      </w:r>
      <w:r>
        <w:rPr>
          <w:rFonts w:ascii="宋体" w:hAnsi="宋体" w:eastAsia="宋体" w:cs="Times New Roman"/>
          <w:szCs w:val="21"/>
        </w:rPr>
        <w:t>)</w:t>
      </w:r>
      <w:r>
        <w:rPr>
          <w:rFonts w:hint="eastAsia" w:ascii="宋体" w:hAnsi="宋体" w:eastAsia="宋体" w:cs="Times New Roman"/>
          <w:szCs w:val="21"/>
        </w:rPr>
        <w:t>，专用通信线路必须采用有线系统。数据压缩技术</w:t>
      </w:r>
      <w:r>
        <w:rPr>
          <w:rFonts w:ascii="宋体" w:hAnsi="宋体" w:eastAsia="宋体" w:cs="Times New Roman"/>
          <w:szCs w:val="21"/>
        </w:rPr>
        <w:t>(</w:t>
      </w:r>
      <w:r>
        <w:rPr>
          <w:rFonts w:hint="eastAsia" w:ascii="宋体" w:hAnsi="宋体" w:eastAsia="宋体" w:cs="Times New Roman"/>
          <w:szCs w:val="21"/>
        </w:rPr>
        <w:t>例如</w:t>
      </w:r>
      <w:r>
        <w:rPr>
          <w:rFonts w:ascii="宋体" w:hAnsi="宋体" w:eastAsia="宋体" w:cs="Times New Roman"/>
          <w:szCs w:val="21"/>
        </w:rPr>
        <w:t>WinZIP</w:t>
      </w:r>
      <w:r>
        <w:rPr>
          <w:rFonts w:hint="eastAsia" w:ascii="宋体" w:hAnsi="宋体" w:eastAsia="宋体" w:cs="Times New Roman"/>
          <w:szCs w:val="21"/>
        </w:rPr>
        <w:t>等</w:t>
      </w:r>
      <w:r>
        <w:rPr>
          <w:rFonts w:ascii="宋体" w:hAnsi="宋体" w:eastAsia="宋体" w:cs="Times New Roman"/>
          <w:szCs w:val="21"/>
        </w:rPr>
        <w:t>)</w:t>
      </w:r>
      <w:r>
        <w:rPr>
          <w:rFonts w:hint="eastAsia" w:ascii="宋体" w:hAnsi="宋体" w:eastAsia="宋体" w:cs="Times New Roman"/>
          <w:szCs w:val="21"/>
        </w:rPr>
        <w:t>不得代替安全手段。</w:t>
      </w:r>
    </w:p>
    <w:p w14:paraId="74D34765">
      <w:pPr>
        <w:numPr>
          <w:ilvl w:val="0"/>
          <w:numId w:val="137"/>
        </w:numPr>
        <w:spacing w:line="360" w:lineRule="auto"/>
        <w:rPr>
          <w:rFonts w:hint="eastAsia" w:ascii="宋体" w:hAnsi="宋体" w:eastAsia="宋体" w:cs="Times New Roman"/>
          <w:szCs w:val="21"/>
        </w:rPr>
      </w:pPr>
      <w:r>
        <w:rPr>
          <w:rFonts w:hint="eastAsia" w:ascii="宋体" w:hAnsi="宋体" w:eastAsia="宋体" w:cs="Times New Roman"/>
          <w:szCs w:val="21"/>
        </w:rPr>
        <w:t>机密和绝密数据的传输过程中必须使用数字签名以确保信息的不可否认性，使用数字签名时应该注意以下事项</w:t>
      </w:r>
      <w:r>
        <w:rPr>
          <w:rFonts w:ascii="宋体" w:hAnsi="宋体" w:eastAsia="宋体" w:cs="Times New Roman"/>
          <w:szCs w:val="21"/>
        </w:rPr>
        <w:t>:</w:t>
      </w:r>
    </w:p>
    <w:p w14:paraId="6866F41C">
      <w:pPr>
        <w:numPr>
          <w:ilvl w:val="0"/>
          <w:numId w:val="139"/>
        </w:numPr>
        <w:spacing w:line="360" w:lineRule="auto"/>
        <w:rPr>
          <w:rFonts w:hint="eastAsia" w:ascii="宋体" w:hAnsi="宋体" w:eastAsia="宋体" w:cs="Times New Roman"/>
          <w:szCs w:val="21"/>
        </w:rPr>
      </w:pPr>
      <w:r>
        <w:rPr>
          <w:rFonts w:hint="eastAsia" w:ascii="宋体" w:hAnsi="宋体" w:eastAsia="宋体" w:cs="Times New Roman"/>
          <w:szCs w:val="21"/>
        </w:rPr>
        <w:t>充分保护私钥的机密性，防止窃取者伪造密钥持有人的签名;</w:t>
      </w:r>
    </w:p>
    <w:p w14:paraId="50AFD147">
      <w:pPr>
        <w:numPr>
          <w:ilvl w:val="0"/>
          <w:numId w:val="139"/>
        </w:numPr>
        <w:spacing w:line="360" w:lineRule="auto"/>
        <w:rPr>
          <w:rFonts w:hint="eastAsia" w:ascii="宋体" w:hAnsi="宋体" w:eastAsia="宋体" w:cs="Times New Roman"/>
          <w:szCs w:val="21"/>
        </w:rPr>
      </w:pPr>
      <w:r>
        <w:rPr>
          <w:rFonts w:hint="eastAsia" w:ascii="宋体" w:hAnsi="宋体" w:eastAsia="宋体" w:cs="Times New Roman"/>
          <w:szCs w:val="21"/>
        </w:rPr>
        <w:t>采取保护公钥完整性的安全措施，例如使用公钥证书;</w:t>
      </w:r>
    </w:p>
    <w:p w14:paraId="03FC7B58">
      <w:pPr>
        <w:numPr>
          <w:ilvl w:val="0"/>
          <w:numId w:val="139"/>
        </w:numPr>
        <w:spacing w:line="360" w:lineRule="auto"/>
        <w:rPr>
          <w:rFonts w:hint="eastAsia" w:ascii="宋体" w:hAnsi="宋体" w:eastAsia="宋体" w:cs="Times New Roman"/>
          <w:szCs w:val="21"/>
        </w:rPr>
      </w:pPr>
      <w:r>
        <w:rPr>
          <w:rFonts w:hint="eastAsia" w:ascii="宋体" w:hAnsi="宋体" w:eastAsia="宋体" w:cs="Times New Roman"/>
          <w:szCs w:val="21"/>
        </w:rPr>
        <w:t>确定签名算法的类型、属性以及所用密钥长度;</w:t>
      </w:r>
    </w:p>
    <w:p w14:paraId="08149DB0">
      <w:pPr>
        <w:numPr>
          <w:ilvl w:val="0"/>
          <w:numId w:val="139"/>
        </w:numPr>
        <w:spacing w:line="360" w:lineRule="auto"/>
        <w:rPr>
          <w:rFonts w:hint="eastAsia" w:ascii="宋体" w:hAnsi="宋体" w:eastAsia="宋体" w:cs="Times New Roman"/>
          <w:szCs w:val="21"/>
        </w:rPr>
      </w:pPr>
      <w:r>
        <w:rPr>
          <w:rFonts w:hint="eastAsia" w:ascii="宋体" w:hAnsi="宋体" w:eastAsia="宋体" w:cs="Times New Roman"/>
          <w:szCs w:val="21"/>
        </w:rPr>
        <w:t>用于数字签名的密钥应不同于用来加密内容的密钥;</w:t>
      </w:r>
    </w:p>
    <w:p w14:paraId="19F21DB1">
      <w:pPr>
        <w:numPr>
          <w:ilvl w:val="0"/>
          <w:numId w:val="139"/>
        </w:numPr>
        <w:spacing w:line="360" w:lineRule="auto"/>
        <w:rPr>
          <w:rFonts w:hint="eastAsia" w:ascii="宋体" w:hAnsi="宋体" w:eastAsia="宋体" w:cs="Times New Roman"/>
          <w:szCs w:val="21"/>
        </w:rPr>
      </w:pPr>
      <w:r>
        <w:rPr>
          <w:rFonts w:hint="eastAsia" w:ascii="宋体" w:hAnsi="宋体" w:eastAsia="宋体" w:cs="Times New Roman"/>
          <w:szCs w:val="21"/>
        </w:rPr>
        <w:t>符合有关数字签名的法律法规。必要时，应在合同或协议中规定使用数字签名的相关事宜。</w:t>
      </w:r>
    </w:p>
    <w:p w14:paraId="7869BDF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、数据安全等级的变更</w:t>
      </w:r>
    </w:p>
    <w:p w14:paraId="0BAA263F">
      <w:pPr>
        <w:numPr>
          <w:ilvl w:val="0"/>
          <w:numId w:val="140"/>
        </w:numPr>
        <w:spacing w:line="360" w:lineRule="auto"/>
        <w:rPr>
          <w:rFonts w:hint="eastAsia" w:ascii="宋体" w:hAnsi="宋体" w:eastAsia="宋体" w:cs="Times New Roman"/>
          <w:szCs w:val="21"/>
        </w:rPr>
      </w:pPr>
      <w:r>
        <w:rPr>
          <w:rFonts w:hint="eastAsia" w:ascii="宋体" w:hAnsi="宋体" w:eastAsia="宋体" w:cs="Times New Roman"/>
          <w:szCs w:val="21"/>
        </w:rPr>
        <w:t>数据资产安全等级经常需要变更，一般地，数据资产安全等级变更需要由数据资产的所有者进行，然后改变相应的分类并通知相关的人员。另外，可以采用自动化降低安全等级方式，按照年限自动递减密级。</w:t>
      </w:r>
    </w:p>
    <w:p w14:paraId="1989ED45">
      <w:pPr>
        <w:numPr>
          <w:ilvl w:val="0"/>
          <w:numId w:val="140"/>
        </w:numPr>
        <w:spacing w:line="360" w:lineRule="auto"/>
        <w:rPr>
          <w:rFonts w:hint="eastAsia" w:ascii="宋体" w:hAnsi="宋体" w:eastAsia="宋体" w:cs="Times New Roman"/>
          <w:szCs w:val="21"/>
        </w:rPr>
      </w:pPr>
      <w:r>
        <w:rPr>
          <w:rFonts w:hint="eastAsia" w:ascii="宋体" w:hAnsi="宋体" w:eastAsia="宋体" w:cs="Times New Roman"/>
          <w:szCs w:val="21"/>
        </w:rPr>
        <w:t>对于数据资产的安全等级，每年需要进行评审，只要实际情况允许，就进行数据资产安全等级递减过程，这样可以降低数据防护的成本，并增加数据访问的方便性。</w:t>
      </w:r>
    </w:p>
    <w:p w14:paraId="5B60344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4、数据备份和恢复</w:t>
      </w:r>
    </w:p>
    <w:p w14:paraId="14C16055">
      <w:pPr>
        <w:numPr>
          <w:ilvl w:val="0"/>
          <w:numId w:val="141"/>
        </w:numPr>
        <w:spacing w:line="360" w:lineRule="auto"/>
        <w:rPr>
          <w:rFonts w:hint="eastAsia" w:ascii="宋体" w:hAnsi="宋体" w:eastAsia="宋体" w:cs="Times New Roman"/>
          <w:szCs w:val="21"/>
        </w:rPr>
      </w:pPr>
      <w:r>
        <w:rPr>
          <w:rFonts w:hint="eastAsia" w:ascii="宋体" w:hAnsi="宋体" w:eastAsia="宋体" w:cs="Times New Roman"/>
          <w:szCs w:val="21"/>
        </w:rPr>
        <w:t>必须根据数据的等级制定备份策略。备份策略应包含系统和数据的名称、备份的频率和类型</w:t>
      </w:r>
      <w:r>
        <w:rPr>
          <w:rFonts w:ascii="宋体" w:hAnsi="宋体" w:eastAsia="宋体" w:cs="Times New Roman"/>
          <w:szCs w:val="21"/>
        </w:rPr>
        <w:t>(</w:t>
      </w:r>
      <w:r>
        <w:rPr>
          <w:rFonts w:hint="eastAsia" w:ascii="宋体" w:hAnsi="宋体" w:eastAsia="宋体" w:cs="Times New Roman"/>
          <w:szCs w:val="21"/>
        </w:rPr>
        <w:t>全部备份</w:t>
      </w:r>
      <w:r>
        <w:rPr>
          <w:rFonts w:ascii="宋体" w:hAnsi="宋体" w:eastAsia="宋体" w:cs="Times New Roman"/>
          <w:szCs w:val="21"/>
        </w:rPr>
        <w:t>/</w:t>
      </w:r>
      <w:r>
        <w:rPr>
          <w:rFonts w:hint="eastAsia" w:ascii="宋体" w:hAnsi="宋体" w:eastAsia="宋体" w:cs="Times New Roman"/>
          <w:szCs w:val="21"/>
        </w:rPr>
        <w:t>差异备份等，以及备份媒介类型和所用备份软件、异地存放周期以及制定备份方案的决策原则等。备份操作应尽量在不影响业务的时间段里，严格遵照备份策略执行。重要的业务数据应至少保留三个版本或三个备份周期的备份信息，备份信息应包含完整的备份记录、备份拷贝、恢复程序文档和清单。</w:t>
      </w:r>
    </w:p>
    <w:p w14:paraId="599951A1">
      <w:pPr>
        <w:numPr>
          <w:ilvl w:val="0"/>
          <w:numId w:val="141"/>
        </w:numPr>
        <w:spacing w:line="360" w:lineRule="auto"/>
        <w:rPr>
          <w:rFonts w:hint="eastAsia" w:ascii="宋体" w:hAnsi="宋体" w:eastAsia="宋体" w:cs="Times New Roman"/>
          <w:szCs w:val="21"/>
        </w:rPr>
      </w:pPr>
      <w:r>
        <w:rPr>
          <w:rFonts w:hint="eastAsia" w:ascii="宋体" w:hAnsi="宋体" w:eastAsia="宋体" w:cs="Times New Roman"/>
          <w:szCs w:val="21"/>
        </w:rPr>
        <w:t>为尽快恢复故障，应在本地</w:t>
      </w:r>
      <w:r>
        <w:rPr>
          <w:rFonts w:ascii="宋体" w:hAnsi="宋体" w:eastAsia="宋体" w:cs="Times New Roman"/>
          <w:szCs w:val="21"/>
        </w:rPr>
        <w:t>(</w:t>
      </w:r>
      <w:r>
        <w:rPr>
          <w:rFonts w:hint="eastAsia" w:ascii="宋体" w:hAnsi="宋体" w:eastAsia="宋体" w:cs="Times New Roman"/>
          <w:szCs w:val="21"/>
        </w:rPr>
        <w:t>主场所</w:t>
      </w:r>
      <w:r>
        <w:rPr>
          <w:rFonts w:ascii="宋体" w:hAnsi="宋体" w:eastAsia="宋体" w:cs="Times New Roman"/>
          <w:szCs w:val="21"/>
        </w:rPr>
        <w:t>)</w:t>
      </w:r>
      <w:r>
        <w:rPr>
          <w:rFonts w:hint="eastAsia" w:ascii="宋体" w:hAnsi="宋体" w:eastAsia="宋体" w:cs="Times New Roman"/>
          <w:szCs w:val="21"/>
        </w:rPr>
        <w:t>保留备份信息，同时为了避免主场所的灾难所导致的破坏，还应做好异地备份。应为备份信息指定与主场所一致的物理和环境保护级别，主场所所采用的媒介控制措施应当扩展涵盖备用场所。</w:t>
      </w:r>
    </w:p>
    <w:p w14:paraId="69DD6288">
      <w:pPr>
        <w:numPr>
          <w:ilvl w:val="0"/>
          <w:numId w:val="141"/>
        </w:numPr>
        <w:spacing w:line="360" w:lineRule="auto"/>
        <w:rPr>
          <w:rFonts w:hint="eastAsia" w:ascii="宋体" w:hAnsi="宋体" w:eastAsia="宋体" w:cs="Times New Roman"/>
          <w:szCs w:val="21"/>
        </w:rPr>
      </w:pPr>
      <w:r>
        <w:rPr>
          <w:rFonts w:hint="eastAsia" w:ascii="宋体" w:hAnsi="宋体" w:eastAsia="宋体" w:cs="Times New Roman"/>
          <w:szCs w:val="21"/>
        </w:rPr>
        <w:t>应尽可能地定期检查和测试备份信息，保持其可用性和完整性，并确保在规定的时间内恢复系统。</w:t>
      </w:r>
    </w:p>
    <w:p w14:paraId="6D19DB7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5、密钥安全</w:t>
      </w:r>
    </w:p>
    <w:p w14:paraId="140538D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密钥管理对于有效使用密码技术至关重要。密钥的丢失和泄露可能会损害信息的机密性、真实性和完整性。因此，应采取加密技术等措施来有效保护密钥，以免密钥被非法修改和破坏</w:t>
      </w:r>
      <w:r>
        <w:rPr>
          <w:rFonts w:ascii="宋体" w:hAnsi="宋体" w:eastAsia="宋体" w:cs="Times New Roman"/>
          <w:szCs w:val="21"/>
        </w:rPr>
        <w:t>;</w:t>
      </w:r>
      <w:r>
        <w:rPr>
          <w:rFonts w:hint="eastAsia" w:ascii="宋体" w:hAnsi="宋体" w:eastAsia="宋体" w:cs="Times New Roman"/>
          <w:szCs w:val="21"/>
        </w:rPr>
        <w:t>还应对生成、存储和归档保存密钥的设备采取物理保护。此外，必须使用经过安全部门批准的加密机制进行密钥分发，并记录密钥的分发过程，以便审计跟踪。</w:t>
      </w:r>
    </w:p>
    <w:p w14:paraId="2761D35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密钥的管理应该基于以下流程</w:t>
      </w:r>
      <w:r>
        <w:rPr>
          <w:rFonts w:ascii="宋体" w:hAnsi="宋体" w:eastAsia="宋体" w:cs="Times New Roman"/>
          <w:szCs w:val="21"/>
        </w:rPr>
        <w:t>:</w:t>
      </w:r>
    </w:p>
    <w:p w14:paraId="6EF57E87">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密钥产生</w:t>
      </w:r>
      <w:r>
        <w:rPr>
          <w:rFonts w:ascii="宋体" w:hAnsi="宋体" w:eastAsia="宋体" w:cs="Times New Roman"/>
          <w:szCs w:val="21"/>
        </w:rPr>
        <w:t>:</w:t>
      </w:r>
      <w:r>
        <w:rPr>
          <w:rFonts w:hint="eastAsia" w:ascii="宋体" w:hAnsi="宋体" w:eastAsia="宋体" w:cs="Times New Roman"/>
          <w:szCs w:val="21"/>
        </w:rPr>
        <w:t>为不同的密码系统和不同的应用生成密钥</w:t>
      </w:r>
      <w:r>
        <w:rPr>
          <w:rFonts w:ascii="宋体" w:hAnsi="宋体" w:eastAsia="宋体" w:cs="Times New Roman"/>
          <w:szCs w:val="21"/>
        </w:rPr>
        <w:t>;</w:t>
      </w:r>
    </w:p>
    <w:p w14:paraId="5B03FDA6">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密钥证书</w:t>
      </w:r>
      <w:r>
        <w:rPr>
          <w:rFonts w:ascii="宋体" w:hAnsi="宋体" w:eastAsia="宋体" w:cs="Times New Roman"/>
          <w:szCs w:val="21"/>
        </w:rPr>
        <w:t>:</w:t>
      </w:r>
      <w:r>
        <w:rPr>
          <w:rFonts w:hint="eastAsia" w:ascii="宋体" w:hAnsi="宋体" w:eastAsia="宋体" w:cs="Times New Roman"/>
          <w:szCs w:val="21"/>
        </w:rPr>
        <w:t>生成并获取密钥证书</w:t>
      </w:r>
      <w:r>
        <w:rPr>
          <w:rFonts w:ascii="宋体" w:hAnsi="宋体" w:eastAsia="宋体" w:cs="Times New Roman"/>
          <w:szCs w:val="21"/>
        </w:rPr>
        <w:t>;</w:t>
      </w:r>
    </w:p>
    <w:p w14:paraId="4326A5D7">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密钥分发</w:t>
      </w:r>
      <w:r>
        <w:rPr>
          <w:rFonts w:ascii="宋体" w:hAnsi="宋体" w:eastAsia="宋体" w:cs="Times New Roman"/>
          <w:szCs w:val="21"/>
        </w:rPr>
        <w:t>:</w:t>
      </w:r>
      <w:r>
        <w:rPr>
          <w:rFonts w:hint="eastAsia" w:ascii="宋体" w:hAnsi="宋体" w:eastAsia="宋体" w:cs="Times New Roman"/>
          <w:szCs w:val="21"/>
        </w:rPr>
        <w:t>向目标用户分发密钥，包括在收到密钥时如何将之激活</w:t>
      </w:r>
      <w:r>
        <w:rPr>
          <w:rFonts w:ascii="宋体" w:hAnsi="宋体" w:eastAsia="宋体" w:cs="Times New Roman"/>
          <w:szCs w:val="21"/>
        </w:rPr>
        <w:t>;</w:t>
      </w:r>
    </w:p>
    <w:p w14:paraId="3CB50F75">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密钥存储</w:t>
      </w:r>
      <w:r>
        <w:rPr>
          <w:rFonts w:ascii="宋体" w:hAnsi="宋体" w:eastAsia="宋体" w:cs="Times New Roman"/>
          <w:szCs w:val="21"/>
        </w:rPr>
        <w:t>:</w:t>
      </w:r>
      <w:r>
        <w:rPr>
          <w:rFonts w:hint="eastAsia" w:ascii="宋体" w:hAnsi="宋体" w:eastAsia="宋体" w:cs="Times New Roman"/>
          <w:szCs w:val="21"/>
        </w:rPr>
        <w:t>为当前或近期使用的密钥或备份密钥提供安全存储，包括授权用户如何访问密钥</w:t>
      </w:r>
      <w:r>
        <w:rPr>
          <w:rFonts w:ascii="宋体" w:hAnsi="宋体" w:eastAsia="宋体" w:cs="Times New Roman"/>
          <w:szCs w:val="21"/>
        </w:rPr>
        <w:t>;</w:t>
      </w:r>
    </w:p>
    <w:p w14:paraId="091ED9FE">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密钥变更</w:t>
      </w:r>
      <w:r>
        <w:rPr>
          <w:rFonts w:ascii="宋体" w:hAnsi="宋体" w:eastAsia="宋体" w:cs="Times New Roman"/>
          <w:szCs w:val="21"/>
        </w:rPr>
        <w:t>:</w:t>
      </w:r>
      <w:r>
        <w:rPr>
          <w:rFonts w:hint="eastAsia" w:ascii="宋体" w:hAnsi="宋体" w:eastAsia="宋体" w:cs="Times New Roman"/>
          <w:szCs w:val="21"/>
        </w:rPr>
        <w:t>包括密钥变更时机及变更规则，处置被泄露的密钥</w:t>
      </w:r>
      <w:r>
        <w:rPr>
          <w:rFonts w:ascii="宋体" w:hAnsi="宋体" w:eastAsia="宋体" w:cs="Times New Roman"/>
          <w:szCs w:val="21"/>
        </w:rPr>
        <w:t>;</w:t>
      </w:r>
    </w:p>
    <w:p w14:paraId="7F9D9A9E">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密钥撤销</w:t>
      </w:r>
      <w:r>
        <w:rPr>
          <w:rFonts w:ascii="宋体" w:hAnsi="宋体" w:eastAsia="宋体" w:cs="Times New Roman"/>
          <w:szCs w:val="21"/>
        </w:rPr>
        <w:t>:</w:t>
      </w:r>
      <w:r>
        <w:rPr>
          <w:rFonts w:hint="eastAsia" w:ascii="宋体" w:hAnsi="宋体" w:eastAsia="宋体" w:cs="Times New Roman"/>
          <w:szCs w:val="21"/>
        </w:rPr>
        <w:t>包括如何收回或者去激活密钥，如在密钥已被泄露时或者用户离开公司时</w:t>
      </w:r>
      <w:r>
        <w:rPr>
          <w:rFonts w:ascii="宋体" w:hAnsi="宋体" w:eastAsia="宋体" w:cs="Times New Roman"/>
          <w:szCs w:val="21"/>
        </w:rPr>
        <w:t>(</w:t>
      </w:r>
      <w:r>
        <w:rPr>
          <w:rFonts w:hint="eastAsia" w:ascii="宋体" w:hAnsi="宋体" w:eastAsia="宋体" w:cs="Times New Roman"/>
          <w:szCs w:val="21"/>
        </w:rPr>
        <w:t>在这种情况下，应当归档密钥</w:t>
      </w:r>
      <w:r>
        <w:rPr>
          <w:rFonts w:ascii="宋体" w:hAnsi="宋体" w:eastAsia="宋体" w:cs="Times New Roman"/>
          <w:szCs w:val="21"/>
        </w:rPr>
        <w:t>);</w:t>
      </w:r>
    </w:p>
    <w:p w14:paraId="5C41AC30">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密钥恢复</w:t>
      </w:r>
      <w:r>
        <w:rPr>
          <w:rFonts w:ascii="宋体" w:hAnsi="宋体" w:eastAsia="宋体" w:cs="Times New Roman"/>
          <w:szCs w:val="21"/>
        </w:rPr>
        <w:t>:</w:t>
      </w:r>
      <w:r>
        <w:rPr>
          <w:rFonts w:hint="eastAsia" w:ascii="宋体" w:hAnsi="宋体" w:eastAsia="宋体" w:cs="Times New Roman"/>
          <w:szCs w:val="21"/>
        </w:rPr>
        <w:t>作为业务连续性管理的一部分，对丢失或破坏的密钥进行恢复，如恢复加密信息</w:t>
      </w:r>
      <w:r>
        <w:rPr>
          <w:rFonts w:ascii="宋体" w:hAnsi="宋体" w:eastAsia="宋体" w:cs="Times New Roman"/>
          <w:szCs w:val="21"/>
        </w:rPr>
        <w:t>;</w:t>
      </w:r>
    </w:p>
    <w:p w14:paraId="5E7792F7">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密钥归档</w:t>
      </w:r>
      <w:r>
        <w:rPr>
          <w:rFonts w:ascii="宋体" w:hAnsi="宋体" w:eastAsia="宋体" w:cs="Times New Roman"/>
          <w:szCs w:val="21"/>
        </w:rPr>
        <w:t>:</w:t>
      </w:r>
      <w:r>
        <w:rPr>
          <w:rFonts w:hint="eastAsia" w:ascii="宋体" w:hAnsi="宋体" w:eastAsia="宋体" w:cs="Times New Roman"/>
          <w:szCs w:val="21"/>
        </w:rPr>
        <w:t>归档密钥，以用于归档或备份的信息</w:t>
      </w:r>
      <w:r>
        <w:rPr>
          <w:rFonts w:ascii="宋体" w:hAnsi="宋体" w:eastAsia="宋体" w:cs="Times New Roman"/>
          <w:szCs w:val="21"/>
        </w:rPr>
        <w:t>;</w:t>
      </w:r>
    </w:p>
    <w:p w14:paraId="2C4DEC4B">
      <w:pPr>
        <w:numPr>
          <w:ilvl w:val="0"/>
          <w:numId w:val="142"/>
        </w:numPr>
        <w:spacing w:line="360" w:lineRule="auto"/>
        <w:rPr>
          <w:rFonts w:hint="eastAsia" w:ascii="宋体" w:hAnsi="宋体" w:eastAsia="宋体" w:cs="Times New Roman"/>
          <w:szCs w:val="21"/>
        </w:rPr>
      </w:pPr>
      <w:r>
        <w:rPr>
          <w:rFonts w:hint="eastAsia" w:ascii="宋体" w:hAnsi="宋体" w:eastAsia="宋体" w:cs="Times New Roman"/>
          <w:szCs w:val="21"/>
        </w:rPr>
        <w:t>密钥销毁</w:t>
      </w:r>
      <w:r>
        <w:rPr>
          <w:rFonts w:ascii="宋体" w:hAnsi="宋体" w:eastAsia="宋体" w:cs="Times New Roman"/>
          <w:szCs w:val="21"/>
        </w:rPr>
        <w:t>:</w:t>
      </w:r>
      <w:r>
        <w:rPr>
          <w:rFonts w:hint="eastAsia" w:ascii="宋体" w:hAnsi="宋体" w:eastAsia="宋体" w:cs="Times New Roman"/>
          <w:szCs w:val="21"/>
        </w:rPr>
        <w:t>密钥销毁将删除该密钥管理信息客体的所有记录，将无法恢复，因此，在密钥销毁前，应确认由此密钥保护的数据不再需要。</w:t>
      </w:r>
    </w:p>
    <w:p w14:paraId="446EB590">
      <w:pPr>
        <w:pStyle w:val="6"/>
        <w:spacing w:before="260" w:after="260" w:line="416" w:lineRule="auto"/>
        <w:jc w:val="both"/>
        <w:rPr>
          <w:rFonts w:hint="eastAsia" w:ascii="宋体" w:hAnsi="宋体" w:cstheme="majorBidi"/>
          <w:szCs w:val="24"/>
        </w:rPr>
      </w:pPr>
      <w:bookmarkStart w:id="357" w:name="_Toc180265729"/>
      <w:r>
        <w:rPr>
          <w:rFonts w:hint="eastAsia" w:ascii="宋体" w:hAnsi="宋体" w:cstheme="majorBidi"/>
          <w:szCs w:val="24"/>
        </w:rPr>
        <w:t>运维服务内容</w:t>
      </w:r>
      <w:bookmarkEnd w:id="357"/>
    </w:p>
    <w:p w14:paraId="6638379E">
      <w:pPr>
        <w:spacing w:line="360" w:lineRule="auto"/>
        <w:ind w:firstLine="420" w:firstLineChars="200"/>
        <w:jc w:val="left"/>
        <w:rPr>
          <w:rFonts w:hint="eastAsia" w:ascii="宋体" w:hAnsi="宋体" w:cs="宋体"/>
          <w:szCs w:val="21"/>
        </w:rPr>
      </w:pPr>
      <w:r>
        <w:rPr>
          <w:rFonts w:hint="eastAsia" w:ascii="宋体" w:hAnsi="宋体" w:cs="宋体"/>
          <w:szCs w:val="21"/>
        </w:rPr>
        <w:t>我司承诺提供下列运维服务，运维期内的服务要求包括但不限于：</w:t>
      </w:r>
    </w:p>
    <w:p w14:paraId="15BA8E3B">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系统升级服务：维护期内，供保证系统正常稳定运行或满足采购相关的国家法律法规、政策变化的系统扩充、版本更新升级服务、必要的相关应用系统改造支持和其它现场技术支持服务。</w:t>
      </w:r>
    </w:p>
    <w:p w14:paraId="30EF1B24">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系统优化服务：提出改进系统性能的各项建议，包括系统资源分配与效率改进建议、软件配置规划和性能优化建议、系统容量预测建议等，并进行实施。</w:t>
      </w:r>
    </w:p>
    <w:p w14:paraId="5FF10646">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咨询服务：提供系统应用和维护技术等咨询服务。</w:t>
      </w:r>
    </w:p>
    <w:p w14:paraId="3C8A8F3C">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报表服务：各标段中标人应根据相关业务部门要求，协助业务部门完成相关报表的制作。</w:t>
      </w:r>
    </w:p>
    <w:p w14:paraId="2AA5C88A">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响应服务：保证招标人可以得到7*24的实时业务和技术支持响应，根据故障级别，响应要求如下：</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4074"/>
        <w:gridCol w:w="3059"/>
      </w:tblGrid>
      <w:tr w14:paraId="5A7E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350B2482">
            <w:pPr>
              <w:spacing w:line="360" w:lineRule="auto"/>
              <w:jc w:val="center"/>
              <w:rPr>
                <w:rFonts w:hint="eastAsia" w:ascii="宋体" w:hAnsi="宋体" w:cs="宋体"/>
                <w:b/>
                <w:bCs/>
                <w:szCs w:val="21"/>
              </w:rPr>
            </w:pPr>
            <w:r>
              <w:rPr>
                <w:rFonts w:hint="eastAsia" w:ascii="宋体" w:hAnsi="宋体" w:cs="宋体"/>
                <w:b/>
                <w:bCs/>
                <w:szCs w:val="21"/>
              </w:rPr>
              <w:t>故障级别</w:t>
            </w:r>
          </w:p>
        </w:tc>
        <w:tc>
          <w:tcPr>
            <w:tcW w:w="2390" w:type="pct"/>
            <w:tcBorders>
              <w:top w:val="single" w:color="auto" w:sz="4" w:space="0"/>
              <w:left w:val="nil"/>
              <w:bottom w:val="single" w:color="auto" w:sz="4" w:space="0"/>
              <w:right w:val="single" w:color="auto" w:sz="4" w:space="0"/>
            </w:tcBorders>
            <w:vAlign w:val="center"/>
          </w:tcPr>
          <w:p w14:paraId="078468EB">
            <w:pPr>
              <w:spacing w:line="360" w:lineRule="auto"/>
              <w:jc w:val="center"/>
              <w:rPr>
                <w:rFonts w:hint="eastAsia" w:ascii="宋体" w:hAnsi="宋体" w:cs="宋体"/>
                <w:b/>
                <w:bCs/>
                <w:szCs w:val="21"/>
              </w:rPr>
            </w:pPr>
            <w:r>
              <w:rPr>
                <w:rFonts w:hint="eastAsia" w:ascii="宋体" w:hAnsi="宋体" w:cs="宋体"/>
                <w:b/>
                <w:bCs/>
                <w:szCs w:val="21"/>
              </w:rPr>
              <w:t>故障描述</w:t>
            </w:r>
          </w:p>
        </w:tc>
        <w:tc>
          <w:tcPr>
            <w:tcW w:w="1795" w:type="pct"/>
            <w:tcBorders>
              <w:top w:val="single" w:color="auto" w:sz="4" w:space="0"/>
              <w:left w:val="nil"/>
              <w:bottom w:val="single" w:color="auto" w:sz="4" w:space="0"/>
              <w:right w:val="single" w:color="auto" w:sz="4" w:space="0"/>
            </w:tcBorders>
            <w:vAlign w:val="center"/>
          </w:tcPr>
          <w:p w14:paraId="7DB9C31A">
            <w:pPr>
              <w:spacing w:line="360" w:lineRule="auto"/>
              <w:jc w:val="center"/>
              <w:rPr>
                <w:rFonts w:hint="eastAsia" w:ascii="宋体" w:hAnsi="宋体" w:cs="宋体"/>
                <w:b/>
                <w:bCs/>
                <w:szCs w:val="21"/>
              </w:rPr>
            </w:pPr>
            <w:r>
              <w:rPr>
                <w:rFonts w:hint="eastAsia" w:ascii="宋体" w:hAnsi="宋体" w:cs="宋体"/>
                <w:b/>
                <w:bCs/>
                <w:szCs w:val="21"/>
              </w:rPr>
              <w:t>处理时间</w:t>
            </w:r>
          </w:p>
        </w:tc>
      </w:tr>
      <w:tr w14:paraId="2C16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4C42F09A">
            <w:pPr>
              <w:spacing w:line="360" w:lineRule="auto"/>
              <w:jc w:val="center"/>
              <w:rPr>
                <w:rFonts w:hint="eastAsia" w:ascii="宋体" w:hAnsi="宋体" w:cs="宋体"/>
                <w:szCs w:val="21"/>
              </w:rPr>
            </w:pPr>
            <w:r>
              <w:rPr>
                <w:rFonts w:hint="eastAsia" w:ascii="宋体" w:hAnsi="宋体" w:cs="宋体"/>
                <w:szCs w:val="21"/>
              </w:rPr>
              <w:t>一级</w:t>
            </w:r>
          </w:p>
        </w:tc>
        <w:tc>
          <w:tcPr>
            <w:tcW w:w="2390" w:type="pct"/>
            <w:tcBorders>
              <w:top w:val="single" w:color="auto" w:sz="4" w:space="0"/>
              <w:left w:val="nil"/>
              <w:bottom w:val="single" w:color="auto" w:sz="4" w:space="0"/>
              <w:right w:val="single" w:color="auto" w:sz="4" w:space="0"/>
            </w:tcBorders>
            <w:vAlign w:val="center"/>
          </w:tcPr>
          <w:p w14:paraId="3F151DB6">
            <w:pPr>
              <w:spacing w:line="360" w:lineRule="auto"/>
              <w:jc w:val="left"/>
              <w:rPr>
                <w:rFonts w:hint="eastAsia" w:ascii="宋体" w:hAnsi="宋体" w:cs="宋体"/>
                <w:szCs w:val="21"/>
              </w:rPr>
            </w:pPr>
            <w:r>
              <w:rPr>
                <w:rFonts w:hint="eastAsia" w:ascii="宋体" w:hAnsi="宋体" w:cs="宋体"/>
                <w:szCs w:val="21"/>
              </w:rPr>
              <w:t>属于紧急问题，现象为：系统故障导致业务停止、数据丢失。</w:t>
            </w:r>
          </w:p>
        </w:tc>
        <w:tc>
          <w:tcPr>
            <w:tcW w:w="1795" w:type="pct"/>
            <w:tcBorders>
              <w:top w:val="single" w:color="auto" w:sz="4" w:space="0"/>
              <w:left w:val="nil"/>
              <w:bottom w:val="single" w:color="auto" w:sz="4" w:space="0"/>
              <w:right w:val="single" w:color="auto" w:sz="4" w:space="0"/>
            </w:tcBorders>
            <w:vAlign w:val="center"/>
          </w:tcPr>
          <w:p w14:paraId="282199D3">
            <w:pPr>
              <w:spacing w:line="360" w:lineRule="auto"/>
              <w:jc w:val="left"/>
              <w:rPr>
                <w:rFonts w:hint="eastAsia" w:ascii="宋体" w:hAnsi="宋体" w:cs="宋体"/>
                <w:szCs w:val="21"/>
              </w:rPr>
            </w:pPr>
            <w:r>
              <w:rPr>
                <w:rFonts w:hint="eastAsia" w:ascii="宋体" w:hAnsi="宋体" w:cs="宋体"/>
                <w:szCs w:val="21"/>
              </w:rPr>
              <w:t>15分钟内响应处理，4小时内恢复正常使用。</w:t>
            </w:r>
          </w:p>
        </w:tc>
      </w:tr>
      <w:tr w14:paraId="276E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063A8854">
            <w:pPr>
              <w:spacing w:line="360" w:lineRule="auto"/>
              <w:jc w:val="center"/>
              <w:rPr>
                <w:rFonts w:hint="eastAsia" w:ascii="宋体" w:hAnsi="宋体" w:cs="宋体"/>
                <w:szCs w:val="21"/>
              </w:rPr>
            </w:pPr>
            <w:r>
              <w:rPr>
                <w:rFonts w:hint="eastAsia" w:ascii="宋体" w:hAnsi="宋体" w:cs="宋体"/>
                <w:szCs w:val="21"/>
              </w:rPr>
              <w:t>二级</w:t>
            </w:r>
          </w:p>
        </w:tc>
        <w:tc>
          <w:tcPr>
            <w:tcW w:w="2390" w:type="pct"/>
            <w:tcBorders>
              <w:top w:val="single" w:color="auto" w:sz="4" w:space="0"/>
              <w:left w:val="nil"/>
              <w:bottom w:val="single" w:color="auto" w:sz="4" w:space="0"/>
              <w:right w:val="single" w:color="auto" w:sz="4" w:space="0"/>
            </w:tcBorders>
          </w:tcPr>
          <w:p w14:paraId="0E8CA76E">
            <w:pPr>
              <w:spacing w:line="360" w:lineRule="auto"/>
              <w:jc w:val="left"/>
              <w:rPr>
                <w:rFonts w:hint="eastAsia" w:ascii="宋体" w:hAnsi="宋体" w:cs="宋体"/>
                <w:szCs w:val="21"/>
              </w:rPr>
            </w:pPr>
            <w:r>
              <w:rPr>
                <w:rFonts w:hint="eastAsia" w:ascii="宋体" w:hAnsi="宋体" w:cs="宋体"/>
                <w:szCs w:val="21"/>
              </w:rPr>
              <w:t>属于严重问题，现象为：部分功能失效、系统性能下降但不影响正常业务运作。</w:t>
            </w:r>
          </w:p>
        </w:tc>
        <w:tc>
          <w:tcPr>
            <w:tcW w:w="1795" w:type="pct"/>
            <w:tcBorders>
              <w:top w:val="single" w:color="auto" w:sz="4" w:space="0"/>
              <w:left w:val="nil"/>
              <w:bottom w:val="single" w:color="auto" w:sz="4" w:space="0"/>
              <w:right w:val="single" w:color="auto" w:sz="4" w:space="0"/>
            </w:tcBorders>
            <w:vAlign w:val="center"/>
          </w:tcPr>
          <w:p w14:paraId="44FFE12E">
            <w:pPr>
              <w:spacing w:line="360" w:lineRule="auto"/>
              <w:jc w:val="left"/>
              <w:rPr>
                <w:rFonts w:hint="eastAsia" w:ascii="宋体" w:hAnsi="宋体" w:cs="宋体"/>
                <w:szCs w:val="21"/>
              </w:rPr>
            </w:pPr>
            <w:r>
              <w:rPr>
                <w:rFonts w:hint="eastAsia" w:ascii="宋体" w:hAnsi="宋体" w:cs="宋体"/>
                <w:szCs w:val="21"/>
              </w:rPr>
              <w:t>30分钟内响应处理，8小时内恢复正常使用。</w:t>
            </w:r>
          </w:p>
        </w:tc>
      </w:tr>
      <w:tr w14:paraId="7EB6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554CF8F8">
            <w:pPr>
              <w:spacing w:line="360" w:lineRule="auto"/>
              <w:jc w:val="center"/>
              <w:rPr>
                <w:rFonts w:hint="eastAsia" w:ascii="宋体" w:hAnsi="宋体" w:cs="宋体"/>
                <w:szCs w:val="21"/>
              </w:rPr>
            </w:pPr>
            <w:r>
              <w:rPr>
                <w:rFonts w:hint="eastAsia" w:ascii="宋体" w:hAnsi="宋体" w:cs="宋体"/>
                <w:szCs w:val="21"/>
              </w:rPr>
              <w:t>三级</w:t>
            </w:r>
          </w:p>
        </w:tc>
        <w:tc>
          <w:tcPr>
            <w:tcW w:w="2390" w:type="pct"/>
            <w:tcBorders>
              <w:top w:val="single" w:color="auto" w:sz="4" w:space="0"/>
              <w:left w:val="nil"/>
              <w:bottom w:val="single" w:color="auto" w:sz="4" w:space="0"/>
              <w:right w:val="single" w:color="auto" w:sz="4" w:space="0"/>
            </w:tcBorders>
          </w:tcPr>
          <w:p w14:paraId="04F8320A">
            <w:pPr>
              <w:spacing w:line="360" w:lineRule="auto"/>
              <w:jc w:val="left"/>
              <w:rPr>
                <w:rFonts w:hint="eastAsia" w:ascii="宋体" w:hAnsi="宋体" w:cs="宋体"/>
                <w:szCs w:val="21"/>
              </w:rPr>
            </w:pPr>
            <w:r>
              <w:rPr>
                <w:rFonts w:hint="eastAsia" w:ascii="宋体" w:hAnsi="宋体" w:cs="宋体"/>
                <w:szCs w:val="21"/>
              </w:rPr>
              <w:t>属于较严重的问题，现象为：系统能继续运行且性能不受影响，但出现系统报错或部分功能故障，存在较大安全隐患。</w:t>
            </w:r>
          </w:p>
        </w:tc>
        <w:tc>
          <w:tcPr>
            <w:tcW w:w="1795" w:type="pct"/>
            <w:tcBorders>
              <w:top w:val="single" w:color="auto" w:sz="4" w:space="0"/>
              <w:left w:val="nil"/>
              <w:bottom w:val="single" w:color="auto" w:sz="4" w:space="0"/>
              <w:right w:val="single" w:color="auto" w:sz="4" w:space="0"/>
            </w:tcBorders>
            <w:vAlign w:val="center"/>
          </w:tcPr>
          <w:p w14:paraId="40A46B58">
            <w:pPr>
              <w:spacing w:line="360" w:lineRule="auto"/>
              <w:jc w:val="left"/>
              <w:rPr>
                <w:rFonts w:hint="eastAsia" w:ascii="宋体" w:hAnsi="宋体" w:cs="宋体"/>
                <w:szCs w:val="21"/>
              </w:rPr>
            </w:pPr>
            <w:r>
              <w:rPr>
                <w:rFonts w:hint="eastAsia" w:ascii="宋体" w:hAnsi="宋体" w:cs="宋体"/>
                <w:szCs w:val="21"/>
              </w:rPr>
              <w:t>60分钟内响应处理，12小时内恢复正常使用。</w:t>
            </w:r>
          </w:p>
        </w:tc>
      </w:tr>
      <w:tr w14:paraId="791A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4BC5EB15">
            <w:pPr>
              <w:spacing w:line="360" w:lineRule="auto"/>
              <w:jc w:val="center"/>
              <w:rPr>
                <w:rFonts w:hint="eastAsia" w:ascii="宋体" w:hAnsi="宋体" w:cs="宋体"/>
                <w:szCs w:val="21"/>
              </w:rPr>
            </w:pPr>
            <w:r>
              <w:rPr>
                <w:rFonts w:hint="eastAsia" w:ascii="宋体" w:hAnsi="宋体" w:cs="宋体"/>
                <w:szCs w:val="21"/>
              </w:rPr>
              <w:t>四级</w:t>
            </w:r>
          </w:p>
        </w:tc>
        <w:tc>
          <w:tcPr>
            <w:tcW w:w="2390" w:type="pct"/>
            <w:tcBorders>
              <w:top w:val="single" w:color="auto" w:sz="4" w:space="0"/>
              <w:left w:val="nil"/>
              <w:bottom w:val="single" w:color="auto" w:sz="4" w:space="0"/>
              <w:right w:val="single" w:color="auto" w:sz="4" w:space="0"/>
            </w:tcBorders>
          </w:tcPr>
          <w:p w14:paraId="02D873C0">
            <w:pPr>
              <w:spacing w:line="360" w:lineRule="auto"/>
              <w:jc w:val="left"/>
              <w:rPr>
                <w:rFonts w:hint="eastAsia" w:ascii="宋体" w:hAnsi="宋体" w:cs="宋体"/>
                <w:szCs w:val="21"/>
              </w:rPr>
            </w:pPr>
            <w:r>
              <w:rPr>
                <w:rFonts w:hint="eastAsia" w:ascii="宋体" w:hAnsi="宋体" w:cs="宋体"/>
                <w:szCs w:val="21"/>
              </w:rPr>
              <w:t>属于普通问题，现象为：系统技术功能、安装或配置咨询，或其他不影响业务的预约服务。</w:t>
            </w:r>
          </w:p>
        </w:tc>
        <w:tc>
          <w:tcPr>
            <w:tcW w:w="1795" w:type="pct"/>
            <w:tcBorders>
              <w:top w:val="single" w:color="auto" w:sz="4" w:space="0"/>
              <w:left w:val="nil"/>
              <w:bottom w:val="single" w:color="auto" w:sz="4" w:space="0"/>
              <w:right w:val="single" w:color="auto" w:sz="4" w:space="0"/>
            </w:tcBorders>
            <w:vAlign w:val="center"/>
          </w:tcPr>
          <w:p w14:paraId="44DD4E89">
            <w:pPr>
              <w:spacing w:line="360" w:lineRule="auto"/>
              <w:jc w:val="left"/>
              <w:rPr>
                <w:rFonts w:hint="eastAsia" w:ascii="宋体" w:hAnsi="宋体" w:cs="宋体"/>
                <w:szCs w:val="21"/>
              </w:rPr>
            </w:pPr>
            <w:r>
              <w:rPr>
                <w:rFonts w:hint="eastAsia" w:ascii="宋体" w:hAnsi="宋体" w:cs="宋体"/>
                <w:szCs w:val="21"/>
              </w:rPr>
              <w:t>60分钟内进行响应，24小时内恢复正常使用。</w:t>
            </w:r>
          </w:p>
        </w:tc>
      </w:tr>
    </w:tbl>
    <w:p w14:paraId="13C5E489">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热线服务：建立客服热线，接听客户咨询电话，为行业内、外客户提供业务咨询、意见问题反馈、故障处理、事件处置等服务，建立客户咨询和投诉处理机制，并在即时提出解决方案。</w:t>
      </w:r>
    </w:p>
    <w:p w14:paraId="29DD1BD6">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质量保证：针对系统软件运行中因为程序本身有错误而造成的功能使用不正常、死机、数据丢失、非正常中断等问题进行及时技术修复。</w:t>
      </w:r>
    </w:p>
    <w:p w14:paraId="22819FD5">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安全服务：为项目提供持续的网络安全保护服务，定期进行应用与数据备份，发现存在安全缺陷、漏洞等风险时，立即按照规定及时告知，提出补救措施，进行漏洞修补；对服务人员进行严格管理，及时跟踪掌握工作情况，监督其遵守安全保密约定，采取有效措施防止服务人员利用获得的权限做与本项目无关的事项和违规操作。服务人员变更后，立即撤消其服务权限，更改相关的密码，删除其专属账号，收回数字证书、出入证，以及相关的材料、文件等。在招标人启动网络安全重点保障机制（以下简称“重保”）期间，或参与国家、行业、地方政府组织的网络安全攻防演练期间，成立应急技术支撑小组，除本地运维人员外，另外提供2名具备网络和安全中高级认证资格（网络：CCNP、CCIE等；安全：CISP、CISAW、CISP-PTE、CISSP、CISM等）的专业人员，以及重保和攻防工作临时所需专业防护设备，自接到招标人通知提供保障人员起5个工作日内，该2名专业保障人员及相关设备应在招标人指定现场提供7*24小时安全保障服务，直到保障工作结束。</w:t>
      </w:r>
    </w:p>
    <w:p w14:paraId="61DD85F8">
      <w:pPr>
        <w:numPr>
          <w:ilvl w:val="0"/>
          <w:numId w:val="143"/>
        </w:numPr>
        <w:spacing w:line="360" w:lineRule="auto"/>
        <w:ind w:left="0" w:firstLine="420" w:firstLineChars="200"/>
        <w:jc w:val="left"/>
        <w:rPr>
          <w:rFonts w:hint="eastAsia" w:ascii="宋体" w:hAnsi="宋体" w:cs="宋体"/>
          <w:szCs w:val="21"/>
        </w:rPr>
      </w:pPr>
      <w:r>
        <w:rPr>
          <w:rFonts w:hint="eastAsia" w:ascii="宋体" w:hAnsi="宋体" w:cs="宋体"/>
          <w:szCs w:val="21"/>
        </w:rPr>
        <w:t>巡检服务：定期开展系统点巡检，并每周出具相关报告。</w:t>
      </w:r>
    </w:p>
    <w:p w14:paraId="0A6961E6">
      <w:pPr>
        <w:spacing w:line="360" w:lineRule="auto"/>
        <w:ind w:firstLine="420" w:firstLineChars="200"/>
        <w:jc w:val="left"/>
        <w:rPr>
          <w:rFonts w:hint="eastAsia" w:ascii="宋体" w:hAnsi="宋体" w:cs="宋体"/>
          <w:szCs w:val="21"/>
        </w:rPr>
      </w:pPr>
      <w:r>
        <w:rPr>
          <w:rFonts w:hint="eastAsia" w:ascii="宋体" w:hAnsi="宋体" w:cs="宋体"/>
          <w:szCs w:val="21"/>
        </w:rPr>
        <w:t>(10)培训服务：定期向系统用户及管理人员提供必须的培训，并对相关技术问题进行充分交流，保障系统的稳定健康运行。明确提出培训及技术交流的具体方案，说明培训内容、培训方式等具体安排。</w:t>
      </w:r>
    </w:p>
    <w:p w14:paraId="07DD7020">
      <w:pPr>
        <w:spacing w:line="360" w:lineRule="auto"/>
        <w:ind w:firstLine="420" w:firstLineChars="200"/>
        <w:jc w:val="left"/>
        <w:rPr>
          <w:rFonts w:hint="eastAsia" w:ascii="宋体" w:hAnsi="宋体" w:cs="宋体"/>
          <w:szCs w:val="21"/>
        </w:rPr>
      </w:pPr>
      <w:r>
        <w:rPr>
          <w:rFonts w:hint="eastAsia" w:ascii="宋体" w:hAnsi="宋体" w:cs="宋体"/>
          <w:szCs w:val="21"/>
        </w:rPr>
        <w:t>(11)紧急服务：我司承诺如遇紧急情况下，无条件满足招标人需求，以确保系统正常运行。</w:t>
      </w:r>
    </w:p>
    <w:p w14:paraId="55233E9C">
      <w:pPr>
        <w:spacing w:line="360" w:lineRule="auto"/>
        <w:ind w:firstLine="420" w:firstLineChars="200"/>
        <w:jc w:val="left"/>
        <w:rPr>
          <w:rFonts w:hint="eastAsia" w:ascii="宋体" w:hAnsi="宋体" w:cs="宋体"/>
          <w:strike/>
          <w:szCs w:val="21"/>
        </w:rPr>
      </w:pPr>
      <w:r>
        <w:rPr>
          <w:rFonts w:hint="eastAsia" w:ascii="宋体" w:hAnsi="宋体" w:cs="宋体"/>
          <w:szCs w:val="21"/>
        </w:rPr>
        <w:t>(12)其他服务：及时将有关软件的操作、故障检测、故障排除方法和新的技术发展通知招标人。</w:t>
      </w:r>
    </w:p>
    <w:p w14:paraId="4425CF59"/>
    <w:p w14:paraId="799059A7">
      <w:pPr>
        <w:pStyle w:val="6"/>
        <w:spacing w:before="260" w:after="260" w:line="416" w:lineRule="auto"/>
        <w:jc w:val="both"/>
        <w:rPr>
          <w:rFonts w:hint="eastAsia" w:ascii="宋体" w:hAnsi="宋体" w:cstheme="majorBidi"/>
          <w:szCs w:val="24"/>
        </w:rPr>
      </w:pPr>
      <w:bookmarkStart w:id="358" w:name="_Toc180265730"/>
      <w:r>
        <w:rPr>
          <w:rFonts w:hint="eastAsia" w:ascii="宋体" w:hAnsi="宋体" w:cstheme="majorBidi"/>
          <w:szCs w:val="24"/>
        </w:rPr>
        <w:t>运维服务流程</w:t>
      </w:r>
      <w:bookmarkEnd w:id="358"/>
    </w:p>
    <w:p w14:paraId="31CC5115">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8.2.6.1故障处理</w:t>
      </w:r>
    </w:p>
    <w:p w14:paraId="064F5E63">
      <w:pPr>
        <w:widowControl/>
        <w:autoSpaceDE w:val="0"/>
        <w:autoSpaceDN w:val="0"/>
        <w:adjustRightInd w:val="0"/>
        <w:spacing w:line="280" w:lineRule="atLeast"/>
        <w:jc w:val="left"/>
        <w:rPr>
          <w:rFonts w:ascii="Times Roman" w:hAnsi="Times Roman" w:cs="Times Roman"/>
          <w:color w:val="000000"/>
          <w:kern w:val="0"/>
          <w:sz w:val="24"/>
          <w:szCs w:val="24"/>
        </w:rPr>
      </w:pPr>
    </w:p>
    <w:p w14:paraId="2DE4A195">
      <w:r>
        <w:rPr>
          <w:rFonts w:ascii="Times Roman" w:hAnsi="Times Roman" w:cs="Times Roman"/>
          <w:color w:val="000000"/>
          <w:kern w:val="0"/>
          <w:sz w:val="24"/>
          <w:szCs w:val="24"/>
        </w:rPr>
        <w:drawing>
          <wp:anchor distT="0" distB="0" distL="114300" distR="114300" simplePos="0" relativeHeight="251665408" behindDoc="0" locked="0" layoutInCell="1" allowOverlap="1">
            <wp:simplePos x="0" y="0"/>
            <wp:positionH relativeFrom="column">
              <wp:align>center</wp:align>
            </wp:positionH>
            <wp:positionV relativeFrom="paragraph">
              <wp:posOffset>201930</wp:posOffset>
            </wp:positionV>
            <wp:extent cx="5904230" cy="7232650"/>
            <wp:effectExtent l="0" t="0" r="1905" b="6985"/>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5904000" cy="7232400"/>
                    </a:xfrm>
                    <a:prstGeom prst="rect">
                      <a:avLst/>
                    </a:prstGeom>
                    <a:noFill/>
                    <a:ln>
                      <a:noFill/>
                    </a:ln>
                  </pic:spPr>
                </pic:pic>
              </a:graphicData>
            </a:graphic>
          </wp:anchor>
        </w:drawing>
      </w:r>
    </w:p>
    <w:p w14:paraId="37178B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故障申报渠道</w:t>
      </w:r>
    </w:p>
    <w:p w14:paraId="1D5533D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建立故障申报渠道，方便用户及时申报故障。设立专门的故障申报热线</w:t>
      </w:r>
      <w:r>
        <w:rPr>
          <w:rFonts w:hint="eastAsia" w:ascii="宋体" w:hAnsi="宋体" w:eastAsia="宋体" w:cs="Times New Roman"/>
          <w:szCs w:val="21"/>
        </w:rPr>
        <w:t>，</w:t>
      </w:r>
      <w:r>
        <w:rPr>
          <w:rFonts w:ascii="宋体" w:hAnsi="宋体" w:eastAsia="宋体" w:cs="Times New Roman"/>
          <w:szCs w:val="21"/>
        </w:rPr>
        <w:t>用户可以通过电话等方式申报故障，运维团队应在规定的时间内响应并处理故障。</w:t>
      </w:r>
    </w:p>
    <w:p w14:paraId="68B1FB4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故障响应时间</w:t>
      </w:r>
    </w:p>
    <w:p w14:paraId="0F025DB1">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根据故障的严重程度和影响范围，确定不同级别的故障响应时间。</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4074"/>
        <w:gridCol w:w="3059"/>
      </w:tblGrid>
      <w:tr w14:paraId="510B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68D102ED">
            <w:pPr>
              <w:spacing w:line="360" w:lineRule="auto"/>
              <w:jc w:val="center"/>
              <w:rPr>
                <w:rFonts w:hint="eastAsia" w:ascii="宋体" w:hAnsi="宋体" w:cs="宋体"/>
                <w:b/>
                <w:bCs/>
                <w:szCs w:val="21"/>
              </w:rPr>
            </w:pPr>
            <w:r>
              <w:rPr>
                <w:rFonts w:hint="eastAsia" w:ascii="宋体" w:hAnsi="宋体" w:cs="宋体"/>
                <w:b/>
                <w:bCs/>
                <w:szCs w:val="21"/>
              </w:rPr>
              <w:t>故障级别</w:t>
            </w:r>
          </w:p>
        </w:tc>
        <w:tc>
          <w:tcPr>
            <w:tcW w:w="2390" w:type="pct"/>
            <w:tcBorders>
              <w:top w:val="single" w:color="auto" w:sz="4" w:space="0"/>
              <w:left w:val="nil"/>
              <w:bottom w:val="single" w:color="auto" w:sz="4" w:space="0"/>
              <w:right w:val="single" w:color="auto" w:sz="4" w:space="0"/>
            </w:tcBorders>
            <w:vAlign w:val="center"/>
          </w:tcPr>
          <w:p w14:paraId="356A1DB5">
            <w:pPr>
              <w:spacing w:line="360" w:lineRule="auto"/>
              <w:jc w:val="center"/>
              <w:rPr>
                <w:rFonts w:hint="eastAsia" w:ascii="宋体" w:hAnsi="宋体" w:cs="宋体"/>
                <w:b/>
                <w:bCs/>
                <w:szCs w:val="21"/>
              </w:rPr>
            </w:pPr>
            <w:r>
              <w:rPr>
                <w:rFonts w:hint="eastAsia" w:ascii="宋体" w:hAnsi="宋体" w:cs="宋体"/>
                <w:b/>
                <w:bCs/>
                <w:szCs w:val="21"/>
              </w:rPr>
              <w:t>故障描述</w:t>
            </w:r>
          </w:p>
        </w:tc>
        <w:tc>
          <w:tcPr>
            <w:tcW w:w="1795" w:type="pct"/>
            <w:tcBorders>
              <w:top w:val="single" w:color="auto" w:sz="4" w:space="0"/>
              <w:left w:val="nil"/>
              <w:bottom w:val="single" w:color="auto" w:sz="4" w:space="0"/>
              <w:right w:val="single" w:color="auto" w:sz="4" w:space="0"/>
            </w:tcBorders>
            <w:vAlign w:val="center"/>
          </w:tcPr>
          <w:p w14:paraId="430279E7">
            <w:pPr>
              <w:spacing w:line="360" w:lineRule="auto"/>
              <w:jc w:val="center"/>
              <w:rPr>
                <w:rFonts w:hint="eastAsia" w:ascii="宋体" w:hAnsi="宋体" w:cs="宋体"/>
                <w:b/>
                <w:bCs/>
                <w:szCs w:val="21"/>
              </w:rPr>
            </w:pPr>
            <w:r>
              <w:rPr>
                <w:rFonts w:hint="eastAsia" w:ascii="宋体" w:hAnsi="宋体" w:cs="宋体"/>
                <w:b/>
                <w:bCs/>
                <w:szCs w:val="21"/>
              </w:rPr>
              <w:t>处理时间</w:t>
            </w:r>
          </w:p>
        </w:tc>
      </w:tr>
      <w:tr w14:paraId="4B90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3CB752E7">
            <w:pPr>
              <w:spacing w:line="360" w:lineRule="auto"/>
              <w:jc w:val="center"/>
              <w:rPr>
                <w:rFonts w:hint="eastAsia" w:ascii="宋体" w:hAnsi="宋体" w:cs="宋体"/>
                <w:szCs w:val="21"/>
              </w:rPr>
            </w:pPr>
            <w:r>
              <w:rPr>
                <w:rFonts w:hint="eastAsia" w:ascii="宋体" w:hAnsi="宋体" w:cs="宋体"/>
                <w:szCs w:val="21"/>
              </w:rPr>
              <w:t>一级</w:t>
            </w:r>
          </w:p>
        </w:tc>
        <w:tc>
          <w:tcPr>
            <w:tcW w:w="2390" w:type="pct"/>
            <w:tcBorders>
              <w:top w:val="single" w:color="auto" w:sz="4" w:space="0"/>
              <w:left w:val="nil"/>
              <w:bottom w:val="single" w:color="auto" w:sz="4" w:space="0"/>
              <w:right w:val="single" w:color="auto" w:sz="4" w:space="0"/>
            </w:tcBorders>
            <w:vAlign w:val="center"/>
          </w:tcPr>
          <w:p w14:paraId="5FF4310C">
            <w:pPr>
              <w:spacing w:line="360" w:lineRule="auto"/>
              <w:jc w:val="left"/>
              <w:rPr>
                <w:rFonts w:hint="eastAsia" w:ascii="宋体" w:hAnsi="宋体" w:cs="宋体"/>
                <w:szCs w:val="21"/>
              </w:rPr>
            </w:pPr>
            <w:r>
              <w:rPr>
                <w:rFonts w:hint="eastAsia" w:ascii="宋体" w:hAnsi="宋体" w:cs="宋体"/>
                <w:szCs w:val="21"/>
              </w:rPr>
              <w:t>属于紧急问题，现象为：系统故障导致业务停止、数据丢失。</w:t>
            </w:r>
          </w:p>
        </w:tc>
        <w:tc>
          <w:tcPr>
            <w:tcW w:w="1795" w:type="pct"/>
            <w:tcBorders>
              <w:top w:val="single" w:color="auto" w:sz="4" w:space="0"/>
              <w:left w:val="nil"/>
              <w:bottom w:val="single" w:color="auto" w:sz="4" w:space="0"/>
              <w:right w:val="single" w:color="auto" w:sz="4" w:space="0"/>
            </w:tcBorders>
            <w:vAlign w:val="center"/>
          </w:tcPr>
          <w:p w14:paraId="360A7DFD">
            <w:pPr>
              <w:spacing w:line="360" w:lineRule="auto"/>
              <w:jc w:val="left"/>
              <w:rPr>
                <w:rFonts w:hint="eastAsia" w:ascii="宋体" w:hAnsi="宋体" w:cs="宋体"/>
                <w:szCs w:val="21"/>
              </w:rPr>
            </w:pPr>
            <w:r>
              <w:rPr>
                <w:rFonts w:hint="eastAsia" w:ascii="宋体" w:hAnsi="宋体" w:cs="宋体"/>
                <w:szCs w:val="21"/>
              </w:rPr>
              <w:t>15分钟内响应处理，4小时内恢复正常使用。</w:t>
            </w:r>
          </w:p>
        </w:tc>
      </w:tr>
      <w:tr w14:paraId="0AD1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74BE372B">
            <w:pPr>
              <w:spacing w:line="360" w:lineRule="auto"/>
              <w:jc w:val="center"/>
              <w:rPr>
                <w:rFonts w:hint="eastAsia" w:ascii="宋体" w:hAnsi="宋体" w:cs="宋体"/>
                <w:szCs w:val="21"/>
              </w:rPr>
            </w:pPr>
            <w:r>
              <w:rPr>
                <w:rFonts w:hint="eastAsia" w:ascii="宋体" w:hAnsi="宋体" w:cs="宋体"/>
                <w:szCs w:val="21"/>
              </w:rPr>
              <w:t>二级</w:t>
            </w:r>
          </w:p>
        </w:tc>
        <w:tc>
          <w:tcPr>
            <w:tcW w:w="2390" w:type="pct"/>
            <w:tcBorders>
              <w:top w:val="single" w:color="auto" w:sz="4" w:space="0"/>
              <w:left w:val="nil"/>
              <w:bottom w:val="single" w:color="auto" w:sz="4" w:space="0"/>
              <w:right w:val="single" w:color="auto" w:sz="4" w:space="0"/>
            </w:tcBorders>
          </w:tcPr>
          <w:p w14:paraId="405770CB">
            <w:pPr>
              <w:spacing w:line="360" w:lineRule="auto"/>
              <w:jc w:val="left"/>
              <w:rPr>
                <w:rFonts w:hint="eastAsia" w:ascii="宋体" w:hAnsi="宋体" w:cs="宋体"/>
                <w:szCs w:val="21"/>
              </w:rPr>
            </w:pPr>
            <w:r>
              <w:rPr>
                <w:rFonts w:hint="eastAsia" w:ascii="宋体" w:hAnsi="宋体" w:cs="宋体"/>
                <w:szCs w:val="21"/>
              </w:rPr>
              <w:t>属于严重问题，现象为：部分功能失效、系统性能下降但不影响正常业务运作。</w:t>
            </w:r>
          </w:p>
        </w:tc>
        <w:tc>
          <w:tcPr>
            <w:tcW w:w="1795" w:type="pct"/>
            <w:tcBorders>
              <w:top w:val="single" w:color="auto" w:sz="4" w:space="0"/>
              <w:left w:val="nil"/>
              <w:bottom w:val="single" w:color="auto" w:sz="4" w:space="0"/>
              <w:right w:val="single" w:color="auto" w:sz="4" w:space="0"/>
            </w:tcBorders>
            <w:vAlign w:val="center"/>
          </w:tcPr>
          <w:p w14:paraId="758F0578">
            <w:pPr>
              <w:spacing w:line="360" w:lineRule="auto"/>
              <w:jc w:val="left"/>
              <w:rPr>
                <w:rFonts w:hint="eastAsia" w:ascii="宋体" w:hAnsi="宋体" w:cs="宋体"/>
                <w:szCs w:val="21"/>
              </w:rPr>
            </w:pPr>
            <w:r>
              <w:rPr>
                <w:rFonts w:hint="eastAsia" w:ascii="宋体" w:hAnsi="宋体" w:cs="宋体"/>
                <w:szCs w:val="21"/>
              </w:rPr>
              <w:t>30分钟内响应处理，8小时内恢复正常使用。</w:t>
            </w:r>
          </w:p>
        </w:tc>
      </w:tr>
      <w:tr w14:paraId="2C4B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299CCE9F">
            <w:pPr>
              <w:spacing w:line="360" w:lineRule="auto"/>
              <w:jc w:val="center"/>
              <w:rPr>
                <w:rFonts w:hint="eastAsia" w:ascii="宋体" w:hAnsi="宋体" w:cs="宋体"/>
                <w:szCs w:val="21"/>
              </w:rPr>
            </w:pPr>
            <w:r>
              <w:rPr>
                <w:rFonts w:hint="eastAsia" w:ascii="宋体" w:hAnsi="宋体" w:cs="宋体"/>
                <w:szCs w:val="21"/>
              </w:rPr>
              <w:t>三级</w:t>
            </w:r>
          </w:p>
        </w:tc>
        <w:tc>
          <w:tcPr>
            <w:tcW w:w="2390" w:type="pct"/>
            <w:tcBorders>
              <w:top w:val="single" w:color="auto" w:sz="4" w:space="0"/>
              <w:left w:val="nil"/>
              <w:bottom w:val="single" w:color="auto" w:sz="4" w:space="0"/>
              <w:right w:val="single" w:color="auto" w:sz="4" w:space="0"/>
            </w:tcBorders>
          </w:tcPr>
          <w:p w14:paraId="7FAF6241">
            <w:pPr>
              <w:spacing w:line="360" w:lineRule="auto"/>
              <w:jc w:val="left"/>
              <w:rPr>
                <w:rFonts w:hint="eastAsia" w:ascii="宋体" w:hAnsi="宋体" w:cs="宋体"/>
                <w:szCs w:val="21"/>
              </w:rPr>
            </w:pPr>
            <w:r>
              <w:rPr>
                <w:rFonts w:hint="eastAsia" w:ascii="宋体" w:hAnsi="宋体" w:cs="宋体"/>
                <w:szCs w:val="21"/>
              </w:rPr>
              <w:t>属于较严重的问题，现象为：系统能继续运行且性能不受影响，但出现系统报错或部分功能故障，存在较大安全隐患。</w:t>
            </w:r>
          </w:p>
        </w:tc>
        <w:tc>
          <w:tcPr>
            <w:tcW w:w="1795" w:type="pct"/>
            <w:tcBorders>
              <w:top w:val="single" w:color="auto" w:sz="4" w:space="0"/>
              <w:left w:val="nil"/>
              <w:bottom w:val="single" w:color="auto" w:sz="4" w:space="0"/>
              <w:right w:val="single" w:color="auto" w:sz="4" w:space="0"/>
            </w:tcBorders>
            <w:vAlign w:val="center"/>
          </w:tcPr>
          <w:p w14:paraId="0659562C">
            <w:pPr>
              <w:spacing w:line="360" w:lineRule="auto"/>
              <w:jc w:val="left"/>
              <w:rPr>
                <w:rFonts w:hint="eastAsia" w:ascii="宋体" w:hAnsi="宋体" w:cs="宋体"/>
                <w:szCs w:val="21"/>
              </w:rPr>
            </w:pPr>
            <w:r>
              <w:rPr>
                <w:rFonts w:hint="eastAsia" w:ascii="宋体" w:hAnsi="宋体" w:cs="宋体"/>
                <w:szCs w:val="21"/>
              </w:rPr>
              <w:t>60分钟内响应处理，12小时内恢复正常使用。</w:t>
            </w:r>
          </w:p>
        </w:tc>
      </w:tr>
      <w:tr w14:paraId="6974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67B4933F">
            <w:pPr>
              <w:spacing w:line="360" w:lineRule="auto"/>
              <w:jc w:val="center"/>
              <w:rPr>
                <w:rFonts w:hint="eastAsia" w:ascii="宋体" w:hAnsi="宋体" w:cs="宋体"/>
                <w:szCs w:val="21"/>
              </w:rPr>
            </w:pPr>
            <w:r>
              <w:rPr>
                <w:rFonts w:hint="eastAsia" w:ascii="宋体" w:hAnsi="宋体" w:cs="宋体"/>
                <w:szCs w:val="21"/>
              </w:rPr>
              <w:t>四级</w:t>
            </w:r>
          </w:p>
        </w:tc>
        <w:tc>
          <w:tcPr>
            <w:tcW w:w="2390" w:type="pct"/>
            <w:tcBorders>
              <w:top w:val="single" w:color="auto" w:sz="4" w:space="0"/>
              <w:left w:val="nil"/>
              <w:bottom w:val="single" w:color="auto" w:sz="4" w:space="0"/>
              <w:right w:val="single" w:color="auto" w:sz="4" w:space="0"/>
            </w:tcBorders>
          </w:tcPr>
          <w:p w14:paraId="1581C01D">
            <w:pPr>
              <w:spacing w:line="360" w:lineRule="auto"/>
              <w:jc w:val="left"/>
              <w:rPr>
                <w:rFonts w:hint="eastAsia" w:ascii="宋体" w:hAnsi="宋体" w:cs="宋体"/>
                <w:szCs w:val="21"/>
              </w:rPr>
            </w:pPr>
            <w:r>
              <w:rPr>
                <w:rFonts w:hint="eastAsia" w:ascii="宋体" w:hAnsi="宋体" w:cs="宋体"/>
                <w:szCs w:val="21"/>
              </w:rPr>
              <w:t>属于普通问题，现象为：系统技术功能、安装或配置咨询，或其他不影响业务的预约服务。</w:t>
            </w:r>
          </w:p>
        </w:tc>
        <w:tc>
          <w:tcPr>
            <w:tcW w:w="1795" w:type="pct"/>
            <w:tcBorders>
              <w:top w:val="single" w:color="auto" w:sz="4" w:space="0"/>
              <w:left w:val="nil"/>
              <w:bottom w:val="single" w:color="auto" w:sz="4" w:space="0"/>
              <w:right w:val="single" w:color="auto" w:sz="4" w:space="0"/>
            </w:tcBorders>
            <w:vAlign w:val="center"/>
          </w:tcPr>
          <w:p w14:paraId="2DB3E56A">
            <w:pPr>
              <w:spacing w:line="360" w:lineRule="auto"/>
              <w:jc w:val="left"/>
              <w:rPr>
                <w:rFonts w:hint="eastAsia" w:ascii="宋体" w:hAnsi="宋体" w:cs="宋体"/>
                <w:szCs w:val="21"/>
              </w:rPr>
            </w:pPr>
            <w:r>
              <w:rPr>
                <w:rFonts w:hint="eastAsia" w:ascii="宋体" w:hAnsi="宋体" w:cs="宋体"/>
                <w:szCs w:val="21"/>
              </w:rPr>
              <w:t>60分钟内进行响应，24小时内恢复正常使用。</w:t>
            </w:r>
          </w:p>
        </w:tc>
      </w:tr>
    </w:tbl>
    <w:p w14:paraId="42192B2A">
      <w:pPr>
        <w:spacing w:line="360" w:lineRule="auto"/>
        <w:rPr>
          <w:rFonts w:hint="eastAsia" w:ascii="宋体" w:hAnsi="宋体" w:eastAsia="宋体" w:cs="Times New Roman"/>
          <w:szCs w:val="21"/>
        </w:rPr>
      </w:pPr>
    </w:p>
    <w:p w14:paraId="5A99C46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故障诊断与分类</w:t>
      </w:r>
    </w:p>
    <w:p w14:paraId="5810443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对故障进行初步诊断和分类，确定故障的原因和影响范围。通过检查日志记录、性能指标等信息，初步判断故障的原因。根据故障的影响范围，将故障分为不同级别。</w:t>
      </w:r>
    </w:p>
    <w:p w14:paraId="0316A11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故障处理措施</w:t>
      </w:r>
    </w:p>
    <w:p w14:paraId="162DD8E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根据故障的诊断结果，采取相应的处理措施。对于软件故障，进行软件修复或升级；对于网络故障，检查网络</w:t>
      </w:r>
      <w:r>
        <w:rPr>
          <w:rFonts w:hint="eastAsia" w:ascii="宋体" w:hAnsi="宋体" w:eastAsia="宋体" w:cs="Times New Roman"/>
          <w:szCs w:val="21"/>
        </w:rPr>
        <w:t>环境</w:t>
      </w:r>
      <w:r>
        <w:rPr>
          <w:rFonts w:ascii="宋体" w:hAnsi="宋体" w:eastAsia="宋体" w:cs="Times New Roman"/>
          <w:szCs w:val="21"/>
        </w:rPr>
        <w:t>的配置参数、连接</w:t>
      </w:r>
      <w:r>
        <w:rPr>
          <w:rFonts w:hint="eastAsia" w:ascii="宋体" w:hAnsi="宋体" w:eastAsia="宋体" w:cs="Times New Roman"/>
          <w:szCs w:val="21"/>
        </w:rPr>
        <w:t>状态</w:t>
      </w:r>
      <w:r>
        <w:rPr>
          <w:rFonts w:ascii="宋体" w:hAnsi="宋体" w:eastAsia="宋体" w:cs="Times New Roman"/>
          <w:szCs w:val="21"/>
        </w:rPr>
        <w:t>等，排除故障。在处理故障的过程中，应尽量减少对业务的影响，确保系统的正常运行。</w:t>
      </w:r>
    </w:p>
    <w:p w14:paraId="77E6D39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故障处理结果验证</w:t>
      </w:r>
    </w:p>
    <w:p w14:paraId="6D4FFEC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对故障处理结果进行验证，确保故障得到彻底解决。通过测试系统的功能、性能指标等，验证故障处理的效果。如果故障处理结果不理想，应及时调整处理措施，直到故障得到彻底解决。</w:t>
      </w:r>
    </w:p>
    <w:p w14:paraId="30EDF7AE">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8.2.6.2变更管理</w:t>
      </w:r>
    </w:p>
    <w:p w14:paraId="34438A8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变更管理实现所有基础设施和应用系统的变更，变更管理应记录并对所有要求的变更进行分类，应评估变更请求的风险、影响和业务收益。其主要目标是以对服务最小的干扰实现有益的变更。</w:t>
      </w:r>
    </w:p>
    <w:p w14:paraId="1E263F5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变更管理是要对重大资源的新增、变更、升级等运维活动进行审核的功能，以免这些活动对现有资源的可用性造成没有必要的影响和破坏</w:t>
      </w:r>
      <w:r>
        <w:rPr>
          <w:rFonts w:ascii="宋体" w:hAnsi="宋体" w:eastAsia="宋体" w:cs="Times New Roman"/>
          <w:szCs w:val="21"/>
        </w:rPr>
        <w:t>;</w:t>
      </w:r>
      <w:r>
        <w:rPr>
          <w:rFonts w:hint="eastAsia" w:ascii="宋体" w:hAnsi="宋体" w:eastAsia="宋体" w:cs="Times New Roman"/>
          <w:szCs w:val="21"/>
        </w:rPr>
        <w:t>同时，还要实现在工单中产生的变化进行后审计的功能。</w:t>
      </w:r>
    </w:p>
    <w:p w14:paraId="3C591F29">
      <w:pPr>
        <w:numPr>
          <w:ilvl w:val="0"/>
          <w:numId w:val="144"/>
        </w:numPr>
        <w:spacing w:line="360" w:lineRule="auto"/>
        <w:rPr>
          <w:rFonts w:hint="eastAsia" w:ascii="宋体" w:hAnsi="宋体" w:eastAsia="宋体" w:cs="Times New Roman"/>
          <w:szCs w:val="21"/>
        </w:rPr>
      </w:pPr>
      <w:r>
        <w:rPr>
          <w:rFonts w:ascii="宋体" w:hAnsi="宋体" w:eastAsia="宋体" w:cs="Times New Roman"/>
          <w:szCs w:val="21"/>
        </w:rPr>
        <w:t>变更需求评估</w:t>
      </w:r>
    </w:p>
    <w:p w14:paraId="420D3BF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对系统的变更需求进行评估，确定变更的必要性、可行性和风险。评估变更对系统的性能、稳定性、安全性等方面的影响，确定变更的优先级和实施计划。</w:t>
      </w:r>
    </w:p>
    <w:p w14:paraId="10C244EE">
      <w:pPr>
        <w:numPr>
          <w:ilvl w:val="0"/>
          <w:numId w:val="144"/>
        </w:numPr>
        <w:spacing w:line="360" w:lineRule="auto"/>
        <w:rPr>
          <w:rFonts w:ascii="Times New Roman" w:hAnsi="Times New Roman" w:eastAsia="宋体" w:cs="Times New Roman"/>
          <w:szCs w:val="21"/>
        </w:rPr>
      </w:pPr>
      <w:r>
        <w:rPr>
          <w:rFonts w:ascii="宋体" w:hAnsi="宋体" w:eastAsia="宋体" w:cs="Times New Roman"/>
          <w:szCs w:val="21"/>
        </w:rPr>
        <w:t>变更方案制定</w:t>
      </w:r>
    </w:p>
    <w:p w14:paraId="07DB1BE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根据变更需求评估结果，制定详细的变更方案。变更方案应包括变更的内容、步骤、时间安排、风险控制措施等。对于软件升级变更，制定详细的升级步骤和回退方案，确保升级过程的顺利进行。</w:t>
      </w:r>
    </w:p>
    <w:p w14:paraId="7BCA44A8">
      <w:pPr>
        <w:numPr>
          <w:ilvl w:val="0"/>
          <w:numId w:val="144"/>
        </w:numPr>
        <w:spacing w:line="360" w:lineRule="auto"/>
        <w:rPr>
          <w:rFonts w:ascii="Times New Roman" w:hAnsi="Times New Roman" w:eastAsia="宋体" w:cs="Times New Roman"/>
          <w:szCs w:val="21"/>
        </w:rPr>
      </w:pPr>
      <w:r>
        <w:rPr>
          <w:rFonts w:ascii="宋体" w:hAnsi="宋体" w:eastAsia="宋体" w:cs="Times New Roman"/>
          <w:szCs w:val="21"/>
        </w:rPr>
        <w:t>变更实施与监控</w:t>
      </w:r>
    </w:p>
    <w:p w14:paraId="19B8D5C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按照变更方案进行变更实施，并对变更过程进行监控。在变更实施过程中，实时监测系统的性能指标、日志记录等，及时发现和处理变更过程中出现的问题。</w:t>
      </w:r>
    </w:p>
    <w:p w14:paraId="62EDC067">
      <w:pPr>
        <w:numPr>
          <w:ilvl w:val="0"/>
          <w:numId w:val="144"/>
        </w:numPr>
        <w:spacing w:line="360" w:lineRule="auto"/>
        <w:rPr>
          <w:rFonts w:hint="eastAsia" w:ascii="宋体" w:hAnsi="宋体" w:eastAsia="宋体" w:cs="Times New Roman"/>
          <w:szCs w:val="21"/>
        </w:rPr>
      </w:pPr>
      <w:r>
        <w:rPr>
          <w:rFonts w:ascii="宋体" w:hAnsi="宋体" w:eastAsia="宋体" w:cs="Times New Roman"/>
          <w:szCs w:val="21"/>
        </w:rPr>
        <w:t>变更结果验证</w:t>
      </w:r>
    </w:p>
    <w:p w14:paraId="55FB277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对变更结果进行验证，确保变更达到预期效果。通过测试系统的功能、性能指标等，验证变更的效果。如果变更结果不理想，应及时调整变更方案，进行回退或重新实施变更。</w:t>
      </w:r>
    </w:p>
    <w:p w14:paraId="1F256688">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8.2.6.3日常巡检</w:t>
      </w:r>
    </w:p>
    <w:p w14:paraId="78DB3DA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1、制定巡检计划</w:t>
      </w:r>
    </w:p>
    <w:p w14:paraId="0DD83B9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系统的重要性和复杂性，制定详细的巡检计划。巡检计划包括巡检的频率、时间、内容、责任人等信息。对于核心业务系统，每天进行一次巡检；对于非核心业务系统，每周进行一次巡检。巡检时间应选择在业务低谷期，避免影响用户的正常使用。</w:t>
      </w:r>
    </w:p>
    <w:p w14:paraId="3B73755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2、巡检内容与方法</w:t>
      </w:r>
    </w:p>
    <w:p w14:paraId="576A324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按照巡检计划，对软件系统、网络</w:t>
      </w:r>
      <w:r>
        <w:rPr>
          <w:rFonts w:hint="eastAsia" w:ascii="宋体" w:hAnsi="宋体" w:eastAsia="宋体" w:cs="Times New Roman"/>
          <w:szCs w:val="21"/>
        </w:rPr>
        <w:t>情况</w:t>
      </w:r>
      <w:r>
        <w:rPr>
          <w:rFonts w:ascii="宋体" w:hAnsi="宋体" w:eastAsia="宋体" w:cs="Times New Roman"/>
          <w:szCs w:val="21"/>
        </w:rPr>
        <w:t>等进行全面的巡检。巡检内容包括设备的运行状态、性能指标、日志记录、配置参数等。巡检方法可以采用人工检查、自动化监控工具、远程访问等方式。使用自动化监控工具</w:t>
      </w:r>
      <w:r>
        <w:rPr>
          <w:rFonts w:hint="eastAsia" w:ascii="宋体" w:hAnsi="宋体" w:eastAsia="宋体" w:cs="Times New Roman"/>
          <w:szCs w:val="21"/>
        </w:rPr>
        <w:t>（如下图</w:t>
      </w:r>
      <w:r>
        <w:rPr>
          <w:rFonts w:ascii="宋体" w:hAnsi="宋体" w:eastAsia="宋体" w:cs="Times New Roman"/>
          <w:szCs w:val="21"/>
        </w:rPr>
        <w:t>），对服务器的CPU使用率、内存占用率、磁盘I/O等性能指标进行实时监测；使用远程访问工具，对网络设备的配置参数进行检查和修改。</w:t>
      </w:r>
    </w:p>
    <w:p w14:paraId="201777D4">
      <w:pPr>
        <w:spacing w:line="360" w:lineRule="auto"/>
        <w:rPr>
          <w:rFonts w:hint="eastAsia" w:ascii="宋体" w:hAnsi="宋体" w:eastAsia="宋体" w:cs="Times New Roman"/>
          <w:sz w:val="24"/>
          <w:szCs w:val="24"/>
        </w:rPr>
      </w:pPr>
      <w:r>
        <w:rPr>
          <w:rFonts w:ascii="宋体" w:hAnsi="宋体" w:eastAsia="宋体" w:cs="Times New Roman"/>
          <w:sz w:val="24"/>
          <w:szCs w:val="24"/>
        </w:rPr>
        <w:drawing>
          <wp:inline distT="0" distB="0" distL="0" distR="0">
            <wp:extent cx="5274310" cy="2432050"/>
            <wp:effectExtent l="0" t="0" r="8890" b="635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5274310" cy="2432596"/>
                    </a:xfrm>
                    <a:prstGeom prst="rect">
                      <a:avLst/>
                    </a:prstGeom>
                    <a:noFill/>
                    <a:ln>
                      <a:noFill/>
                    </a:ln>
                  </pic:spPr>
                </pic:pic>
              </a:graphicData>
            </a:graphic>
          </wp:inline>
        </w:drawing>
      </w:r>
    </w:p>
    <w:p w14:paraId="3F5CD60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3、巡检结果记录与分析</w:t>
      </w:r>
    </w:p>
    <w:p w14:paraId="678BDED3">
      <w:pPr>
        <w:spacing w:line="360" w:lineRule="auto"/>
        <w:ind w:firstLine="420" w:firstLineChars="200"/>
        <w:rPr>
          <w:rFonts w:hint="eastAsia" w:ascii="宋体" w:hAnsi="宋体" w:eastAsia="宋体" w:cs="宋体"/>
          <w:szCs w:val="21"/>
        </w:rPr>
      </w:pPr>
      <w:r>
        <w:rPr>
          <w:rFonts w:ascii="宋体" w:hAnsi="宋体" w:eastAsia="宋体" w:cs="Times New Roman"/>
          <w:szCs w:val="21"/>
        </w:rPr>
        <w:t>对巡检结果进行详细的记录和分析，形成巡检报告。巡检报告应包括巡检的时间、巡检内容、发现的问题及处理情况等。对巡检结果进行分析，找出潜在的问题和风险，提出</w:t>
      </w:r>
      <w:r>
        <w:rPr>
          <w:rFonts w:hint="eastAsia" w:ascii="宋体" w:hAnsi="宋体" w:eastAsia="宋体" w:cs="Times New Roman"/>
          <w:szCs w:val="21"/>
        </w:rPr>
        <w:t>优化、</w:t>
      </w:r>
      <w:r>
        <w:rPr>
          <w:rFonts w:ascii="宋体" w:hAnsi="宋体" w:eastAsia="宋体" w:cs="Times New Roman"/>
          <w:szCs w:val="21"/>
        </w:rPr>
        <w:t>改进建议和措施。例如，通过分析服务器的日志文件，发现某个应用程序的错误日志频繁出现，可能存在程序漏洞或性能问题，需要进一步排查和解决。</w:t>
      </w:r>
    </w:p>
    <w:p w14:paraId="7BF0306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根据巡查结果提出改进系统性能的各项建议，包括系统资源分配与效率改进建议、软件配置规划和性能优化建议、系统容量预测建议等，并进行实施。</w:t>
      </w:r>
    </w:p>
    <w:p w14:paraId="487D9A8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4、问题跟踪与处理</w:t>
      </w:r>
    </w:p>
    <w:p w14:paraId="159E5FC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对于巡检中发现的问题，及时进行跟踪和处理。根据问题的严重程度和影响范围，采取相应的处理措施，如</w:t>
      </w:r>
      <w:r>
        <w:rPr>
          <w:rFonts w:hint="eastAsia" w:ascii="宋体" w:hAnsi="宋体" w:eastAsia="宋体" w:cs="Times New Roman"/>
          <w:szCs w:val="21"/>
        </w:rPr>
        <w:t>系统优化、</w:t>
      </w:r>
      <w:r>
        <w:rPr>
          <w:rFonts w:ascii="宋体" w:hAnsi="宋体" w:eastAsia="宋体" w:cs="Times New Roman"/>
          <w:szCs w:val="21"/>
        </w:rPr>
        <w:t>升级补丁等。对问题的处理过程进行记录和跟踪，确保问题得到彻底解决。</w:t>
      </w:r>
    </w:p>
    <w:p w14:paraId="77CC0464">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8.2.6.4数据备份与恢复</w:t>
      </w:r>
    </w:p>
    <w:p w14:paraId="68D160A5">
      <w:pPr>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备份策略制定</w:t>
      </w:r>
    </w:p>
    <w:p w14:paraId="43757E9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根据系统的重要性和数据的价值，制定合理的数据备份策略。确定备份的频率、备份的内容、备份的存储位置等。对于重要数据，应采用多重备份方式，确保数据的安全性和可恢复性。</w:t>
      </w:r>
    </w:p>
    <w:p w14:paraId="0D857EB5">
      <w:pPr>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备份执行与监控</w:t>
      </w:r>
    </w:p>
    <w:p w14:paraId="555AAD2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按照备份策略进行数据备份，并对备份过程进行监控。使用备份软件对数据进行自动备份，并实时监测备份的进度和状态。如果备份过程中出现问题，应及时进行处理，确保备份的顺利进行。</w:t>
      </w:r>
    </w:p>
    <w:p w14:paraId="12B1DBB5">
      <w:pPr>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恢复测试与演练</w:t>
      </w:r>
    </w:p>
    <w:p w14:paraId="4C46721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定期进行数据恢复测试和演练，确保在发生数据丢失或损坏的情况下，能够快速恢复数据。每季度进行一次数据恢复测试，模拟数据丢失的场景，验证备份数据的完整性和可用性，以及数据恢复的过程和时间。</w:t>
      </w:r>
    </w:p>
    <w:p w14:paraId="4594A7B0">
      <w:pPr>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备份数据管理</w:t>
      </w:r>
    </w:p>
    <w:p w14:paraId="72F1ED0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对备份数据进行管理和维护，确保备份数据的安全性和可访问性。定期对备份数据进行清理和归档，删除无用的备份数据，释放存储空间。同时，对备份数据进行加密和存储，防止数据泄露。</w:t>
      </w:r>
    </w:p>
    <w:p w14:paraId="461EA9BD">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8.2.6.5</w:t>
      </w:r>
      <w:r>
        <w:rPr>
          <w:rFonts w:hint="eastAsia" w:asciiTheme="majorHAnsi" w:hAnsiTheme="majorHAnsi" w:eastAsiaTheme="majorEastAsia" w:cstheme="majorBidi"/>
          <w:b/>
          <w:bCs/>
          <w:szCs w:val="28"/>
        </w:rPr>
        <w:t>安全预警管理</w:t>
      </w:r>
    </w:p>
    <w:p w14:paraId="21629818">
      <w:pPr>
        <w:spacing w:line="360" w:lineRule="auto"/>
        <w:ind w:firstLine="315" w:firstLineChars="150"/>
        <w:jc w:val="left"/>
        <w:rPr>
          <w:rFonts w:hint="eastAsia" w:ascii="宋体" w:hAnsi="宋体"/>
          <w:szCs w:val="21"/>
        </w:rPr>
      </w:pPr>
      <w:r>
        <w:rPr>
          <w:rFonts w:ascii="宋体" w:hAnsi="宋体"/>
          <w:szCs w:val="21"/>
        </w:rPr>
        <w:t>为及时了解目前信息系统所运行的相关的操作系统、数据库系统、应用系统、网络与安全设备等被新发现的漏洞；为及时了解当前主要的攻击手段和安全事件；使得组织将相关风险防范于未然。</w:t>
      </w:r>
    </w:p>
    <w:p w14:paraId="5E71A1CA">
      <w:pPr>
        <w:spacing w:line="360" w:lineRule="auto"/>
        <w:ind w:firstLine="315" w:firstLineChars="150"/>
        <w:jc w:val="left"/>
        <w:rPr>
          <w:rFonts w:hint="eastAsia" w:ascii="宋体" w:hAnsi="宋体"/>
          <w:szCs w:val="21"/>
        </w:rPr>
      </w:pPr>
      <w:bookmarkStart w:id="359" w:name="_Toc187802043"/>
      <w:bookmarkStart w:id="360" w:name="_Toc182799698"/>
      <w:bookmarkStart w:id="361" w:name="_Toc187805021"/>
      <w:bookmarkStart w:id="362" w:name="_Toc187805034"/>
      <w:r>
        <w:rPr>
          <w:rFonts w:hint="eastAsia" w:ascii="宋体" w:hAnsi="宋体"/>
          <w:szCs w:val="21"/>
        </w:rPr>
        <w:t>1、</w:t>
      </w:r>
      <w:r>
        <w:rPr>
          <w:rFonts w:ascii="宋体" w:hAnsi="宋体"/>
          <w:szCs w:val="21"/>
        </w:rPr>
        <w:t>预警信息获取</w:t>
      </w:r>
      <w:bookmarkEnd w:id="359"/>
      <w:bookmarkEnd w:id="360"/>
      <w:bookmarkEnd w:id="361"/>
      <w:bookmarkEnd w:id="362"/>
    </w:p>
    <w:p w14:paraId="4858B0C1">
      <w:pPr>
        <w:spacing w:line="360" w:lineRule="auto"/>
        <w:ind w:firstLine="315" w:firstLineChars="150"/>
        <w:jc w:val="left"/>
        <w:rPr>
          <w:rFonts w:hint="eastAsia" w:ascii="宋体" w:hAnsi="宋体"/>
          <w:szCs w:val="21"/>
        </w:rPr>
      </w:pPr>
      <w:r>
        <w:rPr>
          <w:rFonts w:ascii="宋体" w:hAnsi="宋体"/>
          <w:szCs w:val="21"/>
        </w:rPr>
        <w:t>预警信息的来源主要有几种：</w:t>
      </w:r>
    </w:p>
    <w:p w14:paraId="0D81A4F2">
      <w:pPr>
        <w:numPr>
          <w:ilvl w:val="0"/>
          <w:numId w:val="145"/>
        </w:numPr>
        <w:spacing w:line="360" w:lineRule="auto"/>
        <w:rPr>
          <w:rFonts w:hint="eastAsia" w:ascii="宋体" w:hAnsi="宋体"/>
          <w:szCs w:val="21"/>
        </w:rPr>
      </w:pPr>
      <w:r>
        <w:rPr>
          <w:rFonts w:ascii="宋体" w:hAnsi="宋体"/>
          <w:szCs w:val="21"/>
        </w:rPr>
        <w:t>公开信息：操作系统厂商安全公告、产品厂商安全公告、国际安全组织安全公告等；</w:t>
      </w:r>
    </w:p>
    <w:p w14:paraId="41A1A0AB">
      <w:pPr>
        <w:numPr>
          <w:ilvl w:val="0"/>
          <w:numId w:val="145"/>
        </w:numPr>
        <w:spacing w:line="360" w:lineRule="auto"/>
        <w:rPr>
          <w:rFonts w:hint="eastAsia" w:ascii="宋体" w:hAnsi="宋体"/>
          <w:szCs w:val="21"/>
        </w:rPr>
      </w:pPr>
      <w:r>
        <w:rPr>
          <w:rFonts w:ascii="宋体" w:hAnsi="宋体"/>
          <w:szCs w:val="21"/>
        </w:rPr>
        <w:t>非公开信息：非公开研究组织研究的信息等；</w:t>
      </w:r>
    </w:p>
    <w:p w14:paraId="709DA845">
      <w:pPr>
        <w:numPr>
          <w:ilvl w:val="0"/>
          <w:numId w:val="145"/>
        </w:numPr>
        <w:spacing w:line="360" w:lineRule="auto"/>
        <w:rPr>
          <w:rFonts w:hint="eastAsia" w:ascii="宋体" w:hAnsi="宋体"/>
          <w:szCs w:val="21"/>
        </w:rPr>
      </w:pPr>
      <w:r>
        <w:rPr>
          <w:rFonts w:ascii="宋体" w:hAnsi="宋体"/>
          <w:szCs w:val="21"/>
        </w:rPr>
        <w:t>自行研发：组织有自己的信息安全研究机构；</w:t>
      </w:r>
    </w:p>
    <w:p w14:paraId="6B4D4B56">
      <w:pPr>
        <w:numPr>
          <w:ilvl w:val="0"/>
          <w:numId w:val="145"/>
        </w:numPr>
        <w:spacing w:line="360" w:lineRule="auto"/>
        <w:rPr>
          <w:rFonts w:hint="eastAsia" w:ascii="宋体" w:hAnsi="宋体"/>
          <w:szCs w:val="21"/>
        </w:rPr>
      </w:pPr>
      <w:r>
        <w:rPr>
          <w:rFonts w:ascii="宋体" w:hAnsi="宋体"/>
          <w:szCs w:val="21"/>
        </w:rPr>
        <w:t>第三方安全服务厂商提供：由第三方安全服务厂商提供预警信息服务。</w:t>
      </w:r>
    </w:p>
    <w:p w14:paraId="0F500E38">
      <w:pPr>
        <w:spacing w:line="360" w:lineRule="auto"/>
        <w:ind w:firstLine="315" w:firstLineChars="150"/>
        <w:jc w:val="left"/>
        <w:rPr>
          <w:rFonts w:hint="eastAsia" w:ascii="宋体" w:hAnsi="宋体"/>
          <w:szCs w:val="21"/>
        </w:rPr>
      </w:pPr>
      <w:bookmarkStart w:id="363" w:name="_Toc187802044"/>
      <w:bookmarkStart w:id="364" w:name="_Toc187805022"/>
      <w:bookmarkStart w:id="365" w:name="_Toc187805035"/>
      <w:bookmarkStart w:id="366" w:name="_Toc182799699"/>
      <w:r>
        <w:rPr>
          <w:rFonts w:hint="eastAsia" w:ascii="宋体" w:hAnsi="宋体"/>
          <w:szCs w:val="21"/>
        </w:rPr>
        <w:t>2、</w:t>
      </w:r>
      <w:r>
        <w:rPr>
          <w:rFonts w:ascii="宋体" w:hAnsi="宋体"/>
          <w:szCs w:val="21"/>
        </w:rPr>
        <w:t>预警信息整理</w:t>
      </w:r>
      <w:bookmarkEnd w:id="363"/>
      <w:bookmarkEnd w:id="364"/>
      <w:bookmarkEnd w:id="365"/>
      <w:bookmarkEnd w:id="366"/>
    </w:p>
    <w:p w14:paraId="0D3E2415">
      <w:pPr>
        <w:spacing w:line="360" w:lineRule="auto"/>
        <w:ind w:firstLine="315" w:firstLineChars="150"/>
        <w:jc w:val="left"/>
        <w:rPr>
          <w:rFonts w:hint="eastAsia" w:ascii="宋体" w:hAnsi="宋体"/>
          <w:szCs w:val="21"/>
        </w:rPr>
      </w:pPr>
      <w:r>
        <w:rPr>
          <w:rFonts w:ascii="宋体" w:hAnsi="宋体"/>
          <w:szCs w:val="21"/>
        </w:rPr>
        <w:t>预警信息整理主要从</w:t>
      </w:r>
      <w:r>
        <w:rPr>
          <w:rFonts w:hint="eastAsia" w:ascii="宋体" w:hAnsi="宋体"/>
          <w:szCs w:val="21"/>
        </w:rPr>
        <w:t>系统漏洞和系统攻击方法两个方面展开</w:t>
      </w:r>
      <w:r>
        <w:rPr>
          <w:rFonts w:ascii="宋体" w:hAnsi="宋体"/>
          <w:szCs w:val="21"/>
        </w:rPr>
        <w:t>。</w:t>
      </w:r>
      <w:r>
        <w:rPr>
          <w:rFonts w:hint="eastAsia" w:ascii="宋体" w:hAnsi="宋体"/>
          <w:szCs w:val="21"/>
        </w:rPr>
        <w:t>其中，系统漏洞预警信息的收集和发布，随业务系统和IT系统所使用的各种软件操作和网络设备及安全设备内核变更而保持随时升级、更新。</w:t>
      </w:r>
    </w:p>
    <w:p w14:paraId="23FAF3C6">
      <w:pPr>
        <w:spacing w:line="360" w:lineRule="auto"/>
        <w:ind w:firstLine="315" w:firstLineChars="150"/>
        <w:jc w:val="left"/>
        <w:rPr>
          <w:rFonts w:hint="eastAsia" w:ascii="宋体" w:hAnsi="宋体"/>
          <w:szCs w:val="21"/>
        </w:rPr>
      </w:pPr>
      <w:r>
        <w:rPr>
          <w:rFonts w:hint="eastAsia" w:ascii="宋体" w:hAnsi="宋体"/>
          <w:szCs w:val="21"/>
        </w:rPr>
        <w:t>安全管理员每月末前定期整理本月的系统漏洞、攻击预警信息，并向甲方发布。预警表的格式参见《系统漏洞预警表》和《系统攻击方法预警表》。</w:t>
      </w:r>
    </w:p>
    <w:p w14:paraId="6D66CAF8">
      <w:pPr>
        <w:spacing w:line="360" w:lineRule="auto"/>
        <w:ind w:firstLine="315" w:firstLineChars="150"/>
        <w:jc w:val="left"/>
        <w:rPr>
          <w:rFonts w:hint="eastAsia" w:ascii="宋体" w:hAnsi="宋体"/>
          <w:szCs w:val="21"/>
        </w:rPr>
      </w:pPr>
      <w:bookmarkStart w:id="367" w:name="_Toc187805036"/>
      <w:bookmarkStart w:id="368" w:name="_Toc187805023"/>
      <w:r>
        <w:rPr>
          <w:rFonts w:hint="eastAsia" w:ascii="宋体" w:hAnsi="宋体"/>
          <w:szCs w:val="21"/>
        </w:rPr>
        <w:t>3、系统漏洞预警</w:t>
      </w:r>
      <w:bookmarkEnd w:id="367"/>
      <w:bookmarkEnd w:id="368"/>
    </w:p>
    <w:p w14:paraId="1B857658">
      <w:pPr>
        <w:spacing w:line="360" w:lineRule="auto"/>
        <w:ind w:firstLine="315" w:firstLineChars="150"/>
        <w:jc w:val="left"/>
        <w:rPr>
          <w:rFonts w:hint="eastAsia" w:ascii="宋体" w:hAnsi="宋体"/>
          <w:szCs w:val="21"/>
          <w:shd w:val="pct15" w:color="auto" w:fill="FFFFFF"/>
        </w:rPr>
      </w:pPr>
      <w:r>
        <w:rPr>
          <w:rFonts w:hint="eastAsia" w:ascii="宋体" w:hAnsi="宋体"/>
          <w:szCs w:val="21"/>
          <w:shd w:val="pct15" w:color="auto" w:fill="FFFFFF"/>
        </w:rPr>
        <w:t>注：以下内容仅供参考，具体内容需结合项目所使用操作系统、数据库、中间件进行相应调整。</w:t>
      </w:r>
    </w:p>
    <w:p w14:paraId="6A19D752">
      <w:pPr>
        <w:numPr>
          <w:ilvl w:val="0"/>
          <w:numId w:val="146"/>
        </w:numPr>
        <w:tabs>
          <w:tab w:val="left" w:pos="720"/>
        </w:tabs>
        <w:spacing w:line="360" w:lineRule="auto"/>
        <w:ind w:left="720" w:hanging="360"/>
        <w:rPr>
          <w:rFonts w:hint="eastAsia" w:ascii="宋体" w:hAnsi="宋体"/>
          <w:bCs/>
          <w:szCs w:val="21"/>
        </w:rPr>
      </w:pPr>
      <w:r>
        <w:rPr>
          <w:rFonts w:ascii="宋体" w:hAnsi="宋体"/>
          <w:bCs/>
          <w:szCs w:val="21"/>
        </w:rPr>
        <w:t>操作系统类</w:t>
      </w:r>
    </w:p>
    <w:p w14:paraId="7C665E52">
      <w:pPr>
        <w:numPr>
          <w:ilvl w:val="2"/>
          <w:numId w:val="147"/>
        </w:numPr>
        <w:spacing w:line="360" w:lineRule="auto"/>
        <w:rPr>
          <w:rFonts w:hint="eastAsia" w:ascii="宋体" w:hAnsi="宋体"/>
          <w:szCs w:val="21"/>
        </w:rPr>
      </w:pPr>
      <w:r>
        <w:rPr>
          <w:rFonts w:ascii="宋体" w:hAnsi="宋体"/>
          <w:szCs w:val="21"/>
        </w:rPr>
        <w:t>Windows</w:t>
      </w:r>
    </w:p>
    <w:p w14:paraId="7E3D6174">
      <w:pPr>
        <w:numPr>
          <w:ilvl w:val="2"/>
          <w:numId w:val="147"/>
        </w:numPr>
        <w:spacing w:line="360" w:lineRule="auto"/>
        <w:rPr>
          <w:rFonts w:hint="eastAsia" w:ascii="宋体" w:hAnsi="宋体"/>
          <w:szCs w:val="21"/>
        </w:rPr>
      </w:pPr>
      <w:r>
        <w:rPr>
          <w:rFonts w:ascii="宋体" w:hAnsi="宋体"/>
          <w:szCs w:val="21"/>
        </w:rPr>
        <w:t>Linux系列（Redhat、</w:t>
      </w:r>
      <w:r>
        <w:rPr>
          <w:rFonts w:hint="eastAsia" w:ascii="宋体" w:hAnsi="宋体"/>
          <w:szCs w:val="21"/>
        </w:rPr>
        <w:t>CentOS、</w:t>
      </w:r>
      <w:r>
        <w:rPr>
          <w:rFonts w:ascii="宋体" w:hAnsi="宋体"/>
          <w:szCs w:val="21"/>
        </w:rPr>
        <w:t>Slackware、Debian、SUSE、OpenLinux、TurboLinux）</w:t>
      </w:r>
    </w:p>
    <w:p w14:paraId="13D08E1D">
      <w:pPr>
        <w:numPr>
          <w:ilvl w:val="0"/>
          <w:numId w:val="146"/>
        </w:numPr>
        <w:tabs>
          <w:tab w:val="left" w:pos="720"/>
        </w:tabs>
        <w:spacing w:line="360" w:lineRule="auto"/>
        <w:ind w:left="720" w:hanging="360"/>
        <w:rPr>
          <w:rFonts w:hint="eastAsia" w:ascii="宋体" w:hAnsi="宋体"/>
          <w:bCs/>
          <w:szCs w:val="21"/>
        </w:rPr>
      </w:pPr>
      <w:r>
        <w:rPr>
          <w:rFonts w:ascii="宋体" w:hAnsi="宋体"/>
          <w:bCs/>
          <w:szCs w:val="21"/>
        </w:rPr>
        <w:t>数据库类</w:t>
      </w:r>
    </w:p>
    <w:p w14:paraId="42E8A276">
      <w:pPr>
        <w:numPr>
          <w:ilvl w:val="2"/>
          <w:numId w:val="147"/>
        </w:numPr>
        <w:spacing w:line="360" w:lineRule="auto"/>
        <w:rPr>
          <w:rFonts w:hint="eastAsia" w:ascii="宋体" w:hAnsi="宋体"/>
          <w:szCs w:val="21"/>
        </w:rPr>
      </w:pPr>
      <w:r>
        <w:rPr>
          <w:rFonts w:ascii="宋体" w:hAnsi="宋体"/>
          <w:szCs w:val="21"/>
        </w:rPr>
        <w:t>Oracle</w:t>
      </w:r>
    </w:p>
    <w:p w14:paraId="71AD5DFC">
      <w:pPr>
        <w:numPr>
          <w:ilvl w:val="2"/>
          <w:numId w:val="147"/>
        </w:numPr>
        <w:spacing w:line="360" w:lineRule="auto"/>
        <w:rPr>
          <w:rFonts w:hint="eastAsia" w:ascii="宋体" w:hAnsi="宋体"/>
          <w:szCs w:val="21"/>
        </w:rPr>
      </w:pPr>
      <w:r>
        <w:rPr>
          <w:rFonts w:hint="eastAsia" w:ascii="宋体" w:hAnsi="宋体"/>
          <w:szCs w:val="21"/>
        </w:rPr>
        <w:t>MY</w:t>
      </w:r>
      <w:r>
        <w:rPr>
          <w:rFonts w:ascii="宋体" w:hAnsi="宋体"/>
          <w:szCs w:val="21"/>
        </w:rPr>
        <w:t>SQL</w:t>
      </w:r>
    </w:p>
    <w:p w14:paraId="22FB7393">
      <w:pPr>
        <w:numPr>
          <w:ilvl w:val="0"/>
          <w:numId w:val="146"/>
        </w:numPr>
        <w:tabs>
          <w:tab w:val="left" w:pos="720"/>
        </w:tabs>
        <w:spacing w:line="360" w:lineRule="auto"/>
        <w:ind w:left="720" w:hanging="360"/>
        <w:rPr>
          <w:rFonts w:hint="eastAsia" w:ascii="宋体" w:hAnsi="宋体"/>
          <w:bCs/>
          <w:szCs w:val="21"/>
        </w:rPr>
      </w:pPr>
      <w:r>
        <w:rPr>
          <w:rFonts w:ascii="宋体" w:hAnsi="宋体"/>
          <w:bCs/>
          <w:szCs w:val="21"/>
        </w:rPr>
        <w:t>网络应用服务类</w:t>
      </w:r>
    </w:p>
    <w:p w14:paraId="238D9EF4">
      <w:pPr>
        <w:numPr>
          <w:ilvl w:val="2"/>
          <w:numId w:val="147"/>
        </w:numPr>
        <w:spacing w:line="360" w:lineRule="auto"/>
        <w:rPr>
          <w:rFonts w:hint="eastAsia" w:ascii="宋体" w:hAnsi="宋体"/>
          <w:szCs w:val="21"/>
        </w:rPr>
      </w:pPr>
      <w:r>
        <w:rPr>
          <w:rFonts w:ascii="宋体" w:hAnsi="宋体"/>
          <w:szCs w:val="21"/>
        </w:rPr>
        <w:t>Tomcat系列Web服务器</w:t>
      </w:r>
    </w:p>
    <w:p w14:paraId="0B17B43C">
      <w:pPr>
        <w:spacing w:line="360" w:lineRule="auto"/>
        <w:ind w:firstLine="315" w:firstLineChars="150"/>
        <w:jc w:val="left"/>
        <w:rPr>
          <w:rFonts w:hint="eastAsia" w:ascii="宋体" w:hAnsi="宋体"/>
          <w:szCs w:val="21"/>
        </w:rPr>
      </w:pPr>
      <w:bookmarkStart w:id="369" w:name="_Toc187805037"/>
      <w:bookmarkStart w:id="370" w:name="_Toc187805024"/>
      <w:r>
        <w:rPr>
          <w:rFonts w:hint="eastAsia" w:ascii="宋体" w:hAnsi="宋体"/>
          <w:szCs w:val="21"/>
        </w:rPr>
        <w:t>4、系统攻击方法预警</w:t>
      </w:r>
      <w:bookmarkEnd w:id="369"/>
      <w:bookmarkEnd w:id="370"/>
    </w:p>
    <w:p w14:paraId="276A211D">
      <w:pPr>
        <w:spacing w:line="360" w:lineRule="auto"/>
        <w:ind w:firstLine="315" w:firstLineChars="150"/>
        <w:jc w:val="left"/>
        <w:rPr>
          <w:rFonts w:hint="eastAsia" w:ascii="宋体" w:hAnsi="宋体"/>
          <w:szCs w:val="21"/>
        </w:rPr>
      </w:pPr>
      <w:r>
        <w:rPr>
          <w:rFonts w:ascii="宋体" w:hAnsi="宋体"/>
          <w:szCs w:val="21"/>
        </w:rPr>
        <w:t>描述近段时间国际、国内发生的相关的信息安全事件、流行的攻击的手段和安全工具。</w:t>
      </w:r>
      <w:r>
        <w:rPr>
          <w:rFonts w:hint="eastAsia" w:ascii="宋体" w:hAnsi="宋体"/>
          <w:szCs w:val="21"/>
        </w:rPr>
        <w:t>同时结合工作经验及业务最佳实际，提出针对性的安全防范建议。</w:t>
      </w:r>
    </w:p>
    <w:p w14:paraId="2D851BAB">
      <w:pPr>
        <w:spacing w:line="360" w:lineRule="auto"/>
        <w:ind w:firstLine="315" w:firstLineChars="150"/>
        <w:jc w:val="left"/>
        <w:rPr>
          <w:rFonts w:hint="eastAsia" w:ascii="宋体" w:hAnsi="宋体"/>
          <w:szCs w:val="21"/>
        </w:rPr>
      </w:pPr>
      <w:bookmarkStart w:id="371" w:name="_Toc187805038"/>
      <w:bookmarkStart w:id="372" w:name="_Toc187805025"/>
      <w:bookmarkStart w:id="373" w:name="_Toc187802047"/>
      <w:bookmarkStart w:id="374" w:name="_Toc182799700"/>
      <w:r>
        <w:rPr>
          <w:rFonts w:hint="eastAsia" w:ascii="宋体" w:hAnsi="宋体"/>
          <w:szCs w:val="21"/>
        </w:rPr>
        <w:t>5、</w:t>
      </w:r>
      <w:r>
        <w:rPr>
          <w:rFonts w:ascii="宋体" w:hAnsi="宋体"/>
          <w:szCs w:val="21"/>
        </w:rPr>
        <w:t>预警信息分析统计</w:t>
      </w:r>
      <w:bookmarkEnd w:id="371"/>
      <w:bookmarkEnd w:id="372"/>
      <w:bookmarkEnd w:id="373"/>
      <w:bookmarkEnd w:id="374"/>
    </w:p>
    <w:p w14:paraId="6683498F">
      <w:pPr>
        <w:spacing w:line="360" w:lineRule="auto"/>
        <w:ind w:firstLine="315" w:firstLineChars="150"/>
        <w:jc w:val="left"/>
        <w:rPr>
          <w:rFonts w:hint="eastAsia" w:ascii="宋体" w:hAnsi="宋体"/>
          <w:szCs w:val="21"/>
        </w:rPr>
      </w:pPr>
      <w:r>
        <w:rPr>
          <w:rFonts w:ascii="宋体" w:hAnsi="宋体"/>
          <w:szCs w:val="21"/>
        </w:rPr>
        <w:t>在分析统计阶段主要是进行针对性、严重程度和紧急程度的分析，并进行总体描述、趋势分析和重点介绍。应该根据实际情况选择是紧急发布还是日常发布。</w:t>
      </w:r>
    </w:p>
    <w:p w14:paraId="55A9D601">
      <w:pPr>
        <w:spacing w:line="360" w:lineRule="auto"/>
        <w:ind w:firstLine="315" w:firstLineChars="150"/>
        <w:jc w:val="left"/>
        <w:rPr>
          <w:rFonts w:hint="eastAsia" w:ascii="宋体" w:hAnsi="宋体"/>
          <w:szCs w:val="21"/>
        </w:rPr>
      </w:pPr>
      <w:r>
        <w:rPr>
          <w:rFonts w:ascii="宋体" w:hAnsi="宋体"/>
          <w:szCs w:val="21"/>
        </w:rPr>
        <w:t>针对性是根据预警信息内容判断其是否适合本组织的实际运行环境，如果是则存入数据库，如果已经没有什么适用性则可以保存到其他地方进行备用。</w:t>
      </w:r>
    </w:p>
    <w:p w14:paraId="6F83C325">
      <w:pPr>
        <w:spacing w:line="360" w:lineRule="auto"/>
        <w:ind w:firstLine="315" w:firstLineChars="150"/>
        <w:jc w:val="left"/>
        <w:rPr>
          <w:rFonts w:hint="eastAsia" w:ascii="宋体" w:hAnsi="宋体"/>
          <w:szCs w:val="21"/>
        </w:rPr>
      </w:pPr>
      <w:r>
        <w:rPr>
          <w:rFonts w:ascii="宋体" w:hAnsi="宋体"/>
          <w:szCs w:val="21"/>
        </w:rPr>
        <w:t>其中总体描述是对本次发布的所有预警信息的一个归纳性总结，趋势分析是对整个安全趋势的总结和预测，重点介绍是将预警信息中重要的、紧急的或容易忽略的进行说明。</w:t>
      </w:r>
    </w:p>
    <w:p w14:paraId="2CE25A07">
      <w:pPr>
        <w:spacing w:line="360" w:lineRule="auto"/>
        <w:ind w:firstLine="315" w:firstLineChars="150"/>
        <w:jc w:val="left"/>
        <w:rPr>
          <w:rFonts w:hint="eastAsia" w:ascii="宋体" w:hAnsi="宋体"/>
          <w:szCs w:val="21"/>
        </w:rPr>
      </w:pPr>
      <w:r>
        <w:rPr>
          <w:rFonts w:ascii="宋体" w:hAnsi="宋体"/>
          <w:szCs w:val="21"/>
        </w:rPr>
        <w:t>当预警信息的级别为紧急时应选择紧急发布流程。</w:t>
      </w:r>
    </w:p>
    <w:p w14:paraId="02A4947D">
      <w:pPr>
        <w:spacing w:line="360" w:lineRule="auto"/>
        <w:ind w:firstLine="315" w:firstLineChars="150"/>
        <w:jc w:val="left"/>
        <w:rPr>
          <w:rFonts w:hint="eastAsia" w:ascii="宋体" w:hAnsi="宋体"/>
          <w:szCs w:val="21"/>
        </w:rPr>
      </w:pPr>
      <w:bookmarkStart w:id="375" w:name="_Toc187805039"/>
      <w:bookmarkStart w:id="376" w:name="_Toc187802048"/>
      <w:bookmarkStart w:id="377" w:name="_Toc182799701"/>
      <w:bookmarkStart w:id="378" w:name="_Toc187805026"/>
      <w:r>
        <w:rPr>
          <w:rFonts w:hint="eastAsia" w:ascii="宋体" w:hAnsi="宋体"/>
          <w:szCs w:val="21"/>
        </w:rPr>
        <w:t>6、</w:t>
      </w:r>
      <w:r>
        <w:rPr>
          <w:rFonts w:ascii="宋体" w:hAnsi="宋体"/>
          <w:szCs w:val="21"/>
        </w:rPr>
        <w:t>预警信息发布/反馈</w:t>
      </w:r>
      <w:bookmarkEnd w:id="375"/>
      <w:bookmarkEnd w:id="376"/>
      <w:bookmarkEnd w:id="377"/>
      <w:bookmarkEnd w:id="378"/>
    </w:p>
    <w:p w14:paraId="7EE13FFF">
      <w:pPr>
        <w:spacing w:line="360" w:lineRule="auto"/>
        <w:ind w:firstLine="315" w:firstLineChars="150"/>
        <w:jc w:val="left"/>
        <w:rPr>
          <w:rFonts w:hint="eastAsia" w:ascii="宋体" w:hAnsi="宋体"/>
          <w:szCs w:val="21"/>
        </w:rPr>
      </w:pPr>
      <w:r>
        <w:rPr>
          <w:rFonts w:ascii="宋体" w:hAnsi="宋体"/>
          <w:szCs w:val="21"/>
        </w:rPr>
        <w:t>发布方式为</w:t>
      </w:r>
      <w:r>
        <w:rPr>
          <w:rFonts w:hint="eastAsia" w:ascii="宋体" w:hAnsi="宋体"/>
          <w:szCs w:val="21"/>
        </w:rPr>
        <w:t>邮件</w:t>
      </w:r>
      <w:r>
        <w:rPr>
          <w:rFonts w:ascii="宋体" w:hAnsi="宋体"/>
          <w:szCs w:val="21"/>
        </w:rPr>
        <w:t>。预警信息的发布分为紧急发布、日常发布</w:t>
      </w:r>
      <w:r>
        <w:rPr>
          <w:rFonts w:hint="eastAsia" w:ascii="宋体" w:hAnsi="宋体"/>
          <w:szCs w:val="21"/>
        </w:rPr>
        <w:t>两种方式：</w:t>
      </w:r>
    </w:p>
    <w:p w14:paraId="22610982">
      <w:pPr>
        <w:numPr>
          <w:ilvl w:val="0"/>
          <w:numId w:val="148"/>
        </w:numPr>
        <w:spacing w:line="360" w:lineRule="auto"/>
        <w:jc w:val="left"/>
        <w:rPr>
          <w:rFonts w:hint="eastAsia" w:ascii="宋体" w:hAnsi="宋体"/>
          <w:szCs w:val="21"/>
        </w:rPr>
      </w:pPr>
      <w:r>
        <w:rPr>
          <w:rFonts w:ascii="宋体" w:hAnsi="宋体"/>
          <w:szCs w:val="21"/>
        </w:rPr>
        <w:t>其中紧急发布为获取漏洞的工作日当天进行发布</w:t>
      </w:r>
      <w:r>
        <w:rPr>
          <w:rFonts w:hint="eastAsia" w:ascii="宋体" w:hAnsi="宋体"/>
          <w:szCs w:val="21"/>
        </w:rPr>
        <w:t>；</w:t>
      </w:r>
    </w:p>
    <w:p w14:paraId="7FB691F8">
      <w:pPr>
        <w:numPr>
          <w:ilvl w:val="0"/>
          <w:numId w:val="148"/>
        </w:numPr>
        <w:spacing w:line="360" w:lineRule="auto"/>
        <w:jc w:val="left"/>
        <w:rPr>
          <w:rFonts w:hint="eastAsia" w:ascii="宋体" w:hAnsi="宋体"/>
          <w:szCs w:val="21"/>
        </w:rPr>
      </w:pPr>
      <w:r>
        <w:rPr>
          <w:rFonts w:ascii="宋体" w:hAnsi="宋体"/>
          <w:szCs w:val="21"/>
        </w:rPr>
        <w:t>日常发布为每周一次预警信息发布。</w:t>
      </w:r>
    </w:p>
    <w:p w14:paraId="1A0ADDD1">
      <w:pPr>
        <w:spacing w:line="360" w:lineRule="auto"/>
        <w:ind w:firstLine="315" w:firstLineChars="150"/>
        <w:jc w:val="left"/>
        <w:rPr>
          <w:rFonts w:eastAsia="仿宋_GB2312"/>
          <w:szCs w:val="21"/>
        </w:rPr>
      </w:pPr>
      <w:r>
        <w:rPr>
          <w:rFonts w:ascii="宋体" w:hAnsi="宋体"/>
          <w:szCs w:val="21"/>
        </w:rPr>
        <w:t>反馈应在接收到预警信息的当天予以回复，回复以MAIL方式为主要依据。</w:t>
      </w:r>
      <w:r>
        <w:rPr>
          <w:rFonts w:hint="eastAsia" w:ascii="宋体" w:hAnsi="宋体"/>
          <w:szCs w:val="21"/>
        </w:rPr>
        <w:t>当</w:t>
      </w:r>
      <w:r>
        <w:rPr>
          <w:rFonts w:ascii="宋体" w:hAnsi="宋体"/>
          <w:szCs w:val="21"/>
        </w:rPr>
        <w:t>预警信息正常发布并正常反馈后，则可以认为一次预警信息发布成功。</w:t>
      </w:r>
    </w:p>
    <w:p w14:paraId="2DEC652E">
      <w:pPr>
        <w:spacing w:line="360" w:lineRule="auto"/>
        <w:ind w:firstLine="315" w:firstLineChars="150"/>
        <w:jc w:val="left"/>
        <w:rPr>
          <w:rFonts w:hint="eastAsia" w:ascii="宋体" w:hAnsi="宋体"/>
          <w:szCs w:val="21"/>
        </w:rPr>
      </w:pPr>
      <w:bookmarkStart w:id="379" w:name="_Toc187805041"/>
      <w:bookmarkStart w:id="380" w:name="_Toc187805028"/>
      <w:bookmarkStart w:id="381" w:name="_Toc182799703"/>
      <w:bookmarkStart w:id="382" w:name="_Toc187802050"/>
      <w:r>
        <w:rPr>
          <w:rFonts w:hint="eastAsia" w:ascii="宋体" w:hAnsi="宋体"/>
          <w:szCs w:val="21"/>
        </w:rPr>
        <w:t>7、</w:t>
      </w:r>
      <w:r>
        <w:rPr>
          <w:rFonts w:ascii="宋体" w:hAnsi="宋体"/>
          <w:szCs w:val="21"/>
        </w:rPr>
        <w:t>预警工作汇报</w:t>
      </w:r>
      <w:bookmarkEnd w:id="379"/>
      <w:bookmarkEnd w:id="380"/>
      <w:bookmarkEnd w:id="381"/>
      <w:bookmarkEnd w:id="382"/>
    </w:p>
    <w:p w14:paraId="60F26FC6">
      <w:pPr>
        <w:spacing w:line="360" w:lineRule="auto"/>
        <w:ind w:firstLine="315" w:firstLineChars="150"/>
        <w:jc w:val="left"/>
        <w:rPr>
          <w:rFonts w:hint="eastAsia" w:ascii="宋体" w:hAnsi="宋体"/>
          <w:szCs w:val="21"/>
        </w:rPr>
      </w:pPr>
      <w:r>
        <w:rPr>
          <w:rFonts w:ascii="宋体" w:hAnsi="宋体"/>
          <w:szCs w:val="21"/>
        </w:rPr>
        <w:t>信息安全</w:t>
      </w:r>
      <w:r>
        <w:rPr>
          <w:rFonts w:hint="eastAsia" w:ascii="宋体" w:hAnsi="宋体"/>
          <w:szCs w:val="21"/>
        </w:rPr>
        <w:t>管理员负责日常信息安全</w:t>
      </w:r>
      <w:r>
        <w:rPr>
          <w:rFonts w:ascii="宋体" w:hAnsi="宋体"/>
          <w:szCs w:val="21"/>
        </w:rPr>
        <w:t>预警</w:t>
      </w:r>
      <w:r>
        <w:rPr>
          <w:rFonts w:hint="eastAsia" w:ascii="宋体" w:hAnsi="宋体"/>
          <w:szCs w:val="21"/>
        </w:rPr>
        <w:t>工作的开展</w:t>
      </w:r>
      <w:r>
        <w:rPr>
          <w:rFonts w:ascii="宋体" w:hAnsi="宋体"/>
          <w:szCs w:val="21"/>
        </w:rPr>
        <w:t>，并负责向</w:t>
      </w:r>
      <w:r>
        <w:rPr>
          <w:rFonts w:hint="eastAsia" w:ascii="宋体" w:hAnsi="宋体"/>
          <w:szCs w:val="21"/>
        </w:rPr>
        <w:t>主管</w:t>
      </w:r>
      <w:r>
        <w:rPr>
          <w:rFonts w:ascii="宋体" w:hAnsi="宋体"/>
          <w:szCs w:val="21"/>
        </w:rPr>
        <w:t>领导进行预警工作的汇报。一般情况下应</w:t>
      </w:r>
      <w:r>
        <w:rPr>
          <w:rFonts w:hint="eastAsia" w:ascii="宋体" w:hAnsi="宋体"/>
          <w:szCs w:val="21"/>
        </w:rPr>
        <w:t>每季度</w:t>
      </w:r>
      <w:r>
        <w:rPr>
          <w:rFonts w:ascii="宋体" w:hAnsi="宋体"/>
          <w:szCs w:val="21"/>
        </w:rPr>
        <w:t>进行一次汇报，汇报的内容应包括以下一些内容，汇报的表格见附件《预警工作汇报表》：</w:t>
      </w:r>
    </w:p>
    <w:p w14:paraId="4FB6E582">
      <w:pPr>
        <w:numPr>
          <w:ilvl w:val="0"/>
          <w:numId w:val="145"/>
        </w:numPr>
        <w:spacing w:line="360" w:lineRule="auto"/>
        <w:rPr>
          <w:rFonts w:hint="eastAsia" w:ascii="宋体" w:hAnsi="宋体"/>
          <w:szCs w:val="21"/>
        </w:rPr>
      </w:pPr>
      <w:r>
        <w:rPr>
          <w:rFonts w:ascii="宋体" w:hAnsi="宋体"/>
          <w:szCs w:val="21"/>
        </w:rPr>
        <w:t>漏洞数量及严重程度</w:t>
      </w:r>
    </w:p>
    <w:p w14:paraId="368F7941">
      <w:pPr>
        <w:numPr>
          <w:ilvl w:val="0"/>
          <w:numId w:val="145"/>
        </w:numPr>
        <w:spacing w:line="360" w:lineRule="auto"/>
        <w:rPr>
          <w:rFonts w:hint="eastAsia" w:ascii="宋体" w:hAnsi="宋体"/>
          <w:szCs w:val="21"/>
        </w:rPr>
      </w:pPr>
      <w:r>
        <w:rPr>
          <w:rFonts w:ascii="宋体" w:hAnsi="宋体"/>
          <w:szCs w:val="21"/>
        </w:rPr>
        <w:t>发送单位列表</w:t>
      </w:r>
    </w:p>
    <w:p w14:paraId="392B81F7">
      <w:pPr>
        <w:numPr>
          <w:ilvl w:val="0"/>
          <w:numId w:val="145"/>
        </w:numPr>
        <w:spacing w:line="360" w:lineRule="auto"/>
        <w:rPr>
          <w:rFonts w:hint="eastAsia" w:ascii="宋体" w:hAnsi="宋体"/>
          <w:szCs w:val="21"/>
        </w:rPr>
      </w:pPr>
      <w:r>
        <w:rPr>
          <w:rFonts w:ascii="宋体" w:hAnsi="宋体"/>
          <w:szCs w:val="21"/>
        </w:rPr>
        <w:t>是否收到反馈</w:t>
      </w:r>
    </w:p>
    <w:p w14:paraId="5525A1EB">
      <w:pPr>
        <w:numPr>
          <w:ilvl w:val="0"/>
          <w:numId w:val="145"/>
        </w:numPr>
        <w:spacing w:line="360" w:lineRule="auto"/>
        <w:rPr>
          <w:rFonts w:hint="eastAsia" w:ascii="宋体" w:hAnsi="宋体"/>
          <w:szCs w:val="21"/>
        </w:rPr>
      </w:pPr>
      <w:r>
        <w:rPr>
          <w:rFonts w:ascii="宋体" w:hAnsi="宋体"/>
          <w:szCs w:val="21"/>
        </w:rPr>
        <w:t>目前流行的攻击工具、方法、事件等总结</w:t>
      </w:r>
    </w:p>
    <w:p w14:paraId="1FC18F43">
      <w:pPr>
        <w:numPr>
          <w:ilvl w:val="0"/>
          <w:numId w:val="145"/>
        </w:numPr>
        <w:spacing w:line="360" w:lineRule="auto"/>
        <w:rPr>
          <w:rFonts w:hint="eastAsia" w:ascii="宋体" w:hAnsi="宋体"/>
          <w:szCs w:val="21"/>
        </w:rPr>
      </w:pPr>
      <w:r>
        <w:rPr>
          <w:rFonts w:ascii="宋体" w:hAnsi="宋体"/>
          <w:szCs w:val="21"/>
        </w:rPr>
        <w:t>通过预警工作取得的效果</w:t>
      </w:r>
    </w:p>
    <w:p w14:paraId="5FA1BD7A">
      <w:pPr>
        <w:spacing w:line="360" w:lineRule="auto"/>
        <w:ind w:firstLine="315" w:firstLineChars="150"/>
        <w:jc w:val="left"/>
        <w:rPr>
          <w:rFonts w:hint="eastAsia" w:ascii="宋体" w:hAnsi="宋体"/>
          <w:szCs w:val="21"/>
        </w:rPr>
      </w:pPr>
      <w:bookmarkStart w:id="383" w:name="_Toc182799705"/>
      <w:bookmarkStart w:id="384" w:name="_Toc187805029"/>
      <w:bookmarkStart w:id="385" w:name="_Toc187805042"/>
      <w:bookmarkStart w:id="386" w:name="_Toc187802051"/>
      <w:r>
        <w:rPr>
          <w:rFonts w:hint="eastAsia" w:ascii="宋体" w:hAnsi="宋体"/>
          <w:szCs w:val="21"/>
        </w:rPr>
        <w:t>8、</w:t>
      </w:r>
      <w:r>
        <w:rPr>
          <w:rFonts w:ascii="宋体" w:hAnsi="宋体"/>
          <w:szCs w:val="21"/>
        </w:rPr>
        <w:t>相关记录</w:t>
      </w:r>
      <w:bookmarkEnd w:id="383"/>
      <w:bookmarkEnd w:id="384"/>
      <w:bookmarkEnd w:id="385"/>
      <w:bookmarkEnd w:id="386"/>
    </w:p>
    <w:p w14:paraId="5AEEDDBD">
      <w:pPr>
        <w:numPr>
          <w:ilvl w:val="1"/>
          <w:numId w:val="145"/>
        </w:numPr>
        <w:tabs>
          <w:tab w:val="left" w:pos="900"/>
        </w:tabs>
        <w:spacing w:line="360" w:lineRule="auto"/>
        <w:ind w:left="900" w:hanging="540"/>
        <w:jc w:val="left"/>
        <w:rPr>
          <w:rFonts w:hint="eastAsia" w:ascii="宋体" w:hAnsi="宋体"/>
          <w:szCs w:val="21"/>
        </w:rPr>
      </w:pPr>
      <w:r>
        <w:rPr>
          <w:rFonts w:hint="eastAsia" w:ascii="宋体" w:hAnsi="宋体"/>
          <w:szCs w:val="21"/>
        </w:rPr>
        <w:t>系统漏洞预警表</w:t>
      </w:r>
    </w:p>
    <w:p w14:paraId="18BD957F">
      <w:pPr>
        <w:numPr>
          <w:ilvl w:val="1"/>
          <w:numId w:val="145"/>
        </w:numPr>
        <w:tabs>
          <w:tab w:val="left" w:pos="900"/>
        </w:tabs>
        <w:spacing w:line="360" w:lineRule="auto"/>
        <w:ind w:left="900" w:hanging="540"/>
        <w:jc w:val="left"/>
        <w:rPr>
          <w:rFonts w:hint="eastAsia" w:ascii="宋体" w:hAnsi="宋体"/>
          <w:szCs w:val="21"/>
        </w:rPr>
      </w:pPr>
      <w:r>
        <w:rPr>
          <w:rFonts w:hint="eastAsia" w:ascii="宋体" w:hAnsi="宋体"/>
          <w:szCs w:val="21"/>
        </w:rPr>
        <w:t>系统攻击方法预警表</w:t>
      </w:r>
    </w:p>
    <w:p w14:paraId="3C1CE9F3">
      <w:pPr>
        <w:numPr>
          <w:ilvl w:val="1"/>
          <w:numId w:val="145"/>
        </w:numPr>
        <w:tabs>
          <w:tab w:val="left" w:pos="900"/>
        </w:tabs>
        <w:spacing w:line="360" w:lineRule="auto"/>
        <w:ind w:left="900" w:hanging="540"/>
        <w:jc w:val="left"/>
        <w:rPr>
          <w:rFonts w:hint="eastAsia" w:ascii="宋体" w:hAnsi="宋体"/>
          <w:szCs w:val="21"/>
        </w:rPr>
      </w:pPr>
      <w:r>
        <w:rPr>
          <w:rFonts w:ascii="宋体" w:hAnsi="宋体"/>
          <w:szCs w:val="21"/>
        </w:rPr>
        <w:t>预警工作汇报表</w:t>
      </w:r>
    </w:p>
    <w:p w14:paraId="3C47EDB0">
      <w:pPr>
        <w:spacing w:line="360" w:lineRule="auto"/>
        <w:jc w:val="center"/>
        <w:rPr>
          <w:rFonts w:hint="eastAsia" w:ascii="宋体" w:hAnsi="宋体"/>
          <w:b/>
          <w:sz w:val="28"/>
          <w:szCs w:val="28"/>
        </w:rPr>
      </w:pPr>
      <w:r>
        <w:rPr>
          <w:rFonts w:hint="eastAsia" w:ascii="宋体" w:hAnsi="宋体"/>
          <w:b/>
          <w:sz w:val="28"/>
          <w:szCs w:val="28"/>
        </w:rPr>
        <w:t>系统漏洞预警表</w:t>
      </w:r>
    </w:p>
    <w:p w14:paraId="2E764DAF">
      <w:pPr>
        <w:spacing w:line="360" w:lineRule="auto"/>
        <w:jc w:val="left"/>
        <w:rPr>
          <w:rFonts w:hint="eastAsia" w:asciiTheme="minorEastAsia" w:hAnsiTheme="minorEastAsia"/>
          <w:szCs w:val="21"/>
        </w:rPr>
      </w:pPr>
      <w:r>
        <w:rPr>
          <w:rFonts w:asciiTheme="minorEastAsia" w:hAnsiTheme="minorEastAsia"/>
          <w:szCs w:val="21"/>
        </w:rPr>
        <w:t>编号：</w:t>
      </w:r>
    </w:p>
    <w:tbl>
      <w:tblPr>
        <w:tblStyle w:val="40"/>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2525"/>
        <w:gridCol w:w="1440"/>
        <w:gridCol w:w="3240"/>
      </w:tblGrid>
      <w:tr w14:paraId="069D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388"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0B8EF6C3">
            <w:pPr>
              <w:spacing w:line="360" w:lineRule="auto"/>
              <w:ind w:firstLine="105" w:firstLineChars="50"/>
              <w:jc w:val="center"/>
              <w:rPr>
                <w:rFonts w:hint="eastAsia" w:asciiTheme="minorEastAsia" w:hAnsiTheme="minorEastAsia"/>
                <w:b/>
                <w:szCs w:val="21"/>
              </w:rPr>
            </w:pPr>
            <w:r>
              <w:rPr>
                <w:rFonts w:hint="eastAsia" w:asciiTheme="minorEastAsia" w:hAnsiTheme="minorEastAsia"/>
                <w:b/>
                <w:szCs w:val="21"/>
              </w:rPr>
              <w:t>基本信息</w:t>
            </w:r>
          </w:p>
        </w:tc>
      </w:tr>
      <w:tr w14:paraId="7F86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5CE803B3">
            <w:pPr>
              <w:spacing w:line="360" w:lineRule="auto"/>
              <w:jc w:val="center"/>
              <w:rPr>
                <w:rFonts w:hint="eastAsia" w:asciiTheme="minorEastAsia" w:hAnsiTheme="minorEastAsia"/>
                <w:szCs w:val="21"/>
              </w:rPr>
            </w:pPr>
            <w:r>
              <w:rPr>
                <w:rFonts w:hint="eastAsia" w:asciiTheme="minorEastAsia" w:hAnsiTheme="minorEastAsia"/>
                <w:szCs w:val="21"/>
              </w:rPr>
              <w:t>预警日期</w:t>
            </w:r>
          </w:p>
        </w:tc>
        <w:tc>
          <w:tcPr>
            <w:tcW w:w="2525" w:type="dxa"/>
            <w:tcBorders>
              <w:top w:val="single" w:color="auto" w:sz="4" w:space="0"/>
              <w:left w:val="single" w:color="auto" w:sz="4" w:space="0"/>
              <w:bottom w:val="single" w:color="auto" w:sz="4" w:space="0"/>
              <w:right w:val="single" w:color="auto" w:sz="4" w:space="0"/>
            </w:tcBorders>
            <w:vAlign w:val="center"/>
          </w:tcPr>
          <w:p w14:paraId="4BE2BF12">
            <w:pPr>
              <w:spacing w:line="360" w:lineRule="auto"/>
              <w:ind w:firstLine="630" w:firstLineChars="300"/>
              <w:rPr>
                <w:rFonts w:hint="eastAsia" w:asciiTheme="minorEastAsia" w:hAnsiTheme="minorEastAsia"/>
                <w:szCs w:val="21"/>
                <w:u w:val="single"/>
              </w:rPr>
            </w:pPr>
            <w:r>
              <w:rPr>
                <w:rFonts w:hint="eastAsia" w:asciiTheme="minorEastAsia" w:hAnsiTheme="minorEastAsia"/>
                <w:szCs w:val="21"/>
              </w:rPr>
              <w:t>年月日</w:t>
            </w:r>
          </w:p>
        </w:tc>
        <w:tc>
          <w:tcPr>
            <w:tcW w:w="1440" w:type="dxa"/>
            <w:tcBorders>
              <w:top w:val="single" w:color="auto" w:sz="4" w:space="0"/>
              <w:left w:val="single" w:color="auto" w:sz="4" w:space="0"/>
              <w:bottom w:val="single" w:color="auto" w:sz="4" w:space="0"/>
              <w:right w:val="single" w:color="auto" w:sz="4" w:space="0"/>
            </w:tcBorders>
            <w:vAlign w:val="center"/>
          </w:tcPr>
          <w:p w14:paraId="54C8F599">
            <w:pPr>
              <w:spacing w:line="360" w:lineRule="auto"/>
              <w:ind w:firstLine="105" w:firstLineChars="50"/>
              <w:rPr>
                <w:rFonts w:hint="eastAsia" w:asciiTheme="minorEastAsia" w:hAnsiTheme="minorEastAsia"/>
                <w:szCs w:val="21"/>
              </w:rPr>
            </w:pPr>
            <w:r>
              <w:rPr>
                <w:rFonts w:hint="eastAsia" w:asciiTheme="minorEastAsia" w:hAnsiTheme="minorEastAsia"/>
                <w:szCs w:val="21"/>
              </w:rPr>
              <w:t>预警时间段</w:t>
            </w:r>
          </w:p>
        </w:tc>
        <w:tc>
          <w:tcPr>
            <w:tcW w:w="3240" w:type="dxa"/>
            <w:tcBorders>
              <w:top w:val="single" w:color="auto" w:sz="4" w:space="0"/>
              <w:left w:val="single" w:color="auto" w:sz="4" w:space="0"/>
              <w:bottom w:val="single" w:color="auto" w:sz="4" w:space="0"/>
              <w:right w:val="single" w:color="auto" w:sz="4" w:space="0"/>
            </w:tcBorders>
            <w:vAlign w:val="center"/>
          </w:tcPr>
          <w:p w14:paraId="3C82C32D">
            <w:pPr>
              <w:spacing w:line="360" w:lineRule="auto"/>
              <w:ind w:firstLine="315" w:firstLineChars="150"/>
              <w:rPr>
                <w:rFonts w:hint="eastAsia" w:asciiTheme="minorEastAsia" w:hAnsiTheme="minorEastAsia"/>
                <w:szCs w:val="21"/>
                <w:u w:val="single"/>
              </w:rPr>
            </w:pPr>
            <w:r>
              <w:rPr>
                <w:rFonts w:hint="eastAsia" w:asciiTheme="minorEastAsia" w:hAnsiTheme="minorEastAsia"/>
                <w:szCs w:val="21"/>
              </w:rPr>
              <w:t>年月日—年月日</w:t>
            </w:r>
          </w:p>
        </w:tc>
      </w:tr>
      <w:tr w14:paraId="632C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63CEB153">
            <w:pPr>
              <w:spacing w:line="360" w:lineRule="auto"/>
              <w:jc w:val="center"/>
              <w:rPr>
                <w:rFonts w:hint="eastAsia" w:asciiTheme="minorEastAsia" w:hAnsiTheme="minorEastAsia"/>
                <w:szCs w:val="21"/>
              </w:rPr>
            </w:pPr>
            <w:r>
              <w:rPr>
                <w:rFonts w:hint="eastAsia" w:asciiTheme="minorEastAsia" w:hAnsiTheme="minorEastAsia"/>
                <w:szCs w:val="21"/>
              </w:rPr>
              <w:t>漏洞名称</w:t>
            </w:r>
          </w:p>
        </w:tc>
        <w:tc>
          <w:tcPr>
            <w:tcW w:w="2525" w:type="dxa"/>
            <w:tcBorders>
              <w:top w:val="single" w:color="auto" w:sz="4" w:space="0"/>
              <w:left w:val="single" w:color="auto" w:sz="4" w:space="0"/>
              <w:bottom w:val="single" w:color="auto" w:sz="4" w:space="0"/>
              <w:right w:val="single" w:color="auto" w:sz="4" w:space="0"/>
            </w:tcBorders>
            <w:vAlign w:val="center"/>
          </w:tcPr>
          <w:p w14:paraId="0B759798">
            <w:pPr>
              <w:spacing w:line="360" w:lineRule="auto"/>
              <w:ind w:firstLine="105" w:firstLineChars="50"/>
              <w:rPr>
                <w:rFonts w:hint="eastAsia" w:asciiTheme="minorEastAsia" w:hAnsiTheme="minorEastAsia"/>
                <w:szCs w:val="21"/>
                <w:u w:val="single"/>
              </w:rPr>
            </w:pPr>
          </w:p>
        </w:tc>
        <w:tc>
          <w:tcPr>
            <w:tcW w:w="1440" w:type="dxa"/>
            <w:tcBorders>
              <w:top w:val="single" w:color="auto" w:sz="4" w:space="0"/>
              <w:left w:val="single" w:color="auto" w:sz="4" w:space="0"/>
              <w:bottom w:val="single" w:color="auto" w:sz="4" w:space="0"/>
              <w:right w:val="single" w:color="auto" w:sz="4" w:space="0"/>
            </w:tcBorders>
            <w:vAlign w:val="center"/>
          </w:tcPr>
          <w:p w14:paraId="39455EE9">
            <w:pPr>
              <w:spacing w:line="360" w:lineRule="auto"/>
              <w:ind w:firstLine="105" w:firstLineChars="50"/>
              <w:rPr>
                <w:rFonts w:hint="eastAsia" w:asciiTheme="minorEastAsia" w:hAnsiTheme="minorEastAsia"/>
                <w:szCs w:val="21"/>
              </w:rPr>
            </w:pPr>
            <w:r>
              <w:rPr>
                <w:rFonts w:hint="eastAsia" w:asciiTheme="minorEastAsia" w:hAnsiTheme="minorEastAsia"/>
                <w:szCs w:val="21"/>
              </w:rPr>
              <w:t>CVE编号</w:t>
            </w:r>
          </w:p>
        </w:tc>
        <w:tc>
          <w:tcPr>
            <w:tcW w:w="3240" w:type="dxa"/>
            <w:tcBorders>
              <w:top w:val="single" w:color="auto" w:sz="4" w:space="0"/>
              <w:left w:val="single" w:color="auto" w:sz="4" w:space="0"/>
              <w:bottom w:val="single" w:color="auto" w:sz="4" w:space="0"/>
              <w:right w:val="single" w:color="auto" w:sz="4" w:space="0"/>
            </w:tcBorders>
            <w:vAlign w:val="center"/>
          </w:tcPr>
          <w:p w14:paraId="3556EF6E">
            <w:pPr>
              <w:spacing w:line="360" w:lineRule="auto"/>
              <w:ind w:firstLine="105" w:firstLineChars="50"/>
              <w:rPr>
                <w:rFonts w:hint="eastAsia" w:asciiTheme="minorEastAsia" w:hAnsiTheme="minorEastAsia"/>
                <w:szCs w:val="21"/>
                <w:u w:val="single"/>
              </w:rPr>
            </w:pPr>
          </w:p>
        </w:tc>
      </w:tr>
      <w:tr w14:paraId="0799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2EDB8105">
            <w:pPr>
              <w:spacing w:line="360" w:lineRule="auto"/>
              <w:jc w:val="center"/>
              <w:rPr>
                <w:rFonts w:hint="eastAsia" w:asciiTheme="minorEastAsia" w:hAnsiTheme="minorEastAsia"/>
                <w:szCs w:val="21"/>
              </w:rPr>
            </w:pPr>
            <w:r>
              <w:rPr>
                <w:rFonts w:hint="eastAsia" w:asciiTheme="minorEastAsia" w:hAnsiTheme="minorEastAsia"/>
                <w:szCs w:val="21"/>
              </w:rPr>
              <w:t>漏洞级别</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35F15D68">
            <w:pPr>
              <w:spacing w:line="360" w:lineRule="auto"/>
              <w:ind w:firstLine="105" w:firstLineChars="50"/>
              <w:rPr>
                <w:rFonts w:hint="eastAsia" w:asciiTheme="minorEastAsia" w:hAnsiTheme="minorEastAsia"/>
                <w:szCs w:val="21"/>
                <w:u w:val="single"/>
              </w:rPr>
            </w:pPr>
            <w:r>
              <w:rPr>
                <w:rFonts w:hint="eastAsia" w:asciiTheme="minorEastAsia" w:hAnsiTheme="minorEastAsia"/>
                <w:szCs w:val="21"/>
              </w:rPr>
              <w:t>□紧急/□重要/□中度/□一般（</w:t>
            </w:r>
            <w:r>
              <w:rPr>
                <w:rFonts w:asciiTheme="minorEastAsia" w:hAnsiTheme="minorEastAsia"/>
                <w:color w:val="000000"/>
                <w:szCs w:val="21"/>
                <w:lang w:val="zh-CN"/>
              </w:rPr>
              <w:t>组织可先自行标定级别</w:t>
            </w:r>
            <w:r>
              <w:rPr>
                <w:rFonts w:hint="eastAsia" w:asciiTheme="minorEastAsia" w:hAnsiTheme="minorEastAsia"/>
                <w:szCs w:val="21"/>
              </w:rPr>
              <w:t>）</w:t>
            </w:r>
          </w:p>
        </w:tc>
      </w:tr>
      <w:tr w14:paraId="007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183" w:type="dxa"/>
            <w:tcBorders>
              <w:top w:val="single" w:color="auto" w:sz="4" w:space="0"/>
              <w:left w:val="single" w:color="auto" w:sz="4" w:space="0"/>
              <w:bottom w:val="single" w:color="auto" w:sz="4" w:space="0"/>
              <w:right w:val="single" w:color="auto" w:sz="4" w:space="0"/>
            </w:tcBorders>
            <w:vAlign w:val="center"/>
          </w:tcPr>
          <w:p w14:paraId="19AB59A1">
            <w:pPr>
              <w:spacing w:line="360" w:lineRule="auto"/>
              <w:jc w:val="center"/>
              <w:rPr>
                <w:rFonts w:hint="eastAsia" w:asciiTheme="minorEastAsia" w:hAnsiTheme="minorEastAsia"/>
                <w:szCs w:val="21"/>
              </w:rPr>
            </w:pPr>
            <w:r>
              <w:rPr>
                <w:rFonts w:hint="eastAsia" w:asciiTheme="minorEastAsia" w:hAnsiTheme="minorEastAsia"/>
                <w:szCs w:val="21"/>
              </w:rPr>
              <w:t>影响系统</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5D9A388C">
            <w:pPr>
              <w:spacing w:line="360" w:lineRule="auto"/>
              <w:ind w:firstLine="105" w:firstLineChars="50"/>
              <w:rPr>
                <w:rFonts w:hint="eastAsia" w:asciiTheme="minorEastAsia" w:hAnsiTheme="minorEastAsia"/>
                <w:szCs w:val="21"/>
              </w:rPr>
            </w:pPr>
            <w:r>
              <w:rPr>
                <w:rFonts w:hint="eastAsia" w:asciiTheme="minorEastAsia" w:hAnsiTheme="minorEastAsia"/>
                <w:color w:val="000000"/>
                <w:szCs w:val="21"/>
              </w:rPr>
              <w:t>（</w:t>
            </w:r>
            <w:r>
              <w:rPr>
                <w:rFonts w:asciiTheme="minorEastAsia" w:hAnsiTheme="minorEastAsia"/>
                <w:color w:val="000000"/>
                <w:szCs w:val="21"/>
                <w:lang w:val="zh-CN"/>
              </w:rPr>
              <w:t>表明系统名称和版本号，例如：windows200</w:t>
            </w:r>
            <w:r>
              <w:rPr>
                <w:rFonts w:hint="eastAsia" w:asciiTheme="minorEastAsia" w:hAnsiTheme="minorEastAsia"/>
                <w:color w:val="000000"/>
                <w:szCs w:val="21"/>
                <w:lang w:val="zh-CN"/>
              </w:rPr>
              <w:t>8</w:t>
            </w:r>
            <w:r>
              <w:rPr>
                <w:rFonts w:asciiTheme="minorEastAsia" w:hAnsiTheme="minorEastAsia"/>
                <w:color w:val="000000"/>
                <w:szCs w:val="21"/>
                <w:lang w:val="zh-CN"/>
              </w:rPr>
              <w:t>、</w:t>
            </w:r>
            <w:r>
              <w:rPr>
                <w:rFonts w:hint="eastAsia" w:asciiTheme="minorEastAsia" w:hAnsiTheme="minorEastAsia"/>
                <w:color w:val="000000"/>
                <w:szCs w:val="21"/>
                <w:lang w:val="zh-CN"/>
              </w:rPr>
              <w:t>CentOS</w:t>
            </w:r>
            <w:r>
              <w:rPr>
                <w:rFonts w:asciiTheme="minorEastAsia" w:hAnsiTheme="minorEastAsia"/>
                <w:color w:val="000000"/>
                <w:szCs w:val="21"/>
                <w:lang w:val="zh-CN"/>
              </w:rPr>
              <w:t>等，组织对负责收集的预警信息范围内的系统称呼应做到前后一致</w:t>
            </w:r>
            <w:r>
              <w:rPr>
                <w:rFonts w:hint="eastAsia" w:asciiTheme="minorEastAsia" w:hAnsiTheme="minorEastAsia"/>
                <w:color w:val="000000"/>
                <w:szCs w:val="21"/>
                <w:lang w:val="zh-CN"/>
              </w:rPr>
              <w:t>）</w:t>
            </w:r>
          </w:p>
        </w:tc>
      </w:tr>
      <w:tr w14:paraId="36BA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183" w:type="dxa"/>
            <w:tcBorders>
              <w:top w:val="single" w:color="auto" w:sz="4" w:space="0"/>
              <w:left w:val="single" w:color="auto" w:sz="4" w:space="0"/>
              <w:bottom w:val="single" w:color="auto" w:sz="4" w:space="0"/>
              <w:right w:val="single" w:color="auto" w:sz="4" w:space="0"/>
            </w:tcBorders>
            <w:vAlign w:val="center"/>
          </w:tcPr>
          <w:p w14:paraId="209C1B11">
            <w:pPr>
              <w:spacing w:line="360" w:lineRule="auto"/>
              <w:jc w:val="center"/>
              <w:rPr>
                <w:rFonts w:hint="eastAsia" w:asciiTheme="minorEastAsia" w:hAnsiTheme="minorEastAsia"/>
                <w:szCs w:val="21"/>
              </w:rPr>
            </w:pPr>
            <w:r>
              <w:rPr>
                <w:rFonts w:hint="eastAsia" w:asciiTheme="minorEastAsia" w:hAnsiTheme="minorEastAsia"/>
                <w:szCs w:val="21"/>
              </w:rPr>
              <w:t>漏洞简述</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1FC72A9A">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w:t>
            </w:r>
            <w:r>
              <w:rPr>
                <w:rFonts w:asciiTheme="minorEastAsia" w:hAnsiTheme="minorEastAsia"/>
                <w:color w:val="000000"/>
                <w:szCs w:val="21"/>
                <w:lang w:val="zh-CN"/>
              </w:rPr>
              <w:t>对漏洞原理和漏洞影响的系统模块的简要描述，要区别漏洞是通过网络远程可利用漏洞，还是仅能本地利用的漏洞</w:t>
            </w:r>
            <w:r>
              <w:rPr>
                <w:rFonts w:hint="eastAsia" w:asciiTheme="minorEastAsia" w:hAnsiTheme="minorEastAsia"/>
                <w:color w:val="000000"/>
                <w:szCs w:val="21"/>
              </w:rPr>
              <w:t>）</w:t>
            </w:r>
          </w:p>
        </w:tc>
      </w:tr>
      <w:tr w14:paraId="4D91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388"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1EDADE5D">
            <w:pPr>
              <w:spacing w:line="360" w:lineRule="auto"/>
              <w:ind w:firstLine="105" w:firstLineChars="50"/>
              <w:jc w:val="center"/>
              <w:rPr>
                <w:rFonts w:hint="eastAsia" w:asciiTheme="minorEastAsia" w:hAnsiTheme="minorEastAsia"/>
                <w:b/>
                <w:color w:val="000000"/>
                <w:szCs w:val="21"/>
              </w:rPr>
            </w:pPr>
            <w:r>
              <w:rPr>
                <w:rFonts w:hint="eastAsia" w:asciiTheme="minorEastAsia" w:hAnsiTheme="minorEastAsia"/>
                <w:b/>
                <w:color w:val="000000"/>
                <w:szCs w:val="21"/>
              </w:rPr>
              <w:t>解决方法</w:t>
            </w:r>
          </w:p>
        </w:tc>
      </w:tr>
      <w:tr w14:paraId="2FD5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183" w:type="dxa"/>
            <w:tcBorders>
              <w:top w:val="single" w:color="auto" w:sz="4" w:space="0"/>
              <w:left w:val="single" w:color="auto" w:sz="4" w:space="0"/>
              <w:bottom w:val="single" w:color="auto" w:sz="4" w:space="0"/>
              <w:right w:val="single" w:color="auto" w:sz="4" w:space="0"/>
            </w:tcBorders>
            <w:vAlign w:val="center"/>
          </w:tcPr>
          <w:p w14:paraId="5BB6E9DC">
            <w:pPr>
              <w:spacing w:line="360" w:lineRule="auto"/>
              <w:jc w:val="center"/>
              <w:rPr>
                <w:rFonts w:hint="eastAsia" w:asciiTheme="minorEastAsia" w:hAnsiTheme="minorEastAsia"/>
                <w:szCs w:val="21"/>
              </w:rPr>
            </w:pPr>
            <w:r>
              <w:rPr>
                <w:rFonts w:hint="eastAsia" w:asciiTheme="minorEastAsia" w:hAnsiTheme="minorEastAsia"/>
                <w:szCs w:val="21"/>
              </w:rPr>
              <w:t>检查方法</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133693E9">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w:t>
            </w:r>
            <w:r>
              <w:rPr>
                <w:rFonts w:asciiTheme="minorEastAsia" w:hAnsiTheme="minorEastAsia"/>
                <w:color w:val="000000"/>
                <w:szCs w:val="21"/>
                <w:lang w:val="zh-CN"/>
              </w:rPr>
              <w:t>此处需要详细说明本地手工检查漏洞是否存在的方法，对于不存在本地手工检测请明确填写“无”</w:t>
            </w:r>
            <w:r>
              <w:rPr>
                <w:rFonts w:hint="eastAsia" w:asciiTheme="minorEastAsia" w:hAnsiTheme="minorEastAsia"/>
                <w:color w:val="000000"/>
                <w:szCs w:val="21"/>
              </w:rPr>
              <w:t>）</w:t>
            </w:r>
          </w:p>
        </w:tc>
      </w:tr>
      <w:tr w14:paraId="675F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1183" w:type="dxa"/>
            <w:tcBorders>
              <w:top w:val="single" w:color="auto" w:sz="4" w:space="0"/>
              <w:left w:val="single" w:color="auto" w:sz="4" w:space="0"/>
              <w:bottom w:val="single" w:color="auto" w:sz="4" w:space="0"/>
              <w:right w:val="single" w:color="auto" w:sz="4" w:space="0"/>
            </w:tcBorders>
            <w:vAlign w:val="center"/>
          </w:tcPr>
          <w:p w14:paraId="1CC1AA73">
            <w:pPr>
              <w:spacing w:line="360" w:lineRule="auto"/>
              <w:jc w:val="center"/>
              <w:rPr>
                <w:rFonts w:hint="eastAsia" w:asciiTheme="minorEastAsia" w:hAnsiTheme="minorEastAsia"/>
                <w:szCs w:val="21"/>
              </w:rPr>
            </w:pPr>
            <w:r>
              <w:rPr>
                <w:rFonts w:hint="eastAsia" w:asciiTheme="minorEastAsia" w:hAnsiTheme="minorEastAsia"/>
                <w:szCs w:val="21"/>
              </w:rPr>
              <w:t>解决措施</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4CB4C449">
            <w:pPr>
              <w:spacing w:line="360" w:lineRule="auto"/>
              <w:rPr>
                <w:rFonts w:hint="eastAsia" w:asciiTheme="minorEastAsia" w:hAnsiTheme="minorEastAsia"/>
                <w:color w:val="000000"/>
                <w:szCs w:val="21"/>
                <w:lang w:val="zh-CN"/>
              </w:rPr>
            </w:pPr>
            <w:r>
              <w:rPr>
                <w:rFonts w:hint="eastAsia" w:asciiTheme="minorEastAsia" w:hAnsiTheme="minorEastAsia"/>
                <w:color w:val="000000"/>
                <w:szCs w:val="21"/>
                <w:lang w:val="zh-CN"/>
              </w:rPr>
              <w:t>（</w:t>
            </w:r>
            <w:r>
              <w:rPr>
                <w:rFonts w:asciiTheme="minorEastAsia" w:hAnsiTheme="minorEastAsia"/>
                <w:color w:val="000000"/>
                <w:szCs w:val="21"/>
                <w:lang w:val="zh-CN"/>
              </w:rPr>
              <w:t>此处需要说明应急措施和根除措施两种。应急措施主要指可以快速在网上部署防护短期有效措施，例如封堵端口，卸载某些系统模块等等，对于无应急措施的要明确填写“无”。根除措施主要指安装相应的系统补丁等，需要进行测试后才可以在现网部署的措施，例如：</w:t>
            </w:r>
          </w:p>
          <w:p w14:paraId="4DDAFB70">
            <w:pPr>
              <w:spacing w:line="360" w:lineRule="auto"/>
              <w:rPr>
                <w:rFonts w:hint="eastAsia" w:asciiTheme="minorEastAsia" w:hAnsiTheme="minorEastAsia"/>
                <w:color w:val="000000"/>
                <w:szCs w:val="21"/>
                <w:lang w:val="zh-CN"/>
              </w:rPr>
            </w:pPr>
            <w:r>
              <w:rPr>
                <w:rFonts w:asciiTheme="minorEastAsia" w:hAnsiTheme="minorEastAsia"/>
                <w:color w:val="000000"/>
                <w:szCs w:val="21"/>
                <w:lang w:val="zh-CN"/>
              </w:rPr>
              <w:t>应急措施：无</w:t>
            </w:r>
          </w:p>
          <w:p w14:paraId="64ECC623">
            <w:pPr>
              <w:spacing w:line="360" w:lineRule="auto"/>
              <w:rPr>
                <w:rFonts w:hint="eastAsia" w:asciiTheme="minorEastAsia" w:hAnsiTheme="minorEastAsia"/>
                <w:color w:val="000000"/>
                <w:szCs w:val="21"/>
                <w:lang w:val="zh-CN"/>
              </w:rPr>
            </w:pPr>
            <w:r>
              <w:rPr>
                <w:rFonts w:asciiTheme="minorEastAsia" w:hAnsiTheme="minorEastAsia"/>
                <w:color w:val="000000"/>
                <w:szCs w:val="21"/>
                <w:lang w:val="zh-CN"/>
              </w:rPr>
              <w:t>根除措施：</w:t>
            </w:r>
          </w:p>
          <w:p w14:paraId="6A7A0D5F">
            <w:pPr>
              <w:spacing w:line="360" w:lineRule="auto"/>
              <w:ind w:firstLine="105" w:firstLineChars="50"/>
              <w:rPr>
                <w:rFonts w:hint="eastAsia" w:asciiTheme="minorEastAsia" w:hAnsiTheme="minorEastAsia"/>
                <w:b/>
                <w:szCs w:val="21"/>
              </w:rPr>
            </w:pPr>
            <w:r>
              <w:rPr>
                <w:rFonts w:hint="eastAsia" w:asciiTheme="minorEastAsia" w:hAnsiTheme="minorEastAsia"/>
                <w:color w:val="000000"/>
                <w:szCs w:val="21"/>
                <w:lang w:val="zh-CN"/>
              </w:rPr>
              <w:t>xxx</w:t>
            </w:r>
            <w:r>
              <w:rPr>
                <w:rFonts w:asciiTheme="minorEastAsia" w:hAnsiTheme="minorEastAsia"/>
                <w:color w:val="000000"/>
                <w:szCs w:val="21"/>
                <w:lang w:val="zh-CN"/>
              </w:rPr>
              <w:t>打</w:t>
            </w:r>
            <w:r>
              <w:rPr>
                <w:rFonts w:hint="eastAsia" w:asciiTheme="minorEastAsia" w:hAnsiTheme="minorEastAsia"/>
                <w:color w:val="000000"/>
                <w:szCs w:val="21"/>
                <w:lang w:val="zh-CN"/>
              </w:rPr>
              <w:t>xxx</w:t>
            </w:r>
            <w:r>
              <w:rPr>
                <w:rFonts w:asciiTheme="minorEastAsia" w:hAnsiTheme="minorEastAsia"/>
                <w:color w:val="000000"/>
                <w:szCs w:val="21"/>
                <w:lang w:val="zh-CN"/>
              </w:rPr>
              <w:t>补丁</w:t>
            </w:r>
            <w:r>
              <w:rPr>
                <w:rFonts w:asciiTheme="minorEastAsia" w:hAnsiTheme="minorEastAsia"/>
                <w:color w:val="000000"/>
                <w:szCs w:val="21"/>
                <w:lang w:val="zh-CN"/>
              </w:rPr>
              <w:br w:type="textWrapping"/>
            </w:r>
            <w:r>
              <w:rPr>
                <w:rFonts w:asciiTheme="minorEastAsia" w:hAnsiTheme="minorEastAsia"/>
                <w:color w:val="000000"/>
                <w:szCs w:val="21"/>
                <w:lang w:val="zh-CN"/>
              </w:rPr>
              <w:t>……</w:t>
            </w:r>
            <w:r>
              <w:rPr>
                <w:rFonts w:hint="eastAsia" w:asciiTheme="minorEastAsia" w:hAnsiTheme="minorEastAsia"/>
                <w:color w:val="000000"/>
                <w:szCs w:val="21"/>
                <w:lang w:val="zh-CN"/>
              </w:rPr>
              <w:t>）</w:t>
            </w:r>
          </w:p>
        </w:tc>
      </w:tr>
      <w:tr w14:paraId="6A83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183" w:type="dxa"/>
            <w:tcBorders>
              <w:top w:val="single" w:color="auto" w:sz="4" w:space="0"/>
              <w:left w:val="single" w:color="auto" w:sz="4" w:space="0"/>
              <w:bottom w:val="single" w:color="auto" w:sz="4" w:space="0"/>
              <w:right w:val="single" w:color="auto" w:sz="4" w:space="0"/>
            </w:tcBorders>
            <w:vAlign w:val="center"/>
          </w:tcPr>
          <w:p w14:paraId="63742C6A">
            <w:pPr>
              <w:spacing w:line="360" w:lineRule="auto"/>
              <w:jc w:val="center"/>
              <w:rPr>
                <w:rFonts w:hint="eastAsia" w:asciiTheme="minorEastAsia" w:hAnsiTheme="minorEastAsia"/>
                <w:szCs w:val="21"/>
              </w:rPr>
            </w:pPr>
            <w:r>
              <w:rPr>
                <w:rFonts w:hint="eastAsia" w:asciiTheme="minorEastAsia" w:hAnsiTheme="minorEastAsia"/>
                <w:szCs w:val="21"/>
              </w:rPr>
              <w:t>参考链接</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7AD8CED2">
            <w:pPr>
              <w:spacing w:line="360" w:lineRule="auto"/>
              <w:ind w:firstLine="105" w:firstLineChars="50"/>
              <w:rPr>
                <w:rFonts w:hint="eastAsia" w:asciiTheme="minorEastAsia" w:hAnsiTheme="minorEastAsia"/>
                <w:szCs w:val="21"/>
              </w:rPr>
            </w:pPr>
            <w:r>
              <w:rPr>
                <w:rFonts w:hint="eastAsia" w:asciiTheme="minorEastAsia" w:hAnsiTheme="minorEastAsia"/>
                <w:szCs w:val="21"/>
              </w:rPr>
              <w:t>（</w:t>
            </w:r>
            <w:r>
              <w:rPr>
                <w:rFonts w:asciiTheme="minorEastAsia" w:hAnsiTheme="minorEastAsia"/>
                <w:color w:val="000000"/>
                <w:szCs w:val="21"/>
                <w:lang w:val="zh-CN"/>
              </w:rPr>
              <w:t>此处填写获取以上信息的详细链接地址或其他联系方式</w:t>
            </w:r>
            <w:r>
              <w:rPr>
                <w:rFonts w:hint="eastAsia" w:asciiTheme="minorEastAsia" w:hAnsiTheme="minorEastAsia"/>
                <w:szCs w:val="21"/>
              </w:rPr>
              <w:t>）</w:t>
            </w:r>
          </w:p>
        </w:tc>
      </w:tr>
      <w:tr w14:paraId="073D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8388" w:type="dxa"/>
            <w:gridSpan w:val="4"/>
            <w:tcBorders>
              <w:top w:val="single" w:color="auto" w:sz="4" w:space="0"/>
              <w:left w:val="single" w:color="auto" w:sz="4" w:space="0"/>
              <w:bottom w:val="single" w:color="auto" w:sz="4" w:space="0"/>
              <w:right w:val="single" w:color="auto" w:sz="4" w:space="0"/>
            </w:tcBorders>
          </w:tcPr>
          <w:p w14:paraId="4C02171A">
            <w:pPr>
              <w:spacing w:line="360" w:lineRule="auto"/>
              <w:rPr>
                <w:rFonts w:hint="eastAsia" w:asciiTheme="minorEastAsia" w:hAnsiTheme="minorEastAsia"/>
                <w:szCs w:val="21"/>
              </w:rPr>
            </w:pPr>
            <w:r>
              <w:rPr>
                <w:rFonts w:asciiTheme="minorEastAsia" w:hAnsiTheme="minorEastAsia"/>
                <w:szCs w:val="21"/>
              </w:rPr>
              <w:t>备注：</w:t>
            </w:r>
          </w:p>
        </w:tc>
      </w:tr>
    </w:tbl>
    <w:p w14:paraId="4E17D4D6">
      <w:pPr>
        <w:spacing w:line="360" w:lineRule="auto"/>
        <w:rPr>
          <w:rFonts w:hint="eastAsia" w:ascii="宋体" w:hAnsi="宋体"/>
          <w:szCs w:val="21"/>
        </w:rPr>
      </w:pPr>
    </w:p>
    <w:p w14:paraId="034D03BE">
      <w:pPr>
        <w:spacing w:line="360" w:lineRule="auto"/>
        <w:jc w:val="center"/>
        <w:rPr>
          <w:rFonts w:hint="eastAsia" w:ascii="宋体" w:hAnsi="宋体"/>
          <w:b/>
          <w:sz w:val="28"/>
          <w:szCs w:val="28"/>
        </w:rPr>
      </w:pPr>
      <w:r>
        <w:rPr>
          <w:rFonts w:hint="eastAsia" w:ascii="宋体" w:hAnsi="宋体"/>
          <w:b/>
          <w:sz w:val="28"/>
          <w:szCs w:val="28"/>
        </w:rPr>
        <w:t>系统攻击方法预警表</w:t>
      </w:r>
    </w:p>
    <w:p w14:paraId="3C953603">
      <w:pPr>
        <w:spacing w:line="360" w:lineRule="auto"/>
        <w:rPr>
          <w:rFonts w:hint="eastAsia" w:asciiTheme="minorEastAsia" w:hAnsiTheme="minorEastAsia"/>
          <w:szCs w:val="21"/>
        </w:rPr>
      </w:pPr>
      <w:r>
        <w:rPr>
          <w:rFonts w:asciiTheme="minorEastAsia" w:hAnsiTheme="minorEastAsia"/>
          <w:szCs w:val="21"/>
        </w:rPr>
        <w:t>编号：</w:t>
      </w:r>
    </w:p>
    <w:tbl>
      <w:tblPr>
        <w:tblStyle w:val="40"/>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985"/>
        <w:gridCol w:w="1564"/>
        <w:gridCol w:w="3656"/>
      </w:tblGrid>
      <w:tr w14:paraId="6CD9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388"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4345EE74">
            <w:pPr>
              <w:spacing w:line="360" w:lineRule="auto"/>
              <w:ind w:firstLine="105" w:firstLineChars="50"/>
              <w:jc w:val="center"/>
              <w:rPr>
                <w:rFonts w:hint="eastAsia" w:asciiTheme="minorEastAsia" w:hAnsiTheme="minorEastAsia"/>
                <w:b/>
                <w:szCs w:val="21"/>
              </w:rPr>
            </w:pPr>
            <w:r>
              <w:rPr>
                <w:rFonts w:hint="eastAsia" w:asciiTheme="minorEastAsia" w:hAnsiTheme="minorEastAsia"/>
                <w:b/>
                <w:szCs w:val="21"/>
              </w:rPr>
              <w:t>基本信息</w:t>
            </w:r>
          </w:p>
        </w:tc>
      </w:tr>
      <w:tr w14:paraId="1F32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761DA0E5">
            <w:pPr>
              <w:spacing w:line="360" w:lineRule="auto"/>
              <w:jc w:val="center"/>
              <w:rPr>
                <w:rFonts w:hint="eastAsia" w:asciiTheme="minorEastAsia" w:hAnsiTheme="minorEastAsia"/>
                <w:szCs w:val="21"/>
              </w:rPr>
            </w:pPr>
            <w:r>
              <w:rPr>
                <w:rFonts w:hint="eastAsia" w:asciiTheme="minorEastAsia" w:hAnsiTheme="minorEastAsia"/>
                <w:szCs w:val="21"/>
              </w:rPr>
              <w:t>预警时间</w:t>
            </w:r>
          </w:p>
        </w:tc>
        <w:tc>
          <w:tcPr>
            <w:tcW w:w="1985" w:type="dxa"/>
            <w:tcBorders>
              <w:top w:val="single" w:color="auto" w:sz="4" w:space="0"/>
              <w:left w:val="single" w:color="auto" w:sz="4" w:space="0"/>
              <w:bottom w:val="single" w:color="auto" w:sz="4" w:space="0"/>
              <w:right w:val="single" w:color="auto" w:sz="4" w:space="0"/>
            </w:tcBorders>
            <w:vAlign w:val="center"/>
          </w:tcPr>
          <w:p w14:paraId="69B27849">
            <w:pPr>
              <w:spacing w:line="360" w:lineRule="auto"/>
              <w:ind w:firstLine="525" w:firstLineChars="250"/>
              <w:rPr>
                <w:rFonts w:hint="eastAsia" w:asciiTheme="minorEastAsia" w:hAnsiTheme="minorEastAsia"/>
                <w:szCs w:val="21"/>
              </w:rPr>
            </w:pPr>
            <w:r>
              <w:rPr>
                <w:rFonts w:hint="eastAsia" w:asciiTheme="minorEastAsia" w:hAnsiTheme="minorEastAsia"/>
                <w:szCs w:val="21"/>
              </w:rPr>
              <w:t>年月日</w:t>
            </w:r>
          </w:p>
        </w:tc>
        <w:tc>
          <w:tcPr>
            <w:tcW w:w="1564" w:type="dxa"/>
            <w:tcBorders>
              <w:top w:val="single" w:color="auto" w:sz="4" w:space="0"/>
              <w:left w:val="single" w:color="auto" w:sz="4" w:space="0"/>
              <w:bottom w:val="single" w:color="auto" w:sz="4" w:space="0"/>
              <w:right w:val="single" w:color="auto" w:sz="4" w:space="0"/>
            </w:tcBorders>
            <w:vAlign w:val="center"/>
          </w:tcPr>
          <w:p w14:paraId="7EBD7589">
            <w:pPr>
              <w:spacing w:line="360" w:lineRule="auto"/>
              <w:ind w:firstLine="105" w:firstLineChars="50"/>
              <w:rPr>
                <w:rFonts w:hint="eastAsia" w:asciiTheme="minorEastAsia" w:hAnsiTheme="minorEastAsia"/>
                <w:szCs w:val="21"/>
              </w:rPr>
            </w:pPr>
            <w:r>
              <w:rPr>
                <w:rFonts w:hint="eastAsia" w:asciiTheme="minorEastAsia" w:hAnsiTheme="minorEastAsia"/>
                <w:szCs w:val="21"/>
              </w:rPr>
              <w:t>预警时间段</w:t>
            </w:r>
          </w:p>
        </w:tc>
        <w:tc>
          <w:tcPr>
            <w:tcW w:w="3656" w:type="dxa"/>
            <w:tcBorders>
              <w:top w:val="single" w:color="auto" w:sz="4" w:space="0"/>
              <w:left w:val="single" w:color="auto" w:sz="4" w:space="0"/>
              <w:bottom w:val="single" w:color="auto" w:sz="4" w:space="0"/>
              <w:right w:val="single" w:color="auto" w:sz="4" w:space="0"/>
            </w:tcBorders>
            <w:vAlign w:val="center"/>
          </w:tcPr>
          <w:p w14:paraId="455313FC">
            <w:pPr>
              <w:spacing w:line="360" w:lineRule="auto"/>
              <w:ind w:firstLine="420" w:firstLineChars="200"/>
              <w:rPr>
                <w:rFonts w:hint="eastAsia" w:asciiTheme="minorEastAsia" w:hAnsiTheme="minorEastAsia"/>
                <w:szCs w:val="21"/>
                <w:u w:val="single"/>
              </w:rPr>
            </w:pPr>
            <w:r>
              <w:rPr>
                <w:rFonts w:hint="eastAsia" w:asciiTheme="minorEastAsia" w:hAnsiTheme="minorEastAsia"/>
                <w:szCs w:val="21"/>
              </w:rPr>
              <w:t>年月日—年月日</w:t>
            </w:r>
          </w:p>
        </w:tc>
      </w:tr>
      <w:tr w14:paraId="6A4F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72E1FB0B">
            <w:pPr>
              <w:spacing w:line="360" w:lineRule="auto"/>
              <w:jc w:val="center"/>
              <w:rPr>
                <w:rFonts w:hint="eastAsia" w:asciiTheme="minorEastAsia" w:hAnsiTheme="minorEastAsia"/>
                <w:szCs w:val="21"/>
              </w:rPr>
            </w:pPr>
            <w:r>
              <w:rPr>
                <w:rFonts w:hint="eastAsia" w:asciiTheme="minorEastAsia" w:hAnsiTheme="minorEastAsia"/>
                <w:szCs w:val="21"/>
              </w:rPr>
              <w:t>攻击方法</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6268D20D">
            <w:pPr>
              <w:spacing w:line="360" w:lineRule="auto"/>
              <w:ind w:firstLine="105" w:firstLineChars="50"/>
              <w:rPr>
                <w:rFonts w:hint="eastAsia" w:asciiTheme="minorEastAsia" w:hAnsiTheme="minorEastAsia"/>
                <w:szCs w:val="21"/>
                <w:u w:val="single"/>
              </w:rPr>
            </w:pPr>
          </w:p>
        </w:tc>
      </w:tr>
      <w:tr w14:paraId="1A7A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3" w:type="dxa"/>
            <w:tcBorders>
              <w:top w:val="single" w:color="auto" w:sz="4" w:space="0"/>
              <w:left w:val="single" w:color="auto" w:sz="4" w:space="0"/>
              <w:bottom w:val="single" w:color="auto" w:sz="4" w:space="0"/>
              <w:right w:val="single" w:color="auto" w:sz="4" w:space="0"/>
            </w:tcBorders>
            <w:vAlign w:val="center"/>
          </w:tcPr>
          <w:p w14:paraId="780D1960">
            <w:pPr>
              <w:spacing w:line="360" w:lineRule="auto"/>
              <w:jc w:val="center"/>
              <w:rPr>
                <w:rFonts w:hint="eastAsia" w:asciiTheme="minorEastAsia" w:hAnsiTheme="minorEastAsia"/>
                <w:szCs w:val="21"/>
              </w:rPr>
            </w:pPr>
            <w:r>
              <w:rPr>
                <w:rFonts w:hint="eastAsia" w:asciiTheme="minorEastAsia" w:hAnsiTheme="minorEastAsia"/>
                <w:szCs w:val="21"/>
              </w:rPr>
              <w:t>安全级别</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29937EF9">
            <w:pPr>
              <w:spacing w:line="360" w:lineRule="auto"/>
              <w:ind w:firstLine="105" w:firstLineChars="50"/>
              <w:rPr>
                <w:rFonts w:hint="eastAsia" w:asciiTheme="minorEastAsia" w:hAnsiTheme="minorEastAsia"/>
                <w:szCs w:val="21"/>
                <w:u w:val="single"/>
              </w:rPr>
            </w:pPr>
            <w:r>
              <w:rPr>
                <w:rFonts w:hint="eastAsia" w:asciiTheme="minorEastAsia" w:hAnsiTheme="minorEastAsia"/>
                <w:szCs w:val="21"/>
              </w:rPr>
              <w:t>□紧急/□重要/□中度/□一般（</w:t>
            </w:r>
            <w:r>
              <w:rPr>
                <w:rFonts w:asciiTheme="minorEastAsia" w:hAnsiTheme="minorEastAsia"/>
                <w:color w:val="000000"/>
                <w:szCs w:val="21"/>
                <w:lang w:val="zh-CN"/>
              </w:rPr>
              <w:t>组织可先自行标定级别</w:t>
            </w:r>
            <w:r>
              <w:rPr>
                <w:rFonts w:hint="eastAsia" w:asciiTheme="minorEastAsia" w:hAnsiTheme="minorEastAsia"/>
                <w:szCs w:val="21"/>
              </w:rPr>
              <w:t>）</w:t>
            </w:r>
          </w:p>
        </w:tc>
      </w:tr>
      <w:tr w14:paraId="620D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388"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76818663">
            <w:pPr>
              <w:spacing w:line="360" w:lineRule="auto"/>
              <w:ind w:firstLine="105" w:firstLineChars="50"/>
              <w:jc w:val="center"/>
              <w:rPr>
                <w:rFonts w:hint="eastAsia" w:asciiTheme="minorEastAsia" w:hAnsiTheme="minorEastAsia"/>
                <w:b/>
                <w:szCs w:val="21"/>
              </w:rPr>
            </w:pPr>
            <w:r>
              <w:rPr>
                <w:rFonts w:hint="eastAsia" w:asciiTheme="minorEastAsia" w:hAnsiTheme="minorEastAsia"/>
                <w:b/>
                <w:szCs w:val="21"/>
              </w:rPr>
              <w:t>详细信息</w:t>
            </w:r>
          </w:p>
        </w:tc>
      </w:tr>
      <w:tr w14:paraId="7245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183" w:type="dxa"/>
            <w:tcBorders>
              <w:top w:val="single" w:color="auto" w:sz="4" w:space="0"/>
              <w:left w:val="single" w:color="auto" w:sz="4" w:space="0"/>
              <w:bottom w:val="single" w:color="auto" w:sz="4" w:space="0"/>
              <w:right w:val="single" w:color="auto" w:sz="4" w:space="0"/>
            </w:tcBorders>
            <w:vAlign w:val="center"/>
          </w:tcPr>
          <w:p w14:paraId="38A31941">
            <w:pPr>
              <w:spacing w:line="360" w:lineRule="auto"/>
              <w:jc w:val="center"/>
              <w:rPr>
                <w:rFonts w:hint="eastAsia" w:asciiTheme="minorEastAsia" w:hAnsiTheme="minorEastAsia"/>
                <w:szCs w:val="21"/>
              </w:rPr>
            </w:pPr>
            <w:r>
              <w:rPr>
                <w:rFonts w:hint="eastAsia" w:asciiTheme="minorEastAsia" w:hAnsiTheme="minorEastAsia"/>
                <w:szCs w:val="21"/>
              </w:rPr>
              <w:t>主要攻击方法</w:t>
            </w:r>
          </w:p>
        </w:tc>
        <w:tc>
          <w:tcPr>
            <w:tcW w:w="7205" w:type="dxa"/>
            <w:gridSpan w:val="3"/>
            <w:tcBorders>
              <w:top w:val="single" w:color="auto" w:sz="4" w:space="0"/>
              <w:left w:val="single" w:color="auto" w:sz="4" w:space="0"/>
              <w:bottom w:val="single" w:color="auto" w:sz="4" w:space="0"/>
              <w:right w:val="single" w:color="auto" w:sz="4" w:space="0"/>
            </w:tcBorders>
          </w:tcPr>
          <w:p w14:paraId="640C9227">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攻击方法1：</w:t>
            </w:r>
          </w:p>
          <w:p w14:paraId="514FBD35">
            <w:pPr>
              <w:spacing w:line="360" w:lineRule="auto"/>
              <w:ind w:firstLine="105" w:firstLineChars="50"/>
              <w:rPr>
                <w:rFonts w:hint="eastAsia" w:asciiTheme="minorEastAsia" w:hAnsiTheme="minorEastAsia"/>
                <w:color w:val="000000"/>
                <w:szCs w:val="21"/>
              </w:rPr>
            </w:pPr>
          </w:p>
          <w:p w14:paraId="7B1A6853">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攻击方法2：</w:t>
            </w:r>
          </w:p>
          <w:p w14:paraId="3F2142B2">
            <w:pPr>
              <w:spacing w:line="360" w:lineRule="auto"/>
              <w:ind w:firstLine="105" w:firstLineChars="50"/>
              <w:rPr>
                <w:rFonts w:hint="eastAsia" w:asciiTheme="minorEastAsia" w:hAnsiTheme="minorEastAsia"/>
                <w:color w:val="000000"/>
                <w:szCs w:val="21"/>
              </w:rPr>
            </w:pPr>
          </w:p>
          <w:p w14:paraId="7A087AF5">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攻击方法3：</w:t>
            </w:r>
          </w:p>
          <w:p w14:paraId="3261F01B">
            <w:pPr>
              <w:spacing w:line="360" w:lineRule="auto"/>
              <w:ind w:firstLine="105" w:firstLineChars="50"/>
              <w:rPr>
                <w:rFonts w:hint="eastAsia" w:asciiTheme="minorEastAsia" w:hAnsiTheme="minorEastAsia"/>
                <w:color w:val="000000"/>
                <w:szCs w:val="21"/>
              </w:rPr>
            </w:pPr>
          </w:p>
        </w:tc>
      </w:tr>
      <w:tr w14:paraId="2104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183" w:type="dxa"/>
            <w:tcBorders>
              <w:top w:val="single" w:color="auto" w:sz="4" w:space="0"/>
              <w:left w:val="single" w:color="auto" w:sz="4" w:space="0"/>
              <w:bottom w:val="single" w:color="auto" w:sz="4" w:space="0"/>
              <w:right w:val="single" w:color="auto" w:sz="4" w:space="0"/>
            </w:tcBorders>
            <w:vAlign w:val="center"/>
          </w:tcPr>
          <w:p w14:paraId="5F00571D">
            <w:pPr>
              <w:spacing w:line="360" w:lineRule="auto"/>
              <w:jc w:val="center"/>
              <w:rPr>
                <w:rFonts w:hint="eastAsia" w:asciiTheme="minorEastAsia" w:hAnsiTheme="minorEastAsia"/>
                <w:szCs w:val="21"/>
              </w:rPr>
            </w:pPr>
            <w:r>
              <w:rPr>
                <w:rFonts w:hint="eastAsia" w:asciiTheme="minorEastAsia" w:hAnsiTheme="minorEastAsia"/>
                <w:szCs w:val="21"/>
              </w:rPr>
              <w:t>主要攻击工具</w:t>
            </w:r>
          </w:p>
        </w:tc>
        <w:tc>
          <w:tcPr>
            <w:tcW w:w="7205" w:type="dxa"/>
            <w:gridSpan w:val="3"/>
            <w:tcBorders>
              <w:top w:val="single" w:color="auto" w:sz="4" w:space="0"/>
              <w:left w:val="single" w:color="auto" w:sz="4" w:space="0"/>
              <w:bottom w:val="single" w:color="auto" w:sz="4" w:space="0"/>
              <w:right w:val="single" w:color="auto" w:sz="4" w:space="0"/>
            </w:tcBorders>
          </w:tcPr>
          <w:p w14:paraId="2B1ADDDC">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攻击工具1：</w:t>
            </w:r>
          </w:p>
          <w:p w14:paraId="40BE1118">
            <w:pPr>
              <w:spacing w:line="360" w:lineRule="auto"/>
              <w:ind w:firstLine="105" w:firstLineChars="50"/>
              <w:rPr>
                <w:rFonts w:hint="eastAsia" w:asciiTheme="minorEastAsia" w:hAnsiTheme="minorEastAsia"/>
                <w:color w:val="000000"/>
                <w:szCs w:val="21"/>
              </w:rPr>
            </w:pPr>
          </w:p>
          <w:p w14:paraId="56A2AD32">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攻击工具2：</w:t>
            </w:r>
          </w:p>
          <w:p w14:paraId="39DB2B16">
            <w:pPr>
              <w:spacing w:line="360" w:lineRule="auto"/>
              <w:ind w:firstLine="105" w:firstLineChars="50"/>
              <w:rPr>
                <w:rFonts w:hint="eastAsia" w:asciiTheme="minorEastAsia" w:hAnsiTheme="minorEastAsia"/>
                <w:color w:val="000000"/>
                <w:szCs w:val="21"/>
              </w:rPr>
            </w:pPr>
          </w:p>
          <w:p w14:paraId="2810AF41">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攻击工具3：</w:t>
            </w:r>
          </w:p>
          <w:p w14:paraId="2320164C">
            <w:pPr>
              <w:spacing w:line="360" w:lineRule="auto"/>
              <w:ind w:firstLine="105" w:firstLineChars="50"/>
              <w:rPr>
                <w:rFonts w:hint="eastAsia" w:asciiTheme="minorEastAsia" w:hAnsiTheme="minorEastAsia"/>
                <w:color w:val="000000"/>
                <w:szCs w:val="21"/>
              </w:rPr>
            </w:pPr>
          </w:p>
        </w:tc>
      </w:tr>
      <w:tr w14:paraId="3E0E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183" w:type="dxa"/>
            <w:tcBorders>
              <w:top w:val="single" w:color="auto" w:sz="4" w:space="0"/>
              <w:left w:val="single" w:color="auto" w:sz="4" w:space="0"/>
              <w:bottom w:val="single" w:color="auto" w:sz="4" w:space="0"/>
              <w:right w:val="single" w:color="auto" w:sz="4" w:space="0"/>
            </w:tcBorders>
            <w:vAlign w:val="center"/>
          </w:tcPr>
          <w:p w14:paraId="39FC415D">
            <w:pPr>
              <w:spacing w:line="360" w:lineRule="auto"/>
              <w:jc w:val="center"/>
              <w:rPr>
                <w:rFonts w:hint="eastAsia" w:asciiTheme="minorEastAsia" w:hAnsiTheme="minorEastAsia"/>
                <w:szCs w:val="21"/>
              </w:rPr>
            </w:pPr>
            <w:r>
              <w:rPr>
                <w:rFonts w:hint="eastAsia" w:asciiTheme="minorEastAsia" w:hAnsiTheme="minorEastAsia"/>
                <w:szCs w:val="21"/>
              </w:rPr>
              <w:t>近期主要攻击事件</w:t>
            </w:r>
          </w:p>
        </w:tc>
        <w:tc>
          <w:tcPr>
            <w:tcW w:w="7205" w:type="dxa"/>
            <w:gridSpan w:val="3"/>
            <w:tcBorders>
              <w:top w:val="single" w:color="auto" w:sz="4" w:space="0"/>
              <w:left w:val="single" w:color="auto" w:sz="4" w:space="0"/>
              <w:bottom w:val="single" w:color="auto" w:sz="4" w:space="0"/>
              <w:right w:val="single" w:color="auto" w:sz="4" w:space="0"/>
            </w:tcBorders>
          </w:tcPr>
          <w:p w14:paraId="1D646953">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攻击事件1：</w:t>
            </w:r>
          </w:p>
          <w:p w14:paraId="30295524">
            <w:pPr>
              <w:spacing w:line="360" w:lineRule="auto"/>
              <w:ind w:firstLine="105" w:firstLineChars="50"/>
              <w:rPr>
                <w:rFonts w:hint="eastAsia" w:asciiTheme="minorEastAsia" w:hAnsiTheme="minorEastAsia"/>
                <w:color w:val="000000"/>
                <w:szCs w:val="21"/>
              </w:rPr>
            </w:pPr>
          </w:p>
          <w:p w14:paraId="3CB42490">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攻击事件2：</w:t>
            </w:r>
          </w:p>
          <w:p w14:paraId="65EB8406">
            <w:pPr>
              <w:spacing w:line="360" w:lineRule="auto"/>
              <w:ind w:firstLine="105" w:firstLineChars="50"/>
              <w:rPr>
                <w:rFonts w:hint="eastAsia" w:asciiTheme="minorEastAsia" w:hAnsiTheme="minorEastAsia"/>
                <w:color w:val="000000"/>
                <w:szCs w:val="21"/>
              </w:rPr>
            </w:pPr>
          </w:p>
          <w:p w14:paraId="1734C09C">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攻击事件3：</w:t>
            </w:r>
          </w:p>
          <w:p w14:paraId="5DCDDFC3">
            <w:pPr>
              <w:spacing w:line="360" w:lineRule="auto"/>
              <w:ind w:firstLine="105" w:firstLineChars="50"/>
              <w:rPr>
                <w:rFonts w:hint="eastAsia" w:asciiTheme="minorEastAsia" w:hAnsiTheme="minorEastAsia"/>
                <w:color w:val="000000"/>
                <w:szCs w:val="21"/>
              </w:rPr>
            </w:pPr>
          </w:p>
        </w:tc>
      </w:tr>
      <w:tr w14:paraId="1B76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388"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3D0C49C3">
            <w:pPr>
              <w:spacing w:line="360" w:lineRule="auto"/>
              <w:ind w:firstLine="105" w:firstLineChars="50"/>
              <w:jc w:val="center"/>
              <w:rPr>
                <w:rFonts w:hint="eastAsia" w:asciiTheme="minorEastAsia" w:hAnsiTheme="minorEastAsia"/>
                <w:b/>
                <w:color w:val="000000"/>
                <w:szCs w:val="21"/>
              </w:rPr>
            </w:pPr>
            <w:r>
              <w:rPr>
                <w:rFonts w:hint="eastAsia" w:asciiTheme="minorEastAsia" w:hAnsiTheme="minorEastAsia"/>
                <w:b/>
                <w:color w:val="000000"/>
                <w:szCs w:val="21"/>
              </w:rPr>
              <w:t>安全建议</w:t>
            </w:r>
          </w:p>
        </w:tc>
      </w:tr>
      <w:tr w14:paraId="1699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183" w:type="dxa"/>
            <w:tcBorders>
              <w:top w:val="single" w:color="auto" w:sz="4" w:space="0"/>
              <w:left w:val="single" w:color="auto" w:sz="4" w:space="0"/>
              <w:bottom w:val="single" w:color="auto" w:sz="4" w:space="0"/>
              <w:right w:val="single" w:color="auto" w:sz="4" w:space="0"/>
            </w:tcBorders>
            <w:vAlign w:val="center"/>
          </w:tcPr>
          <w:p w14:paraId="30DC31EB">
            <w:pPr>
              <w:spacing w:line="360" w:lineRule="auto"/>
              <w:jc w:val="center"/>
              <w:rPr>
                <w:rFonts w:hint="eastAsia" w:asciiTheme="minorEastAsia" w:hAnsiTheme="minorEastAsia"/>
                <w:szCs w:val="21"/>
              </w:rPr>
            </w:pPr>
            <w:r>
              <w:rPr>
                <w:rFonts w:hint="eastAsia" w:asciiTheme="minorEastAsia" w:hAnsiTheme="minorEastAsia"/>
                <w:szCs w:val="21"/>
              </w:rPr>
              <w:t>具体建议</w:t>
            </w:r>
          </w:p>
        </w:tc>
        <w:tc>
          <w:tcPr>
            <w:tcW w:w="7205" w:type="dxa"/>
            <w:gridSpan w:val="3"/>
            <w:tcBorders>
              <w:top w:val="single" w:color="auto" w:sz="4" w:space="0"/>
              <w:left w:val="single" w:color="auto" w:sz="4" w:space="0"/>
              <w:bottom w:val="single" w:color="auto" w:sz="4" w:space="0"/>
              <w:right w:val="single" w:color="auto" w:sz="4" w:space="0"/>
            </w:tcBorders>
            <w:vAlign w:val="center"/>
          </w:tcPr>
          <w:p w14:paraId="0A73C6B0">
            <w:pPr>
              <w:spacing w:line="360" w:lineRule="auto"/>
              <w:ind w:firstLine="105" w:firstLineChars="50"/>
              <w:rPr>
                <w:rFonts w:hint="eastAsia" w:asciiTheme="minorEastAsia" w:hAnsiTheme="minorEastAsia"/>
                <w:color w:val="000000"/>
                <w:szCs w:val="21"/>
              </w:rPr>
            </w:pPr>
          </w:p>
        </w:tc>
      </w:tr>
      <w:tr w14:paraId="32F2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8388" w:type="dxa"/>
            <w:gridSpan w:val="4"/>
            <w:tcBorders>
              <w:top w:val="single" w:color="auto" w:sz="4" w:space="0"/>
              <w:left w:val="single" w:color="auto" w:sz="4" w:space="0"/>
              <w:bottom w:val="single" w:color="auto" w:sz="4" w:space="0"/>
              <w:right w:val="single" w:color="auto" w:sz="4" w:space="0"/>
            </w:tcBorders>
          </w:tcPr>
          <w:p w14:paraId="2BC8019B">
            <w:pPr>
              <w:spacing w:line="360" w:lineRule="auto"/>
              <w:rPr>
                <w:rFonts w:hint="eastAsia" w:asciiTheme="minorEastAsia" w:hAnsiTheme="minorEastAsia"/>
                <w:szCs w:val="21"/>
              </w:rPr>
            </w:pPr>
            <w:r>
              <w:rPr>
                <w:rFonts w:asciiTheme="minorEastAsia" w:hAnsiTheme="minorEastAsia"/>
                <w:szCs w:val="21"/>
              </w:rPr>
              <w:t>备注：</w:t>
            </w:r>
          </w:p>
        </w:tc>
      </w:tr>
    </w:tbl>
    <w:p w14:paraId="17CC48EC">
      <w:pPr>
        <w:spacing w:line="360" w:lineRule="auto"/>
        <w:jc w:val="center"/>
        <w:rPr>
          <w:rFonts w:hint="eastAsia" w:asciiTheme="minorEastAsia" w:hAnsiTheme="minorEastAsia"/>
          <w:b/>
          <w:sz w:val="28"/>
          <w:szCs w:val="28"/>
        </w:rPr>
      </w:pPr>
      <w:r>
        <w:rPr>
          <w:rFonts w:hint="eastAsia" w:asciiTheme="minorEastAsia" w:hAnsiTheme="minorEastAsia"/>
          <w:b/>
          <w:sz w:val="28"/>
          <w:szCs w:val="28"/>
        </w:rPr>
        <w:t>预警工作汇报表</w:t>
      </w:r>
    </w:p>
    <w:p w14:paraId="13164461">
      <w:pPr>
        <w:spacing w:line="360" w:lineRule="auto"/>
        <w:rPr>
          <w:rFonts w:hint="eastAsia" w:asciiTheme="minorEastAsia" w:hAnsiTheme="minorEastAsia"/>
          <w:szCs w:val="21"/>
        </w:rPr>
      </w:pPr>
      <w:r>
        <w:rPr>
          <w:rFonts w:asciiTheme="minorEastAsia" w:hAnsiTheme="minorEastAsia"/>
          <w:szCs w:val="21"/>
        </w:rPr>
        <w:t>编号：</w:t>
      </w:r>
    </w:p>
    <w:tbl>
      <w:tblPr>
        <w:tblStyle w:val="40"/>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850"/>
        <w:gridCol w:w="1287"/>
        <w:gridCol w:w="1123"/>
        <w:gridCol w:w="137"/>
        <w:gridCol w:w="1706"/>
        <w:gridCol w:w="2014"/>
      </w:tblGrid>
      <w:tr w14:paraId="26C9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19" w:type="dxa"/>
            <w:gridSpan w:val="7"/>
            <w:tcBorders>
              <w:top w:val="single" w:color="auto" w:sz="4" w:space="0"/>
              <w:left w:val="single" w:color="auto" w:sz="4" w:space="0"/>
              <w:bottom w:val="single" w:color="auto" w:sz="4" w:space="0"/>
              <w:right w:val="single" w:color="auto" w:sz="4" w:space="0"/>
            </w:tcBorders>
            <w:shd w:val="clear" w:color="auto" w:fill="D9D9D9"/>
            <w:vAlign w:val="center"/>
          </w:tcPr>
          <w:p w14:paraId="5849EB05">
            <w:pPr>
              <w:spacing w:line="360" w:lineRule="auto"/>
              <w:ind w:firstLine="105" w:firstLineChars="50"/>
              <w:jc w:val="center"/>
              <w:rPr>
                <w:rFonts w:hint="eastAsia" w:asciiTheme="minorEastAsia" w:hAnsiTheme="minorEastAsia"/>
                <w:b/>
                <w:szCs w:val="21"/>
              </w:rPr>
            </w:pPr>
            <w:r>
              <w:rPr>
                <w:rFonts w:hint="eastAsia" w:asciiTheme="minorEastAsia" w:hAnsiTheme="minorEastAsia"/>
                <w:b/>
                <w:szCs w:val="21"/>
              </w:rPr>
              <w:t>基本信息</w:t>
            </w:r>
          </w:p>
        </w:tc>
      </w:tr>
      <w:tr w14:paraId="378A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2D3B37DE">
            <w:pPr>
              <w:spacing w:line="360" w:lineRule="auto"/>
              <w:jc w:val="center"/>
              <w:rPr>
                <w:rFonts w:hint="eastAsia" w:asciiTheme="minorEastAsia" w:hAnsiTheme="minorEastAsia"/>
                <w:szCs w:val="21"/>
              </w:rPr>
            </w:pPr>
            <w:r>
              <w:rPr>
                <w:rFonts w:hint="eastAsia" w:asciiTheme="minorEastAsia" w:hAnsiTheme="minorEastAsia"/>
                <w:szCs w:val="21"/>
              </w:rPr>
              <w:t>汇报人</w:t>
            </w:r>
          </w:p>
        </w:tc>
        <w:tc>
          <w:tcPr>
            <w:tcW w:w="2137" w:type="dxa"/>
            <w:gridSpan w:val="2"/>
            <w:tcBorders>
              <w:top w:val="single" w:color="auto" w:sz="4" w:space="0"/>
              <w:left w:val="single" w:color="auto" w:sz="4" w:space="0"/>
              <w:bottom w:val="single" w:color="auto" w:sz="4" w:space="0"/>
              <w:right w:val="single" w:color="auto" w:sz="4" w:space="0"/>
            </w:tcBorders>
            <w:vAlign w:val="center"/>
          </w:tcPr>
          <w:p w14:paraId="53DB17C3">
            <w:pPr>
              <w:spacing w:line="360" w:lineRule="auto"/>
              <w:ind w:firstLine="630" w:firstLineChars="300"/>
              <w:rPr>
                <w:rFonts w:hint="eastAsia" w:asciiTheme="minorEastAsia" w:hAnsiTheme="minorEastAsia"/>
                <w:szCs w:val="21"/>
                <w:u w:val="single"/>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72B850F">
            <w:pPr>
              <w:spacing w:line="360" w:lineRule="auto"/>
              <w:rPr>
                <w:rFonts w:hint="eastAsia" w:asciiTheme="minorEastAsia" w:hAnsiTheme="minorEastAsia"/>
                <w:szCs w:val="21"/>
              </w:rPr>
            </w:pPr>
            <w:r>
              <w:rPr>
                <w:rFonts w:hint="eastAsia" w:asciiTheme="minorEastAsia" w:hAnsiTheme="minorEastAsia"/>
                <w:szCs w:val="21"/>
              </w:rPr>
              <w:t>汇报时间</w:t>
            </w:r>
          </w:p>
        </w:tc>
        <w:tc>
          <w:tcPr>
            <w:tcW w:w="3720" w:type="dxa"/>
            <w:gridSpan w:val="2"/>
            <w:tcBorders>
              <w:top w:val="single" w:color="auto" w:sz="4" w:space="0"/>
              <w:left w:val="single" w:color="auto" w:sz="4" w:space="0"/>
              <w:bottom w:val="single" w:color="auto" w:sz="4" w:space="0"/>
              <w:right w:val="single" w:color="auto" w:sz="4" w:space="0"/>
            </w:tcBorders>
            <w:vAlign w:val="center"/>
          </w:tcPr>
          <w:p w14:paraId="7B9C5588">
            <w:pPr>
              <w:spacing w:line="360" w:lineRule="auto"/>
              <w:ind w:firstLine="420" w:firstLineChars="200"/>
              <w:rPr>
                <w:rFonts w:hint="eastAsia" w:asciiTheme="minorEastAsia" w:hAnsiTheme="minorEastAsia"/>
                <w:szCs w:val="21"/>
                <w:u w:val="single"/>
              </w:rPr>
            </w:pPr>
            <w:r>
              <w:rPr>
                <w:rFonts w:hint="eastAsia" w:asciiTheme="minorEastAsia" w:hAnsiTheme="minorEastAsia"/>
                <w:szCs w:val="21"/>
              </w:rPr>
              <w:t>年月日</w:t>
            </w:r>
          </w:p>
        </w:tc>
      </w:tr>
      <w:tr w14:paraId="1A48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B220F56">
            <w:pPr>
              <w:spacing w:line="360" w:lineRule="auto"/>
              <w:jc w:val="center"/>
              <w:rPr>
                <w:rFonts w:hint="eastAsia" w:asciiTheme="minorEastAsia" w:hAnsiTheme="minorEastAsia"/>
                <w:szCs w:val="21"/>
              </w:rPr>
            </w:pPr>
            <w:r>
              <w:rPr>
                <w:rFonts w:hint="eastAsia" w:asciiTheme="minorEastAsia" w:hAnsiTheme="minorEastAsia"/>
                <w:szCs w:val="21"/>
              </w:rPr>
              <w:t>汇报时间段</w:t>
            </w:r>
          </w:p>
        </w:tc>
        <w:tc>
          <w:tcPr>
            <w:tcW w:w="7117" w:type="dxa"/>
            <w:gridSpan w:val="6"/>
            <w:tcBorders>
              <w:top w:val="single" w:color="auto" w:sz="4" w:space="0"/>
              <w:left w:val="single" w:color="auto" w:sz="4" w:space="0"/>
              <w:bottom w:val="single" w:color="auto" w:sz="4" w:space="0"/>
              <w:right w:val="single" w:color="auto" w:sz="4" w:space="0"/>
            </w:tcBorders>
            <w:vAlign w:val="center"/>
          </w:tcPr>
          <w:p w14:paraId="74B336BF">
            <w:pPr>
              <w:spacing w:line="360" w:lineRule="auto"/>
              <w:ind w:firstLine="525" w:firstLineChars="250"/>
              <w:rPr>
                <w:rFonts w:hint="eastAsia" w:asciiTheme="minorEastAsia" w:hAnsiTheme="minorEastAsia"/>
                <w:szCs w:val="21"/>
              </w:rPr>
            </w:pPr>
            <w:r>
              <w:rPr>
                <w:rFonts w:hint="eastAsia" w:asciiTheme="minorEastAsia" w:hAnsiTheme="minorEastAsia"/>
                <w:szCs w:val="21"/>
              </w:rPr>
              <w:t>年月日—年月日</w:t>
            </w:r>
          </w:p>
        </w:tc>
      </w:tr>
      <w:tr w14:paraId="5E17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19" w:type="dxa"/>
            <w:gridSpan w:val="7"/>
            <w:tcBorders>
              <w:top w:val="single" w:color="auto" w:sz="4" w:space="0"/>
              <w:left w:val="single" w:color="auto" w:sz="4" w:space="0"/>
              <w:bottom w:val="single" w:color="auto" w:sz="4" w:space="0"/>
              <w:right w:val="single" w:color="auto" w:sz="4" w:space="0"/>
            </w:tcBorders>
            <w:shd w:val="clear" w:color="auto" w:fill="D9D9D9"/>
            <w:vAlign w:val="center"/>
          </w:tcPr>
          <w:p w14:paraId="602A9EB4">
            <w:pPr>
              <w:spacing w:line="360" w:lineRule="auto"/>
              <w:ind w:firstLine="105" w:firstLineChars="50"/>
              <w:jc w:val="center"/>
              <w:rPr>
                <w:rFonts w:hint="eastAsia" w:asciiTheme="minorEastAsia" w:hAnsiTheme="minorEastAsia"/>
                <w:b/>
                <w:szCs w:val="21"/>
                <w:u w:val="single"/>
              </w:rPr>
            </w:pPr>
            <w:r>
              <w:rPr>
                <w:rFonts w:hint="eastAsia" w:asciiTheme="minorEastAsia" w:hAnsiTheme="minorEastAsia"/>
                <w:b/>
                <w:szCs w:val="21"/>
              </w:rPr>
              <w:t>汇报内容</w:t>
            </w:r>
          </w:p>
        </w:tc>
      </w:tr>
      <w:tr w14:paraId="1E4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0484C93">
            <w:pPr>
              <w:spacing w:line="360" w:lineRule="auto"/>
              <w:jc w:val="center"/>
              <w:rPr>
                <w:rFonts w:hint="eastAsia" w:asciiTheme="minorEastAsia" w:hAnsiTheme="minorEastAsia"/>
                <w:szCs w:val="21"/>
              </w:rPr>
            </w:pPr>
            <w:r>
              <w:rPr>
                <w:rFonts w:hint="eastAsia" w:asciiTheme="minorEastAsia" w:hAnsiTheme="minorEastAsia"/>
                <w:szCs w:val="21"/>
              </w:rPr>
              <w:t>系统漏洞</w:t>
            </w:r>
          </w:p>
        </w:tc>
        <w:tc>
          <w:tcPr>
            <w:tcW w:w="7117" w:type="dxa"/>
            <w:gridSpan w:val="6"/>
            <w:tcBorders>
              <w:top w:val="single" w:color="auto" w:sz="4" w:space="0"/>
              <w:left w:val="single" w:color="auto" w:sz="4" w:space="0"/>
              <w:bottom w:val="single" w:color="auto" w:sz="4" w:space="0"/>
              <w:right w:val="single" w:color="auto" w:sz="4" w:space="0"/>
            </w:tcBorders>
            <w:vAlign w:val="center"/>
          </w:tcPr>
          <w:p w14:paraId="30AE7753">
            <w:pPr>
              <w:spacing w:line="360" w:lineRule="auto"/>
              <w:ind w:firstLine="105" w:firstLineChars="50"/>
              <w:rPr>
                <w:rFonts w:hint="eastAsia" w:asciiTheme="minorEastAsia" w:hAnsiTheme="minorEastAsia"/>
                <w:szCs w:val="21"/>
              </w:rPr>
            </w:pPr>
            <w:r>
              <w:rPr>
                <w:rFonts w:hint="eastAsia" w:asciiTheme="minorEastAsia" w:hAnsiTheme="minorEastAsia"/>
                <w:szCs w:val="21"/>
              </w:rPr>
              <w:t>紧急：数量</w:t>
            </w:r>
          </w:p>
          <w:p w14:paraId="30246F6A">
            <w:pPr>
              <w:spacing w:line="360" w:lineRule="auto"/>
              <w:ind w:firstLine="105" w:firstLineChars="50"/>
              <w:rPr>
                <w:rFonts w:hint="eastAsia" w:asciiTheme="minorEastAsia" w:hAnsiTheme="minorEastAsia"/>
                <w:szCs w:val="21"/>
              </w:rPr>
            </w:pPr>
            <w:r>
              <w:rPr>
                <w:rFonts w:hint="eastAsia" w:asciiTheme="minorEastAsia" w:hAnsiTheme="minorEastAsia"/>
                <w:szCs w:val="21"/>
              </w:rPr>
              <w:t>重要：数量</w:t>
            </w:r>
          </w:p>
          <w:p w14:paraId="00D2FB32">
            <w:pPr>
              <w:spacing w:line="360" w:lineRule="auto"/>
              <w:ind w:firstLine="105" w:firstLineChars="50"/>
              <w:rPr>
                <w:rFonts w:hint="eastAsia" w:asciiTheme="minorEastAsia" w:hAnsiTheme="minorEastAsia"/>
                <w:szCs w:val="21"/>
              </w:rPr>
            </w:pPr>
            <w:r>
              <w:rPr>
                <w:rFonts w:hint="eastAsia" w:asciiTheme="minorEastAsia" w:hAnsiTheme="minorEastAsia"/>
                <w:szCs w:val="21"/>
              </w:rPr>
              <w:t>中度：数量</w:t>
            </w:r>
          </w:p>
          <w:p w14:paraId="38FB5DCB">
            <w:pPr>
              <w:spacing w:line="360" w:lineRule="auto"/>
              <w:ind w:firstLine="105" w:firstLineChars="50"/>
              <w:rPr>
                <w:rFonts w:hint="eastAsia" w:asciiTheme="minorEastAsia" w:hAnsiTheme="minorEastAsia"/>
                <w:szCs w:val="21"/>
                <w:u w:val="single"/>
              </w:rPr>
            </w:pPr>
            <w:r>
              <w:rPr>
                <w:rFonts w:hint="eastAsia" w:asciiTheme="minorEastAsia" w:hAnsiTheme="minorEastAsia"/>
                <w:szCs w:val="21"/>
              </w:rPr>
              <w:t>一般：数量</w:t>
            </w:r>
          </w:p>
        </w:tc>
      </w:tr>
      <w:tr w14:paraId="7C25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1974D543">
            <w:pPr>
              <w:spacing w:line="360" w:lineRule="auto"/>
              <w:jc w:val="center"/>
              <w:rPr>
                <w:rFonts w:hint="eastAsia" w:asciiTheme="minorEastAsia" w:hAnsiTheme="minorEastAsia"/>
                <w:szCs w:val="21"/>
              </w:rPr>
            </w:pPr>
            <w:r>
              <w:rPr>
                <w:rFonts w:hint="eastAsia" w:asciiTheme="minorEastAsia" w:hAnsiTheme="minorEastAsia"/>
                <w:szCs w:val="21"/>
              </w:rPr>
              <w:t>主要攻击方法</w:t>
            </w:r>
          </w:p>
        </w:tc>
        <w:tc>
          <w:tcPr>
            <w:tcW w:w="7117" w:type="dxa"/>
            <w:gridSpan w:val="6"/>
            <w:tcBorders>
              <w:top w:val="single" w:color="auto" w:sz="4" w:space="0"/>
              <w:left w:val="single" w:color="auto" w:sz="4" w:space="0"/>
              <w:bottom w:val="single" w:color="auto" w:sz="4" w:space="0"/>
              <w:right w:val="single" w:color="auto" w:sz="4" w:space="0"/>
            </w:tcBorders>
          </w:tcPr>
          <w:p w14:paraId="32262350">
            <w:pPr>
              <w:spacing w:line="360" w:lineRule="auto"/>
              <w:ind w:firstLine="105" w:firstLineChars="50"/>
              <w:rPr>
                <w:rFonts w:hint="eastAsia" w:asciiTheme="minorEastAsia" w:hAnsiTheme="minorEastAsia"/>
                <w:color w:val="000000"/>
                <w:szCs w:val="21"/>
              </w:rPr>
            </w:pPr>
          </w:p>
        </w:tc>
      </w:tr>
      <w:tr w14:paraId="502E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5F2DD69">
            <w:pPr>
              <w:spacing w:line="360" w:lineRule="auto"/>
              <w:jc w:val="center"/>
              <w:rPr>
                <w:rFonts w:hint="eastAsia" w:asciiTheme="minorEastAsia" w:hAnsiTheme="minorEastAsia"/>
                <w:szCs w:val="21"/>
              </w:rPr>
            </w:pPr>
            <w:r>
              <w:rPr>
                <w:rFonts w:hint="eastAsia" w:asciiTheme="minorEastAsia" w:hAnsiTheme="minorEastAsia"/>
                <w:szCs w:val="21"/>
              </w:rPr>
              <w:t>主要攻击工具</w:t>
            </w:r>
          </w:p>
        </w:tc>
        <w:tc>
          <w:tcPr>
            <w:tcW w:w="7117" w:type="dxa"/>
            <w:gridSpan w:val="6"/>
            <w:tcBorders>
              <w:top w:val="single" w:color="auto" w:sz="4" w:space="0"/>
              <w:left w:val="single" w:color="auto" w:sz="4" w:space="0"/>
              <w:bottom w:val="single" w:color="auto" w:sz="4" w:space="0"/>
              <w:right w:val="single" w:color="auto" w:sz="4" w:space="0"/>
            </w:tcBorders>
          </w:tcPr>
          <w:p w14:paraId="1124E9ED">
            <w:pPr>
              <w:spacing w:line="360" w:lineRule="auto"/>
              <w:ind w:firstLine="105" w:firstLineChars="50"/>
              <w:rPr>
                <w:rFonts w:hint="eastAsia" w:asciiTheme="minorEastAsia" w:hAnsiTheme="minorEastAsia"/>
                <w:color w:val="000000"/>
                <w:szCs w:val="21"/>
              </w:rPr>
            </w:pPr>
          </w:p>
        </w:tc>
      </w:tr>
      <w:tr w14:paraId="285E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329410C5">
            <w:pPr>
              <w:spacing w:line="360" w:lineRule="auto"/>
              <w:jc w:val="center"/>
              <w:rPr>
                <w:rFonts w:hint="eastAsia" w:asciiTheme="minorEastAsia" w:hAnsiTheme="minorEastAsia"/>
                <w:szCs w:val="21"/>
              </w:rPr>
            </w:pPr>
            <w:r>
              <w:rPr>
                <w:rFonts w:hint="eastAsia" w:asciiTheme="minorEastAsia" w:hAnsiTheme="minorEastAsia"/>
                <w:szCs w:val="21"/>
              </w:rPr>
              <w:t>本单位发生</w:t>
            </w:r>
          </w:p>
          <w:p w14:paraId="7554341F">
            <w:pPr>
              <w:spacing w:line="360" w:lineRule="auto"/>
              <w:jc w:val="center"/>
              <w:rPr>
                <w:rFonts w:hint="eastAsia" w:asciiTheme="minorEastAsia" w:hAnsiTheme="minorEastAsia"/>
                <w:szCs w:val="21"/>
              </w:rPr>
            </w:pPr>
            <w:r>
              <w:rPr>
                <w:rFonts w:hint="eastAsia" w:asciiTheme="minorEastAsia" w:hAnsiTheme="minorEastAsia"/>
                <w:szCs w:val="21"/>
              </w:rPr>
              <w:t>的攻击事件</w:t>
            </w:r>
          </w:p>
        </w:tc>
        <w:tc>
          <w:tcPr>
            <w:tcW w:w="7117" w:type="dxa"/>
            <w:gridSpan w:val="6"/>
            <w:tcBorders>
              <w:top w:val="single" w:color="auto" w:sz="4" w:space="0"/>
              <w:left w:val="single" w:color="auto" w:sz="4" w:space="0"/>
              <w:bottom w:val="single" w:color="auto" w:sz="4" w:space="0"/>
              <w:right w:val="single" w:color="auto" w:sz="4" w:space="0"/>
            </w:tcBorders>
          </w:tcPr>
          <w:p w14:paraId="3A60924E">
            <w:pPr>
              <w:spacing w:line="360" w:lineRule="auto"/>
              <w:ind w:firstLine="105" w:firstLineChars="50"/>
              <w:rPr>
                <w:rFonts w:hint="eastAsia" w:asciiTheme="minorEastAsia" w:hAnsiTheme="minorEastAsia"/>
                <w:color w:val="000000"/>
                <w:szCs w:val="21"/>
              </w:rPr>
            </w:pPr>
          </w:p>
          <w:p w14:paraId="25D99CB8">
            <w:pPr>
              <w:spacing w:line="360" w:lineRule="auto"/>
              <w:ind w:firstLine="105" w:firstLineChars="50"/>
              <w:rPr>
                <w:rFonts w:hint="eastAsia" w:asciiTheme="minorEastAsia" w:hAnsiTheme="minorEastAsia"/>
                <w:color w:val="000000"/>
                <w:szCs w:val="21"/>
              </w:rPr>
            </w:pPr>
          </w:p>
        </w:tc>
      </w:tr>
      <w:tr w14:paraId="51FE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702" w:type="dxa"/>
            <w:vMerge w:val="restart"/>
            <w:tcBorders>
              <w:top w:val="single" w:color="auto" w:sz="4" w:space="0"/>
              <w:left w:val="single" w:color="auto" w:sz="4" w:space="0"/>
              <w:right w:val="single" w:color="auto" w:sz="4" w:space="0"/>
            </w:tcBorders>
            <w:vAlign w:val="center"/>
          </w:tcPr>
          <w:p w14:paraId="39FD44BE">
            <w:pPr>
              <w:spacing w:line="360" w:lineRule="auto"/>
              <w:jc w:val="center"/>
              <w:rPr>
                <w:rFonts w:hint="eastAsia" w:asciiTheme="minorEastAsia" w:hAnsiTheme="minorEastAsia"/>
                <w:szCs w:val="21"/>
              </w:rPr>
            </w:pPr>
            <w:r>
              <w:rPr>
                <w:rFonts w:hint="eastAsia" w:asciiTheme="minorEastAsia" w:hAnsiTheme="minorEastAsia"/>
                <w:szCs w:val="21"/>
              </w:rPr>
              <w:t>发放部门/单位反馈情况</w:t>
            </w:r>
          </w:p>
        </w:tc>
        <w:tc>
          <w:tcPr>
            <w:tcW w:w="850" w:type="dxa"/>
            <w:tcBorders>
              <w:top w:val="single" w:color="auto" w:sz="4" w:space="0"/>
              <w:left w:val="single" w:color="auto" w:sz="4" w:space="0"/>
              <w:right w:val="single" w:color="auto" w:sz="4" w:space="0"/>
            </w:tcBorders>
            <w:vAlign w:val="center"/>
          </w:tcPr>
          <w:p w14:paraId="4442FF98">
            <w:pPr>
              <w:spacing w:line="360" w:lineRule="auto"/>
              <w:jc w:val="center"/>
              <w:rPr>
                <w:rFonts w:hint="eastAsia" w:asciiTheme="minorEastAsia" w:hAnsiTheme="minorEastAsia"/>
                <w:color w:val="000000"/>
                <w:szCs w:val="21"/>
              </w:rPr>
            </w:pPr>
            <w:r>
              <w:rPr>
                <w:rFonts w:hint="eastAsia" w:asciiTheme="minorEastAsia" w:hAnsiTheme="minorEastAsia"/>
                <w:color w:val="000000"/>
                <w:szCs w:val="21"/>
              </w:rPr>
              <w:t>序号</w:t>
            </w:r>
          </w:p>
        </w:tc>
        <w:tc>
          <w:tcPr>
            <w:tcW w:w="2410" w:type="dxa"/>
            <w:gridSpan w:val="2"/>
            <w:tcBorders>
              <w:top w:val="single" w:color="auto" w:sz="4" w:space="0"/>
              <w:left w:val="single" w:color="auto" w:sz="4" w:space="0"/>
              <w:right w:val="single" w:color="auto" w:sz="4" w:space="0"/>
            </w:tcBorders>
            <w:vAlign w:val="center"/>
          </w:tcPr>
          <w:p w14:paraId="59544A80">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单位/部门名称</w:t>
            </w:r>
          </w:p>
        </w:tc>
        <w:tc>
          <w:tcPr>
            <w:tcW w:w="1843" w:type="dxa"/>
            <w:gridSpan w:val="2"/>
            <w:tcBorders>
              <w:top w:val="single" w:color="auto" w:sz="4" w:space="0"/>
              <w:left w:val="single" w:color="auto" w:sz="4" w:space="0"/>
              <w:right w:val="single" w:color="auto" w:sz="4" w:space="0"/>
            </w:tcBorders>
            <w:vAlign w:val="center"/>
          </w:tcPr>
          <w:p w14:paraId="11BAFA01">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是否发放</w:t>
            </w:r>
          </w:p>
        </w:tc>
        <w:tc>
          <w:tcPr>
            <w:tcW w:w="2014" w:type="dxa"/>
            <w:tcBorders>
              <w:top w:val="single" w:color="auto" w:sz="4" w:space="0"/>
              <w:left w:val="single" w:color="auto" w:sz="4" w:space="0"/>
              <w:right w:val="single" w:color="auto" w:sz="4" w:space="0"/>
            </w:tcBorders>
            <w:vAlign w:val="center"/>
          </w:tcPr>
          <w:p w14:paraId="4D15A23F">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是否反馈</w:t>
            </w:r>
          </w:p>
        </w:tc>
      </w:tr>
      <w:tr w14:paraId="2F68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20EA41AE">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55E674D8">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1</w:t>
            </w:r>
          </w:p>
        </w:tc>
        <w:tc>
          <w:tcPr>
            <w:tcW w:w="2410" w:type="dxa"/>
            <w:gridSpan w:val="2"/>
            <w:tcBorders>
              <w:top w:val="single" w:color="auto" w:sz="4" w:space="0"/>
              <w:left w:val="single" w:color="auto" w:sz="4" w:space="0"/>
              <w:right w:val="single" w:color="auto" w:sz="4" w:space="0"/>
            </w:tcBorders>
            <w:vAlign w:val="center"/>
          </w:tcPr>
          <w:p w14:paraId="051D6AFF">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549E7B06">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5EE26C78">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5A30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49F55884">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6451A7CD">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2</w:t>
            </w:r>
          </w:p>
        </w:tc>
        <w:tc>
          <w:tcPr>
            <w:tcW w:w="2410" w:type="dxa"/>
            <w:gridSpan w:val="2"/>
            <w:tcBorders>
              <w:top w:val="single" w:color="auto" w:sz="4" w:space="0"/>
              <w:left w:val="single" w:color="auto" w:sz="4" w:space="0"/>
              <w:right w:val="single" w:color="auto" w:sz="4" w:space="0"/>
            </w:tcBorders>
            <w:vAlign w:val="center"/>
          </w:tcPr>
          <w:p w14:paraId="2B9F5A3C">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1B5585D1">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3AFB6A7C">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0721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1F854972">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575F59F4">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3</w:t>
            </w:r>
          </w:p>
        </w:tc>
        <w:tc>
          <w:tcPr>
            <w:tcW w:w="2410" w:type="dxa"/>
            <w:gridSpan w:val="2"/>
            <w:tcBorders>
              <w:top w:val="single" w:color="auto" w:sz="4" w:space="0"/>
              <w:left w:val="single" w:color="auto" w:sz="4" w:space="0"/>
              <w:right w:val="single" w:color="auto" w:sz="4" w:space="0"/>
            </w:tcBorders>
            <w:vAlign w:val="center"/>
          </w:tcPr>
          <w:p w14:paraId="000AC0AF">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378EA149">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75CE51B2">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1DE1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1D1DBDA2">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1900C439">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4</w:t>
            </w:r>
          </w:p>
        </w:tc>
        <w:tc>
          <w:tcPr>
            <w:tcW w:w="2410" w:type="dxa"/>
            <w:gridSpan w:val="2"/>
            <w:tcBorders>
              <w:top w:val="single" w:color="auto" w:sz="4" w:space="0"/>
              <w:left w:val="single" w:color="auto" w:sz="4" w:space="0"/>
              <w:right w:val="single" w:color="auto" w:sz="4" w:space="0"/>
            </w:tcBorders>
            <w:vAlign w:val="center"/>
          </w:tcPr>
          <w:p w14:paraId="4D74866A">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0A5563D5">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08E39542">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6625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795995B2">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7CD0BF41">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5</w:t>
            </w:r>
          </w:p>
        </w:tc>
        <w:tc>
          <w:tcPr>
            <w:tcW w:w="2410" w:type="dxa"/>
            <w:gridSpan w:val="2"/>
            <w:tcBorders>
              <w:top w:val="single" w:color="auto" w:sz="4" w:space="0"/>
              <w:left w:val="single" w:color="auto" w:sz="4" w:space="0"/>
              <w:right w:val="single" w:color="auto" w:sz="4" w:space="0"/>
            </w:tcBorders>
            <w:vAlign w:val="center"/>
          </w:tcPr>
          <w:p w14:paraId="6F460889">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6CC26D92">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79F27957">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7A4C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586E36CF">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17399624">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6</w:t>
            </w:r>
          </w:p>
        </w:tc>
        <w:tc>
          <w:tcPr>
            <w:tcW w:w="2410" w:type="dxa"/>
            <w:gridSpan w:val="2"/>
            <w:tcBorders>
              <w:top w:val="single" w:color="auto" w:sz="4" w:space="0"/>
              <w:left w:val="single" w:color="auto" w:sz="4" w:space="0"/>
              <w:right w:val="single" w:color="auto" w:sz="4" w:space="0"/>
            </w:tcBorders>
            <w:vAlign w:val="center"/>
          </w:tcPr>
          <w:p w14:paraId="1741AEFC">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4DE2AD19">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0C1770BA">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2BAA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5A059CEB">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2461D20B">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7</w:t>
            </w:r>
          </w:p>
        </w:tc>
        <w:tc>
          <w:tcPr>
            <w:tcW w:w="2410" w:type="dxa"/>
            <w:gridSpan w:val="2"/>
            <w:tcBorders>
              <w:top w:val="single" w:color="auto" w:sz="4" w:space="0"/>
              <w:left w:val="single" w:color="auto" w:sz="4" w:space="0"/>
              <w:right w:val="single" w:color="auto" w:sz="4" w:space="0"/>
            </w:tcBorders>
            <w:vAlign w:val="center"/>
          </w:tcPr>
          <w:p w14:paraId="57C3AE56">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0903F7E1">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78493605">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5B8D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428C7010">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20B3ED55">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8</w:t>
            </w:r>
          </w:p>
        </w:tc>
        <w:tc>
          <w:tcPr>
            <w:tcW w:w="2410" w:type="dxa"/>
            <w:gridSpan w:val="2"/>
            <w:tcBorders>
              <w:top w:val="single" w:color="auto" w:sz="4" w:space="0"/>
              <w:left w:val="single" w:color="auto" w:sz="4" w:space="0"/>
              <w:right w:val="single" w:color="auto" w:sz="4" w:space="0"/>
            </w:tcBorders>
            <w:vAlign w:val="center"/>
          </w:tcPr>
          <w:p w14:paraId="31A48F5A">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111C2F63">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0152AB95">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75FD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4E0F5C83">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3E5CE63B">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9</w:t>
            </w:r>
          </w:p>
        </w:tc>
        <w:tc>
          <w:tcPr>
            <w:tcW w:w="2410" w:type="dxa"/>
            <w:gridSpan w:val="2"/>
            <w:tcBorders>
              <w:top w:val="single" w:color="auto" w:sz="4" w:space="0"/>
              <w:left w:val="single" w:color="auto" w:sz="4" w:space="0"/>
              <w:right w:val="single" w:color="auto" w:sz="4" w:space="0"/>
            </w:tcBorders>
            <w:vAlign w:val="center"/>
          </w:tcPr>
          <w:p w14:paraId="0CF93AB5">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504DD9FD">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55B0AD81">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2254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07B2CF57">
            <w:pPr>
              <w:spacing w:line="360" w:lineRule="auto"/>
              <w:jc w:val="center"/>
              <w:rPr>
                <w:rFonts w:hint="eastAsia" w:asciiTheme="minorEastAsia" w:hAnsiTheme="minorEastAsia"/>
                <w:szCs w:val="21"/>
              </w:rPr>
            </w:pPr>
          </w:p>
        </w:tc>
        <w:tc>
          <w:tcPr>
            <w:tcW w:w="850" w:type="dxa"/>
            <w:tcBorders>
              <w:top w:val="single" w:color="auto" w:sz="4" w:space="0"/>
              <w:left w:val="single" w:color="auto" w:sz="4" w:space="0"/>
              <w:right w:val="single" w:color="auto" w:sz="4" w:space="0"/>
            </w:tcBorders>
            <w:vAlign w:val="center"/>
          </w:tcPr>
          <w:p w14:paraId="71C8FFAA">
            <w:pPr>
              <w:spacing w:line="360" w:lineRule="auto"/>
              <w:ind w:firstLine="105" w:firstLineChars="50"/>
              <w:jc w:val="center"/>
              <w:rPr>
                <w:rFonts w:hint="eastAsia" w:asciiTheme="minorEastAsia" w:hAnsiTheme="minorEastAsia"/>
                <w:color w:val="000000"/>
                <w:szCs w:val="21"/>
              </w:rPr>
            </w:pPr>
            <w:r>
              <w:rPr>
                <w:rFonts w:hint="eastAsia" w:asciiTheme="minorEastAsia" w:hAnsiTheme="minorEastAsia"/>
                <w:color w:val="000000"/>
                <w:szCs w:val="21"/>
              </w:rPr>
              <w:t>10</w:t>
            </w:r>
          </w:p>
        </w:tc>
        <w:tc>
          <w:tcPr>
            <w:tcW w:w="2410" w:type="dxa"/>
            <w:gridSpan w:val="2"/>
            <w:tcBorders>
              <w:top w:val="single" w:color="auto" w:sz="4" w:space="0"/>
              <w:left w:val="single" w:color="auto" w:sz="4" w:space="0"/>
              <w:right w:val="single" w:color="auto" w:sz="4" w:space="0"/>
            </w:tcBorders>
            <w:vAlign w:val="center"/>
          </w:tcPr>
          <w:p w14:paraId="47050C67">
            <w:pPr>
              <w:spacing w:line="360" w:lineRule="auto"/>
              <w:ind w:firstLine="105" w:firstLineChars="50"/>
              <w:rPr>
                <w:rFonts w:hint="eastAsia" w:asciiTheme="minorEastAsia" w:hAnsiTheme="minorEastAsia"/>
                <w:color w:val="000000"/>
                <w:szCs w:val="21"/>
              </w:rPr>
            </w:pPr>
          </w:p>
        </w:tc>
        <w:tc>
          <w:tcPr>
            <w:tcW w:w="1843" w:type="dxa"/>
            <w:gridSpan w:val="2"/>
            <w:tcBorders>
              <w:top w:val="single" w:color="auto" w:sz="4" w:space="0"/>
              <w:left w:val="single" w:color="auto" w:sz="4" w:space="0"/>
              <w:right w:val="single" w:color="auto" w:sz="4" w:space="0"/>
            </w:tcBorders>
            <w:vAlign w:val="center"/>
          </w:tcPr>
          <w:p w14:paraId="27B997C6">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c>
          <w:tcPr>
            <w:tcW w:w="2014" w:type="dxa"/>
            <w:tcBorders>
              <w:top w:val="single" w:color="auto" w:sz="4" w:space="0"/>
              <w:left w:val="single" w:color="auto" w:sz="4" w:space="0"/>
              <w:right w:val="single" w:color="auto" w:sz="4" w:space="0"/>
            </w:tcBorders>
            <w:vAlign w:val="center"/>
          </w:tcPr>
          <w:p w14:paraId="16003DEE">
            <w:pPr>
              <w:spacing w:line="360" w:lineRule="auto"/>
              <w:ind w:firstLine="105" w:firstLineChars="50"/>
              <w:rPr>
                <w:rFonts w:hint="eastAsia" w:asciiTheme="minorEastAsia" w:hAnsiTheme="minorEastAsia"/>
                <w:color w:val="000000"/>
                <w:szCs w:val="21"/>
              </w:rPr>
            </w:pPr>
            <w:r>
              <w:rPr>
                <w:rFonts w:hint="eastAsia" w:asciiTheme="minorEastAsia" w:hAnsiTheme="minorEastAsia"/>
                <w:color w:val="000000"/>
                <w:szCs w:val="21"/>
              </w:rPr>
              <w:t>是□/否□</w:t>
            </w:r>
          </w:p>
        </w:tc>
      </w:tr>
      <w:tr w14:paraId="5224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702" w:type="dxa"/>
            <w:vMerge w:val="continue"/>
            <w:tcBorders>
              <w:left w:val="single" w:color="auto" w:sz="4" w:space="0"/>
              <w:right w:val="single" w:color="auto" w:sz="4" w:space="0"/>
            </w:tcBorders>
            <w:vAlign w:val="center"/>
          </w:tcPr>
          <w:p w14:paraId="21A6A165">
            <w:pPr>
              <w:spacing w:line="360" w:lineRule="auto"/>
              <w:jc w:val="center"/>
              <w:rPr>
                <w:rFonts w:hint="eastAsia" w:asciiTheme="minorEastAsia" w:hAnsiTheme="minorEastAsia"/>
                <w:szCs w:val="21"/>
              </w:rPr>
            </w:pPr>
          </w:p>
        </w:tc>
        <w:tc>
          <w:tcPr>
            <w:tcW w:w="3260" w:type="dxa"/>
            <w:gridSpan w:val="3"/>
            <w:tcBorders>
              <w:top w:val="single" w:color="auto" w:sz="4" w:space="0"/>
              <w:left w:val="single" w:color="auto" w:sz="4" w:space="0"/>
              <w:right w:val="single" w:color="auto" w:sz="4" w:space="0"/>
            </w:tcBorders>
            <w:vAlign w:val="center"/>
          </w:tcPr>
          <w:p w14:paraId="108A592A">
            <w:pPr>
              <w:spacing w:line="360" w:lineRule="auto"/>
              <w:ind w:firstLine="105" w:firstLineChars="50"/>
              <w:jc w:val="center"/>
              <w:rPr>
                <w:rFonts w:hint="eastAsia" w:asciiTheme="minorEastAsia" w:hAnsiTheme="minorEastAsia"/>
                <w:color w:val="000000"/>
                <w:szCs w:val="21"/>
                <w:u w:val="single"/>
              </w:rPr>
            </w:pPr>
            <w:r>
              <w:rPr>
                <w:rFonts w:hint="eastAsia" w:asciiTheme="minorEastAsia" w:hAnsiTheme="minorEastAsia"/>
                <w:color w:val="000000"/>
                <w:szCs w:val="21"/>
              </w:rPr>
              <w:t>合计</w:t>
            </w:r>
          </w:p>
        </w:tc>
        <w:tc>
          <w:tcPr>
            <w:tcW w:w="1843" w:type="dxa"/>
            <w:gridSpan w:val="2"/>
            <w:tcBorders>
              <w:top w:val="single" w:color="auto" w:sz="4" w:space="0"/>
              <w:left w:val="single" w:color="auto" w:sz="4" w:space="0"/>
              <w:right w:val="single" w:color="auto" w:sz="4" w:space="0"/>
            </w:tcBorders>
            <w:vAlign w:val="center"/>
          </w:tcPr>
          <w:p w14:paraId="268B5FF3">
            <w:pPr>
              <w:spacing w:line="360" w:lineRule="auto"/>
              <w:ind w:firstLine="105" w:firstLineChars="50"/>
              <w:rPr>
                <w:rFonts w:hint="eastAsia" w:asciiTheme="minorEastAsia" w:hAnsiTheme="minorEastAsia"/>
                <w:color w:val="000000"/>
                <w:szCs w:val="21"/>
              </w:rPr>
            </w:pPr>
          </w:p>
        </w:tc>
        <w:tc>
          <w:tcPr>
            <w:tcW w:w="2014" w:type="dxa"/>
            <w:tcBorders>
              <w:top w:val="single" w:color="auto" w:sz="4" w:space="0"/>
              <w:left w:val="single" w:color="auto" w:sz="4" w:space="0"/>
              <w:right w:val="single" w:color="auto" w:sz="4" w:space="0"/>
            </w:tcBorders>
            <w:vAlign w:val="center"/>
          </w:tcPr>
          <w:p w14:paraId="4BECAFE3">
            <w:pPr>
              <w:spacing w:line="360" w:lineRule="auto"/>
              <w:ind w:firstLine="105" w:firstLineChars="50"/>
              <w:rPr>
                <w:rFonts w:hint="eastAsia" w:asciiTheme="minorEastAsia" w:hAnsiTheme="minorEastAsia"/>
                <w:color w:val="000000"/>
                <w:szCs w:val="21"/>
              </w:rPr>
            </w:pPr>
          </w:p>
        </w:tc>
      </w:tr>
      <w:tr w14:paraId="54AD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819" w:type="dxa"/>
            <w:gridSpan w:val="7"/>
            <w:tcBorders>
              <w:top w:val="single" w:color="auto" w:sz="4" w:space="0"/>
              <w:left w:val="single" w:color="auto" w:sz="4" w:space="0"/>
              <w:bottom w:val="single" w:color="auto" w:sz="4" w:space="0"/>
              <w:right w:val="single" w:color="auto" w:sz="4" w:space="0"/>
            </w:tcBorders>
          </w:tcPr>
          <w:p w14:paraId="5DDBCF52">
            <w:pPr>
              <w:spacing w:line="360" w:lineRule="auto"/>
              <w:rPr>
                <w:rFonts w:hint="eastAsia" w:asciiTheme="minorEastAsia" w:hAnsiTheme="minorEastAsia"/>
                <w:szCs w:val="21"/>
              </w:rPr>
            </w:pPr>
            <w:r>
              <w:rPr>
                <w:rFonts w:asciiTheme="minorEastAsia" w:hAnsiTheme="minorEastAsia"/>
                <w:szCs w:val="21"/>
              </w:rPr>
              <w:t>备注：</w:t>
            </w:r>
          </w:p>
        </w:tc>
      </w:tr>
    </w:tbl>
    <w:p w14:paraId="1CBB23CE"/>
    <w:p w14:paraId="52594EC8">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8.2.6.6安全管理</w:t>
      </w:r>
    </w:p>
    <w:p w14:paraId="47302A4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安全策略制定</w:t>
      </w:r>
    </w:p>
    <w:p w14:paraId="1DD35EB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根据系统的安全需求和法律法规要求，制定完善的安全策略。确定访问控制策略、数据加密策略、安全审计策略等。</w:t>
      </w:r>
    </w:p>
    <w:p w14:paraId="50E508F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2、安全检测</w:t>
      </w:r>
    </w:p>
    <w:p w14:paraId="7D95C2F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定期对代码、网络、应用进行安全检测，发现安全缺陷及漏洞时，及时通知甲方相关人员，提出补救措施，修复安全问题。</w:t>
      </w:r>
    </w:p>
    <w:p w14:paraId="7564A83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安全事件响应</w:t>
      </w:r>
    </w:p>
    <w:p w14:paraId="3196FC6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建立安全事件响应机制，及时处理安全事件，降低安全事件的影响。制定安全事件应急预案，明确安全事件的处理流程和责任分工。当发生安全事件时，按照应急预案进行处理，及时采取措施，如切断网络连接、恢复数据、追踪攻击源等。</w:t>
      </w:r>
    </w:p>
    <w:p w14:paraId="085E104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安全培训与教育</w:t>
      </w:r>
    </w:p>
    <w:p w14:paraId="1BA430B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w:t>
      </w:r>
      <w:r>
        <w:rPr>
          <w:rFonts w:hint="eastAsia" w:ascii="宋体" w:hAnsi="宋体" w:eastAsia="宋体" w:cs="Times New Roman"/>
          <w:szCs w:val="21"/>
        </w:rPr>
        <w:t>用户及</w:t>
      </w:r>
      <w:r>
        <w:rPr>
          <w:rFonts w:ascii="宋体" w:hAnsi="宋体" w:eastAsia="宋体" w:cs="Times New Roman"/>
          <w:szCs w:val="21"/>
        </w:rPr>
        <w:t>运维人员进行安全培训和教育，提高安全意识和防范能力。定期组织安全培训课程，介绍安全知识和防范技巧，提高用户和运维人员的安全意识和防范能力。</w:t>
      </w:r>
    </w:p>
    <w:p w14:paraId="04EEA98A">
      <w:pPr>
        <w:keepNext/>
        <w:keepLines/>
        <w:spacing w:before="280" w:after="290" w:line="376" w:lineRule="auto"/>
        <w:outlineLvl w:val="3"/>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1</w:t>
      </w:r>
      <w:r>
        <w:rPr>
          <w:rFonts w:asciiTheme="majorHAnsi" w:hAnsiTheme="majorHAnsi" w:eastAsiaTheme="majorEastAsia" w:cstheme="majorBidi"/>
          <w:b/>
          <w:bCs/>
          <w:szCs w:val="28"/>
        </w:rPr>
        <w:t>8.2.6.7用户支持</w:t>
      </w:r>
    </w:p>
    <w:p w14:paraId="52EAD5A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技术支持服务</w:t>
      </w:r>
    </w:p>
    <w:p w14:paraId="1613E65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为用户提供技术支持</w:t>
      </w:r>
      <w:r>
        <w:rPr>
          <w:rFonts w:hint="eastAsia" w:ascii="宋体" w:hAnsi="宋体" w:eastAsia="宋体" w:cs="Times New Roman"/>
          <w:szCs w:val="21"/>
        </w:rPr>
        <w:t>、系统应用和维护技术等咨询</w:t>
      </w:r>
      <w:r>
        <w:rPr>
          <w:rFonts w:ascii="宋体" w:hAnsi="宋体" w:eastAsia="宋体" w:cs="Times New Roman"/>
          <w:szCs w:val="21"/>
        </w:rPr>
        <w:t>服务，及时解决用户在使用系统过程中遇到的问题。设立专门的技术支持热线，</w:t>
      </w:r>
      <w:r>
        <w:rPr>
          <w:rFonts w:hint="eastAsia" w:ascii="宋体" w:hAnsi="宋体" w:eastAsia="宋体" w:cs="Times New Roman"/>
          <w:szCs w:val="21"/>
        </w:rPr>
        <w:t>提供7*24的实时业务和技术支持响应，</w:t>
      </w:r>
      <w:r>
        <w:rPr>
          <w:rFonts w:ascii="宋体" w:hAnsi="宋体" w:eastAsia="宋体" w:cs="Times New Roman"/>
          <w:szCs w:val="21"/>
        </w:rPr>
        <w:t>用户可以随时咨询和反馈问题。运维团队应在规定的时间内响应并解决用户的问题，确保用户的业务不受影响。</w:t>
      </w:r>
    </w:p>
    <w:p w14:paraId="1478CD62">
      <w:pPr>
        <w:numPr>
          <w:ilvl w:val="0"/>
          <w:numId w:val="127"/>
        </w:numPr>
        <w:spacing w:line="360" w:lineRule="auto"/>
        <w:rPr>
          <w:rFonts w:hint="eastAsia" w:ascii="宋体" w:hAnsi="宋体" w:eastAsia="宋体" w:cs="Times New Roman"/>
          <w:szCs w:val="21"/>
        </w:rPr>
      </w:pPr>
      <w:r>
        <w:rPr>
          <w:rFonts w:hint="eastAsia" w:ascii="宋体" w:hAnsi="宋体" w:eastAsia="宋体" w:cs="Times New Roman"/>
          <w:szCs w:val="21"/>
        </w:rPr>
        <w:t>报表服务</w:t>
      </w:r>
    </w:p>
    <w:p w14:paraId="796BF56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根据相关业务部门要求，协助业务部门完成相关报表的制作。</w:t>
      </w:r>
    </w:p>
    <w:p w14:paraId="3DB2513A">
      <w:pPr>
        <w:numPr>
          <w:ilvl w:val="0"/>
          <w:numId w:val="127"/>
        </w:numPr>
        <w:spacing w:line="360" w:lineRule="auto"/>
        <w:rPr>
          <w:rFonts w:hint="eastAsia" w:ascii="宋体" w:hAnsi="宋体" w:eastAsia="宋体" w:cs="Times New Roman"/>
          <w:szCs w:val="21"/>
        </w:rPr>
      </w:pPr>
      <w:r>
        <w:rPr>
          <w:rFonts w:ascii="宋体" w:hAnsi="宋体" w:eastAsia="宋体" w:cs="Times New Roman"/>
          <w:szCs w:val="21"/>
        </w:rPr>
        <w:t>培训服务</w:t>
      </w:r>
    </w:p>
    <w:p w14:paraId="7CE2EB9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为用户提供系统使用培训和技术</w:t>
      </w:r>
      <w:r>
        <w:rPr>
          <w:rFonts w:hint="eastAsia" w:ascii="宋体" w:hAnsi="宋体" w:eastAsia="宋体" w:cs="Times New Roman"/>
          <w:szCs w:val="21"/>
        </w:rPr>
        <w:t>支撑培训</w:t>
      </w:r>
      <w:r>
        <w:rPr>
          <w:rFonts w:ascii="宋体" w:hAnsi="宋体" w:eastAsia="宋体" w:cs="Times New Roman"/>
          <w:szCs w:val="21"/>
        </w:rPr>
        <w:t>服务，提高用户的操作技能和</w:t>
      </w:r>
      <w:r>
        <w:rPr>
          <w:rFonts w:hint="eastAsia" w:ascii="宋体" w:hAnsi="宋体" w:eastAsia="宋体" w:cs="Times New Roman"/>
          <w:szCs w:val="21"/>
        </w:rPr>
        <w:t>运维能力</w:t>
      </w:r>
      <w:r>
        <w:rPr>
          <w:rFonts w:ascii="宋体" w:hAnsi="宋体" w:eastAsia="宋体" w:cs="Times New Roman"/>
          <w:szCs w:val="21"/>
        </w:rPr>
        <w:t>。定期组织系统使用培训和</w:t>
      </w:r>
      <w:r>
        <w:rPr>
          <w:rFonts w:hint="eastAsia" w:ascii="宋体" w:hAnsi="宋体" w:eastAsia="宋体" w:cs="Times New Roman"/>
          <w:szCs w:val="21"/>
        </w:rPr>
        <w:t>技术支撑</w:t>
      </w:r>
      <w:r>
        <w:rPr>
          <w:rFonts w:ascii="宋体" w:hAnsi="宋体" w:eastAsia="宋体" w:cs="Times New Roman"/>
          <w:szCs w:val="21"/>
        </w:rPr>
        <w:t>培训，</w:t>
      </w:r>
      <w:r>
        <w:rPr>
          <w:rFonts w:hint="eastAsia" w:ascii="宋体" w:hAnsi="宋体" w:eastAsia="宋体" w:cs="Times New Roman"/>
          <w:szCs w:val="21"/>
        </w:rPr>
        <w:t>确保用户自主可控地掌握软件源代码、数据和核心权限，具体包括掌握系统代码块功能作用及与具体业务流程对应关系、内外部接口定义及调用情况、软件运行所依赖的基础环境和各类技术中间件的基本情况；掌握数据模型设计、数据表和主要数据项结构、数据内外部交互方式及流向信息；掌握超级管理员权限、系统和数据库最高权限、代码发布更新部署权限等。</w:t>
      </w:r>
    </w:p>
    <w:p w14:paraId="28760C8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用户反馈处理</w:t>
      </w:r>
    </w:p>
    <w:p w14:paraId="53CB61E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及时处理用户的反馈和建议，不断改进运维服务的质量和效率。设立用户反馈渠道，收集用户的意见和建议。对用户的反馈进行分析和处理，及时采取措施进行改进，提高用户的满意度。</w:t>
      </w:r>
    </w:p>
    <w:p w14:paraId="3C7779A4">
      <w:pPr>
        <w:pStyle w:val="5"/>
        <w:spacing w:before="260" w:after="260"/>
        <w:jc w:val="both"/>
        <w:rPr>
          <w:rFonts w:hint="eastAsia" w:ascii="宋体" w:hAnsi="宋体"/>
          <w:szCs w:val="28"/>
        </w:rPr>
      </w:pPr>
      <w:bookmarkStart w:id="387" w:name="_Toc180265731"/>
      <w:bookmarkStart w:id="388" w:name="_Toc179549264"/>
      <w:r>
        <w:rPr>
          <w:rFonts w:hint="eastAsia" w:ascii="宋体" w:hAnsi="宋体"/>
          <w:szCs w:val="28"/>
        </w:rPr>
        <w:t>风险管理</w:t>
      </w:r>
      <w:bookmarkEnd w:id="387"/>
    </w:p>
    <w:p w14:paraId="4E824E30">
      <w:pPr>
        <w:pStyle w:val="6"/>
        <w:spacing w:before="260" w:after="260" w:line="416" w:lineRule="auto"/>
        <w:jc w:val="both"/>
        <w:rPr>
          <w:rFonts w:hint="eastAsia" w:ascii="宋体" w:hAnsi="宋体" w:cstheme="majorBidi"/>
          <w:szCs w:val="24"/>
        </w:rPr>
      </w:pPr>
      <w:bookmarkStart w:id="389" w:name="_Toc180265732"/>
      <w:r>
        <w:rPr>
          <w:rFonts w:hint="eastAsia" w:ascii="宋体" w:hAnsi="宋体" w:cstheme="majorBidi"/>
          <w:szCs w:val="24"/>
        </w:rPr>
        <w:t>风险评估与管理的目的</w:t>
      </w:r>
      <w:bookmarkEnd w:id="389"/>
    </w:p>
    <w:p w14:paraId="77FE577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服务项目实施的过程当中，一些突发或者潜在的风险因素将会对服务管理的正常提供造成相当大的威胁和破坏。如果没有充分的估计和认识，对可能的风险进行评估和管理，将是非常冒险的。我们根据以往服务项目中常见的问题做了总结提炼，并给出相应的控制办法，以最大程度的保障服务的正常提供。</w:t>
      </w:r>
    </w:p>
    <w:p w14:paraId="736E2367">
      <w:pPr>
        <w:pStyle w:val="6"/>
        <w:spacing w:before="260" w:after="260" w:line="416" w:lineRule="auto"/>
        <w:jc w:val="both"/>
        <w:rPr>
          <w:rFonts w:hint="eastAsia" w:ascii="宋体" w:hAnsi="宋体" w:cstheme="majorBidi"/>
          <w:szCs w:val="24"/>
        </w:rPr>
      </w:pPr>
      <w:bookmarkStart w:id="390" w:name="_Toc180265733"/>
      <w:r>
        <w:rPr>
          <w:rFonts w:hint="eastAsia" w:ascii="宋体" w:hAnsi="宋体" w:cstheme="majorBidi"/>
          <w:szCs w:val="24"/>
        </w:rPr>
        <w:t>风险的管理控制</w:t>
      </w:r>
      <w:bookmarkEnd w:id="390"/>
    </w:p>
    <w:p w14:paraId="6351290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风险的管理包括风险因素的认定、分析风险，制定风险应对策略。它包括最大化正面的结果影响、最小化或全面消除负面的结果影响。风险因素的认定主要是判定哪些风险可能会影响项目的成功，通常从两个方面定义</w:t>
      </w:r>
      <w:r>
        <w:rPr>
          <w:rFonts w:ascii="宋体" w:hAnsi="宋体" w:eastAsia="宋体" w:cs="Times New Roman"/>
          <w:szCs w:val="21"/>
        </w:rPr>
        <w:t>:</w:t>
      </w:r>
      <w:r>
        <w:rPr>
          <w:rFonts w:hint="eastAsia" w:ascii="宋体" w:hAnsi="宋体" w:eastAsia="宋体" w:cs="Times New Roman"/>
          <w:szCs w:val="21"/>
        </w:rPr>
        <w:t>内部因素和外部因素。内部因素是项目小组可以控制的因素如人力资源调配，执行时间控制等。外部的风险则超出项目小组的控制范围，如政府行为，市场波动。这些因素在被认定后，应及时知会客户和项目主要人员，以寻求化解风险的策略。详细的风险管理示意表如下</w:t>
      </w:r>
      <w:r>
        <w:rPr>
          <w:rFonts w:ascii="宋体" w:hAnsi="宋体" w:eastAsia="宋体" w:cs="Times New Roman"/>
          <w:szCs w:val="21"/>
        </w:rPr>
        <w:t>:</w:t>
      </w:r>
    </w:p>
    <w:tbl>
      <w:tblPr>
        <w:tblStyle w:val="40"/>
        <w:tblW w:w="9072"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2551"/>
        <w:gridCol w:w="3969"/>
      </w:tblGrid>
      <w:tr w14:paraId="1A578E7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tcBorders>
              <w:top w:val="single" w:color="000000" w:sz="4" w:space="0"/>
              <w:bottom w:val="single" w:color="000000" w:sz="6" w:space="0"/>
            </w:tcBorders>
            <w:shd w:val="clear" w:color="auto" w:fill="C0C0C0"/>
            <w:tcMar>
              <w:top w:w="0" w:type="dxa"/>
              <w:left w:w="0" w:type="dxa"/>
              <w:bottom w:w="0" w:type="dxa"/>
              <w:right w:w="0" w:type="dxa"/>
            </w:tcMar>
            <w:vAlign w:val="center"/>
          </w:tcPr>
          <w:p w14:paraId="3B9F6F5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风险类别</w:t>
            </w:r>
          </w:p>
        </w:tc>
        <w:tc>
          <w:tcPr>
            <w:tcW w:w="1276" w:type="dxa"/>
            <w:tcBorders>
              <w:top w:val="single" w:color="000000" w:sz="4" w:space="0"/>
              <w:bottom w:val="single" w:color="000000" w:sz="6" w:space="0"/>
            </w:tcBorders>
            <w:shd w:val="clear" w:color="auto" w:fill="C0C0C0"/>
            <w:tcMar>
              <w:top w:w="0" w:type="dxa"/>
              <w:left w:w="0" w:type="dxa"/>
              <w:bottom w:w="0" w:type="dxa"/>
              <w:right w:w="0" w:type="dxa"/>
            </w:tcMar>
            <w:vAlign w:val="center"/>
          </w:tcPr>
          <w:p w14:paraId="6E805F1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风险现象</w:t>
            </w:r>
          </w:p>
        </w:tc>
        <w:tc>
          <w:tcPr>
            <w:tcW w:w="2551" w:type="dxa"/>
            <w:tcBorders>
              <w:top w:val="single" w:color="000000" w:sz="4" w:space="0"/>
              <w:bottom w:val="single" w:color="000000" w:sz="6" w:space="0"/>
            </w:tcBorders>
            <w:shd w:val="clear" w:color="auto" w:fill="C0C0C0"/>
            <w:tcMar>
              <w:top w:w="0" w:type="dxa"/>
              <w:left w:w="0" w:type="dxa"/>
              <w:bottom w:w="0" w:type="dxa"/>
              <w:right w:w="0" w:type="dxa"/>
            </w:tcMar>
            <w:vAlign w:val="center"/>
          </w:tcPr>
          <w:p w14:paraId="4DCCA51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可能的影响</w:t>
            </w:r>
          </w:p>
        </w:tc>
        <w:tc>
          <w:tcPr>
            <w:tcW w:w="3969" w:type="dxa"/>
            <w:tcBorders>
              <w:top w:val="single" w:color="000000" w:sz="4" w:space="0"/>
              <w:bottom w:val="single" w:color="000000" w:sz="6" w:space="0"/>
            </w:tcBorders>
            <w:shd w:val="clear" w:color="auto" w:fill="C0C0C0"/>
            <w:tcMar>
              <w:top w:w="0" w:type="dxa"/>
              <w:left w:w="0" w:type="dxa"/>
              <w:bottom w:w="0" w:type="dxa"/>
              <w:right w:w="0" w:type="dxa"/>
            </w:tcMar>
            <w:vAlign w:val="center"/>
          </w:tcPr>
          <w:p w14:paraId="3EE60B9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控制策略</w:t>
            </w:r>
          </w:p>
        </w:tc>
      </w:tr>
      <w:tr w14:paraId="102C756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restart"/>
            <w:tcBorders>
              <w:top w:val="single" w:color="000000" w:sz="6" w:space="0"/>
            </w:tcBorders>
            <w:tcMar>
              <w:top w:w="0" w:type="dxa"/>
              <w:left w:w="0" w:type="dxa"/>
              <w:bottom w:w="0" w:type="dxa"/>
              <w:right w:w="0" w:type="dxa"/>
            </w:tcMar>
            <w:vAlign w:val="center"/>
          </w:tcPr>
          <w:p w14:paraId="2C00AF8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项目管理风险</w:t>
            </w:r>
          </w:p>
          <w:p w14:paraId="315A1759">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ascii="Times Roman" w:hAnsi="Times Roman" w:eastAsia="宋体" w:cs="Times Roman"/>
                <w:color w:val="000000"/>
                <w:kern w:val="0"/>
                <w:szCs w:val="21"/>
              </w:rPr>
              <w:drawing>
                <wp:inline distT="0" distB="0" distL="0" distR="0">
                  <wp:extent cx="5715" cy="571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ascii="Times Roman" w:hAnsi="Times Roman" w:eastAsia="宋体" w:cs="Times Roman"/>
                <w:color w:val="000000"/>
                <w:kern w:val="0"/>
                <w:szCs w:val="21"/>
              </w:rPr>
              <w:drawing>
                <wp:inline distT="0" distB="0" distL="0" distR="0">
                  <wp:extent cx="5715" cy="57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p>
        </w:tc>
        <w:tc>
          <w:tcPr>
            <w:tcW w:w="1276" w:type="dxa"/>
            <w:vMerge w:val="restart"/>
            <w:tcBorders>
              <w:top w:val="single" w:color="000000" w:sz="6" w:space="0"/>
            </w:tcBorders>
            <w:tcMar>
              <w:top w:w="0" w:type="dxa"/>
              <w:left w:w="0" w:type="dxa"/>
              <w:bottom w:w="0" w:type="dxa"/>
              <w:right w:w="0" w:type="dxa"/>
            </w:tcMar>
            <w:vAlign w:val="center"/>
          </w:tcPr>
          <w:p w14:paraId="683E743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服务范围发生变更</w:t>
            </w:r>
          </w:p>
        </w:tc>
        <w:tc>
          <w:tcPr>
            <w:tcW w:w="2551" w:type="dxa"/>
            <w:tcBorders>
              <w:top w:val="single" w:color="000000" w:sz="6" w:space="0"/>
            </w:tcBorders>
            <w:tcMar>
              <w:top w:w="0" w:type="dxa"/>
              <w:left w:w="0" w:type="dxa"/>
              <w:bottom w:w="0" w:type="dxa"/>
              <w:right w:w="0" w:type="dxa"/>
            </w:tcMar>
            <w:vAlign w:val="center"/>
          </w:tcPr>
          <w:p w14:paraId="3EFE503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可能打乱原有战略部署</w:t>
            </w:r>
            <w:r>
              <w:rPr>
                <w:rFonts w:ascii="宋体" w:hAnsi="Times Roman" w:eastAsia="宋体" w:cs="宋体"/>
                <w:color w:val="000000"/>
                <w:kern w:val="0"/>
                <w:szCs w:val="21"/>
              </w:rPr>
              <w:t>,</w:t>
            </w:r>
            <w:r>
              <w:rPr>
                <w:rFonts w:hint="eastAsia" w:ascii="宋体" w:hAnsi="Times Roman" w:eastAsia="宋体" w:cs="宋体"/>
                <w:color w:val="000000"/>
                <w:kern w:val="0"/>
                <w:szCs w:val="21"/>
              </w:rPr>
              <w:t>导致</w:t>
            </w:r>
            <w:r>
              <w:rPr>
                <w:rFonts w:ascii="宋体" w:hAnsi="Times Roman" w:eastAsia="宋体" w:cs="宋体"/>
                <w:color w:val="000000"/>
                <w:kern w:val="0"/>
                <w:szCs w:val="21"/>
              </w:rPr>
              <w:t>SLA</w:t>
            </w:r>
            <w:r>
              <w:rPr>
                <w:rFonts w:hint="eastAsia" w:ascii="宋体" w:hAnsi="Times Roman" w:eastAsia="宋体" w:cs="宋体"/>
                <w:color w:val="000000"/>
                <w:kern w:val="0"/>
                <w:szCs w:val="21"/>
              </w:rPr>
              <w:t>的变更</w:t>
            </w:r>
          </w:p>
        </w:tc>
        <w:tc>
          <w:tcPr>
            <w:tcW w:w="3969" w:type="dxa"/>
            <w:tcBorders>
              <w:top w:val="single" w:color="000000" w:sz="6" w:space="0"/>
            </w:tcBorders>
            <w:tcMar>
              <w:top w:w="0" w:type="dxa"/>
              <w:left w:w="0" w:type="dxa"/>
              <w:bottom w:w="0" w:type="dxa"/>
              <w:right w:w="0" w:type="dxa"/>
            </w:tcMar>
            <w:vAlign w:val="center"/>
          </w:tcPr>
          <w:p w14:paraId="3D58BBE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提前协调，拟定应对计划</w:t>
            </w:r>
          </w:p>
        </w:tc>
      </w:tr>
      <w:tr w14:paraId="5A0EBCF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14A132B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0723235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6A10B04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改变项目成本结构和资源配置</w:t>
            </w:r>
          </w:p>
        </w:tc>
        <w:tc>
          <w:tcPr>
            <w:tcW w:w="3969" w:type="dxa"/>
            <w:tcMar>
              <w:top w:w="0" w:type="dxa"/>
              <w:left w:w="0" w:type="dxa"/>
              <w:bottom w:w="0" w:type="dxa"/>
              <w:right w:w="0" w:type="dxa"/>
            </w:tcMar>
            <w:vAlign w:val="center"/>
          </w:tcPr>
          <w:p w14:paraId="1D47798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积极应对，完善突发事件的管理</w:t>
            </w:r>
          </w:p>
        </w:tc>
      </w:tr>
      <w:tr w14:paraId="13602DE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0273FFB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3724C00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17E6C1A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3969" w:type="dxa"/>
            <w:tcMar>
              <w:top w:w="0" w:type="dxa"/>
              <w:left w:w="0" w:type="dxa"/>
              <w:bottom w:w="0" w:type="dxa"/>
              <w:right w:w="0" w:type="dxa"/>
            </w:tcMar>
            <w:vAlign w:val="center"/>
          </w:tcPr>
          <w:p w14:paraId="0A9F111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积极沟通</w:t>
            </w:r>
          </w:p>
        </w:tc>
      </w:tr>
      <w:tr w14:paraId="0D838C6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6BCE8CE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6E004F6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第三方供应商配合出现问题</w:t>
            </w:r>
          </w:p>
        </w:tc>
        <w:tc>
          <w:tcPr>
            <w:tcW w:w="2551" w:type="dxa"/>
            <w:tcMar>
              <w:top w:w="0" w:type="dxa"/>
              <w:left w:w="0" w:type="dxa"/>
              <w:bottom w:w="0" w:type="dxa"/>
              <w:right w:w="0" w:type="dxa"/>
            </w:tcMar>
            <w:vAlign w:val="center"/>
          </w:tcPr>
          <w:p w14:paraId="1CF352B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不能在合同约定的服务级别要求内完成服务</w:t>
            </w:r>
          </w:p>
        </w:tc>
        <w:tc>
          <w:tcPr>
            <w:tcW w:w="3969" w:type="dxa"/>
            <w:tcMar>
              <w:top w:w="0" w:type="dxa"/>
              <w:left w:w="0" w:type="dxa"/>
              <w:bottom w:w="0" w:type="dxa"/>
              <w:right w:w="0" w:type="dxa"/>
            </w:tcMar>
            <w:vAlign w:val="center"/>
          </w:tcPr>
          <w:p w14:paraId="3DB96C7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通过第三方管理控制服务质量</w:t>
            </w:r>
          </w:p>
        </w:tc>
      </w:tr>
      <w:tr w14:paraId="40757E3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0AADACC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43C9F69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3606678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影响客户对中招联合执行</w:t>
            </w:r>
            <w:r>
              <w:rPr>
                <w:rFonts w:ascii="宋体" w:eastAsia="宋体" w:cs="宋体"/>
                <w:color w:val="000000"/>
                <w:kern w:val="0"/>
                <w:szCs w:val="21"/>
              </w:rPr>
              <w:t>SLA</w:t>
            </w:r>
            <w:r>
              <w:rPr>
                <w:rFonts w:hint="eastAsia" w:ascii="宋体" w:eastAsia="宋体" w:cs="宋体"/>
                <w:color w:val="000000"/>
                <w:kern w:val="0"/>
                <w:szCs w:val="21"/>
              </w:rPr>
              <w:t>评价</w:t>
            </w:r>
          </w:p>
        </w:tc>
        <w:tc>
          <w:tcPr>
            <w:tcW w:w="3969" w:type="dxa"/>
            <w:tcMar>
              <w:top w:w="0" w:type="dxa"/>
              <w:left w:w="0" w:type="dxa"/>
              <w:bottom w:w="0" w:type="dxa"/>
              <w:right w:w="0" w:type="dxa"/>
            </w:tcMar>
            <w:vAlign w:val="center"/>
          </w:tcPr>
          <w:p w14:paraId="2EBDBFD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定期的服务评估</w:t>
            </w:r>
          </w:p>
        </w:tc>
      </w:tr>
      <w:tr w14:paraId="3A45C35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7678A98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0E0D5354">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30426D8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影响客户领导内部用户的满意度</w:t>
            </w:r>
          </w:p>
        </w:tc>
        <w:tc>
          <w:tcPr>
            <w:tcW w:w="3969" w:type="dxa"/>
            <w:tcMar>
              <w:top w:w="0" w:type="dxa"/>
              <w:left w:w="0" w:type="dxa"/>
              <w:bottom w:w="0" w:type="dxa"/>
              <w:right w:w="0" w:type="dxa"/>
            </w:tcMar>
            <w:vAlign w:val="center"/>
          </w:tcPr>
          <w:p w14:paraId="7F7157E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达成客户、中招联合和第三方服务商高层的服务承诺</w:t>
            </w:r>
          </w:p>
        </w:tc>
      </w:tr>
      <w:tr w14:paraId="0714790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2163775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7FE4ECF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组织结构或人员发生变化</w:t>
            </w:r>
          </w:p>
        </w:tc>
        <w:tc>
          <w:tcPr>
            <w:tcW w:w="2551" w:type="dxa"/>
            <w:tcMar>
              <w:top w:w="0" w:type="dxa"/>
              <w:left w:w="0" w:type="dxa"/>
              <w:bottom w:w="0" w:type="dxa"/>
              <w:right w:w="0" w:type="dxa"/>
            </w:tcMar>
            <w:vAlign w:val="center"/>
          </w:tcPr>
          <w:p w14:paraId="0C637C5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部分职能无法正常实施</w:t>
            </w:r>
          </w:p>
        </w:tc>
        <w:tc>
          <w:tcPr>
            <w:tcW w:w="3969" w:type="dxa"/>
            <w:tcMar>
              <w:top w:w="0" w:type="dxa"/>
              <w:left w:w="0" w:type="dxa"/>
              <w:bottom w:w="0" w:type="dxa"/>
              <w:right w:w="0" w:type="dxa"/>
            </w:tcMar>
            <w:vAlign w:val="center"/>
          </w:tcPr>
          <w:p w14:paraId="5FA63A3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出台紧急事件的处理流程</w:t>
            </w:r>
          </w:p>
        </w:tc>
      </w:tr>
      <w:tr w14:paraId="66B3248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7738644">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65F2A33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286B430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影响提供的服务质量</w:t>
            </w:r>
          </w:p>
        </w:tc>
        <w:tc>
          <w:tcPr>
            <w:tcW w:w="3969" w:type="dxa"/>
            <w:tcMar>
              <w:top w:w="0" w:type="dxa"/>
              <w:left w:w="0" w:type="dxa"/>
              <w:bottom w:w="0" w:type="dxa"/>
              <w:right w:w="0" w:type="dxa"/>
            </w:tcMar>
            <w:vAlign w:val="center"/>
          </w:tcPr>
          <w:p w14:paraId="35F72E2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相关岗位的职能避免绝对孤立</w:t>
            </w:r>
          </w:p>
        </w:tc>
      </w:tr>
      <w:tr w14:paraId="370683B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018D210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1E38655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749511CC">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影响客户内部用户的满意度</w:t>
            </w:r>
          </w:p>
        </w:tc>
        <w:tc>
          <w:tcPr>
            <w:tcW w:w="3969" w:type="dxa"/>
            <w:tcMar>
              <w:top w:w="0" w:type="dxa"/>
              <w:left w:w="0" w:type="dxa"/>
              <w:bottom w:w="0" w:type="dxa"/>
              <w:right w:w="0" w:type="dxa"/>
            </w:tcMar>
            <w:vAlign w:val="center"/>
          </w:tcPr>
          <w:p w14:paraId="15D8BE3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沟通协调，尽早发现潜在变化</w:t>
            </w:r>
          </w:p>
        </w:tc>
      </w:tr>
      <w:tr w14:paraId="37FD63D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restart"/>
            <w:tcMar>
              <w:top w:w="0" w:type="dxa"/>
              <w:left w:w="0" w:type="dxa"/>
              <w:bottom w:w="0" w:type="dxa"/>
              <w:right w:w="0" w:type="dxa"/>
            </w:tcMar>
            <w:vAlign w:val="center"/>
          </w:tcPr>
          <w:p w14:paraId="0FF8231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维护管理风险</w:t>
            </w:r>
          </w:p>
          <w:p w14:paraId="3D668C0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2217F47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在服务过渡期间投诉增多</w:t>
            </w:r>
          </w:p>
        </w:tc>
        <w:tc>
          <w:tcPr>
            <w:tcW w:w="2551" w:type="dxa"/>
            <w:tcMar>
              <w:top w:w="0" w:type="dxa"/>
              <w:left w:w="0" w:type="dxa"/>
              <w:bottom w:w="0" w:type="dxa"/>
              <w:right w:w="0" w:type="dxa"/>
            </w:tcMar>
            <w:vAlign w:val="center"/>
          </w:tcPr>
          <w:p w14:paraId="0C0A4AF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客户满意度降低</w:t>
            </w:r>
          </w:p>
        </w:tc>
        <w:tc>
          <w:tcPr>
            <w:tcW w:w="3969" w:type="dxa"/>
            <w:tcMar>
              <w:top w:w="0" w:type="dxa"/>
              <w:left w:w="0" w:type="dxa"/>
              <w:bottom w:w="0" w:type="dxa"/>
              <w:right w:w="0" w:type="dxa"/>
            </w:tcMar>
            <w:vAlign w:val="center"/>
          </w:tcPr>
          <w:p w14:paraId="01EB392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详尽的服务过渡计划、清晰的流程和职责定义</w:t>
            </w:r>
          </w:p>
        </w:tc>
      </w:tr>
      <w:tr w14:paraId="3B55A64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0EEB150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6B93998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1876531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正式运营期延误和服务质量下降</w:t>
            </w:r>
          </w:p>
        </w:tc>
        <w:tc>
          <w:tcPr>
            <w:tcW w:w="3969" w:type="dxa"/>
            <w:tcMar>
              <w:top w:w="0" w:type="dxa"/>
              <w:left w:w="0" w:type="dxa"/>
              <w:bottom w:w="0" w:type="dxa"/>
              <w:right w:w="0" w:type="dxa"/>
            </w:tcMar>
            <w:vAlign w:val="center"/>
          </w:tcPr>
          <w:p w14:paraId="0E5DB0D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中招联合与客户相关部门的及时沟通</w:t>
            </w:r>
          </w:p>
        </w:tc>
      </w:tr>
      <w:tr w14:paraId="595BD77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5FD9F0C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46F5DD9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61432D57">
            <w:pPr>
              <w:widowControl/>
              <w:autoSpaceDE w:val="0"/>
              <w:autoSpaceDN w:val="0"/>
              <w:adjustRightInd w:val="0"/>
              <w:spacing w:line="276" w:lineRule="auto"/>
              <w:jc w:val="left"/>
              <w:rPr>
                <w:rFonts w:ascii="宋体" w:eastAsia="宋体" w:cs="宋体"/>
                <w:color w:val="000000"/>
                <w:kern w:val="0"/>
                <w:szCs w:val="21"/>
              </w:rPr>
            </w:pPr>
          </w:p>
        </w:tc>
        <w:tc>
          <w:tcPr>
            <w:tcW w:w="3969" w:type="dxa"/>
            <w:tcMar>
              <w:top w:w="0" w:type="dxa"/>
              <w:left w:w="0" w:type="dxa"/>
              <w:bottom w:w="0" w:type="dxa"/>
              <w:right w:w="0" w:type="dxa"/>
            </w:tcMar>
            <w:vAlign w:val="center"/>
          </w:tcPr>
          <w:p w14:paraId="692F5EFC">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加强与客户内部用户的交流</w:t>
            </w:r>
          </w:p>
        </w:tc>
      </w:tr>
      <w:tr w14:paraId="3624969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365DBF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65B4E74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现场响应不及时</w:t>
            </w:r>
          </w:p>
        </w:tc>
        <w:tc>
          <w:tcPr>
            <w:tcW w:w="2551" w:type="dxa"/>
            <w:tcMar>
              <w:top w:w="0" w:type="dxa"/>
              <w:left w:w="0" w:type="dxa"/>
              <w:bottom w:w="0" w:type="dxa"/>
              <w:right w:w="0" w:type="dxa"/>
            </w:tcMar>
            <w:vAlign w:val="center"/>
          </w:tcPr>
          <w:p w14:paraId="681A5AD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用户满意度下降</w:t>
            </w:r>
          </w:p>
        </w:tc>
        <w:tc>
          <w:tcPr>
            <w:tcW w:w="3969" w:type="dxa"/>
            <w:tcMar>
              <w:top w:w="0" w:type="dxa"/>
              <w:left w:w="0" w:type="dxa"/>
              <w:bottom w:w="0" w:type="dxa"/>
              <w:right w:w="0" w:type="dxa"/>
            </w:tcMar>
            <w:vAlign w:val="center"/>
          </w:tcPr>
          <w:p w14:paraId="561D1E6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制定严格的现场响应机制，得到人员、时间的保证</w:t>
            </w:r>
          </w:p>
        </w:tc>
      </w:tr>
      <w:tr w14:paraId="6F46953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4B1B64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20ABC8E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7947BF8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客户内部用户对运维部门服务不满</w:t>
            </w:r>
          </w:p>
        </w:tc>
        <w:tc>
          <w:tcPr>
            <w:tcW w:w="3969" w:type="dxa"/>
            <w:tcMar>
              <w:top w:w="0" w:type="dxa"/>
              <w:left w:w="0" w:type="dxa"/>
              <w:bottom w:w="0" w:type="dxa"/>
              <w:right w:w="0" w:type="dxa"/>
            </w:tcMar>
            <w:vAlign w:val="center"/>
          </w:tcPr>
          <w:p w14:paraId="508A936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提升运维自动化程度，减少问题处理时间</w:t>
            </w:r>
          </w:p>
        </w:tc>
      </w:tr>
      <w:tr w14:paraId="6BF664E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01D81A6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5A7ABCB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31A6684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服务提供商和客户的长期合作关系受到影响</w:t>
            </w:r>
          </w:p>
        </w:tc>
        <w:tc>
          <w:tcPr>
            <w:tcW w:w="3969" w:type="dxa"/>
            <w:tcMar>
              <w:top w:w="0" w:type="dxa"/>
              <w:left w:w="0" w:type="dxa"/>
              <w:bottom w:w="0" w:type="dxa"/>
              <w:right w:w="0" w:type="dxa"/>
            </w:tcMar>
            <w:vAlign w:val="center"/>
          </w:tcPr>
          <w:p w14:paraId="57FBA50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完善监督奖惩制度，提高服务积极性</w:t>
            </w:r>
          </w:p>
        </w:tc>
      </w:tr>
      <w:tr w14:paraId="41E29A1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668961E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3F7CFA0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无法及时处理紧急事件</w:t>
            </w:r>
          </w:p>
        </w:tc>
        <w:tc>
          <w:tcPr>
            <w:tcW w:w="2551" w:type="dxa"/>
            <w:tcMar>
              <w:top w:w="0" w:type="dxa"/>
              <w:left w:w="0" w:type="dxa"/>
              <w:bottom w:w="0" w:type="dxa"/>
              <w:right w:w="0" w:type="dxa"/>
            </w:tcMar>
            <w:vAlign w:val="center"/>
          </w:tcPr>
          <w:p w14:paraId="38910A6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影响服务级别和客户满意度</w:t>
            </w:r>
          </w:p>
        </w:tc>
        <w:tc>
          <w:tcPr>
            <w:tcW w:w="3969" w:type="dxa"/>
            <w:tcMar>
              <w:top w:w="0" w:type="dxa"/>
              <w:left w:w="0" w:type="dxa"/>
              <w:bottom w:w="0" w:type="dxa"/>
              <w:right w:w="0" w:type="dxa"/>
            </w:tcMar>
            <w:vAlign w:val="center"/>
          </w:tcPr>
          <w:p w14:paraId="2F49EBA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及时启动紧急事件管理体系和流程，满足用户的需要</w:t>
            </w:r>
          </w:p>
        </w:tc>
      </w:tr>
      <w:tr w14:paraId="19C2323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2D3E738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4FE379C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64C2CE4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可能使客户的经营业务受到损失</w:t>
            </w:r>
          </w:p>
        </w:tc>
        <w:tc>
          <w:tcPr>
            <w:tcW w:w="3969" w:type="dxa"/>
            <w:tcMar>
              <w:top w:w="0" w:type="dxa"/>
              <w:left w:w="0" w:type="dxa"/>
              <w:bottom w:w="0" w:type="dxa"/>
              <w:right w:w="0" w:type="dxa"/>
            </w:tcMar>
            <w:vAlign w:val="center"/>
          </w:tcPr>
          <w:p w14:paraId="207092F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模拟环境，寻找应对方法</w:t>
            </w:r>
          </w:p>
        </w:tc>
      </w:tr>
      <w:tr w14:paraId="6967159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4A0E56A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2320291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23D5A6C2">
            <w:pPr>
              <w:widowControl/>
              <w:autoSpaceDE w:val="0"/>
              <w:autoSpaceDN w:val="0"/>
              <w:adjustRightInd w:val="0"/>
              <w:spacing w:line="276" w:lineRule="auto"/>
              <w:jc w:val="left"/>
              <w:rPr>
                <w:rFonts w:ascii="宋体" w:eastAsia="宋体" w:cs="宋体"/>
                <w:color w:val="000000"/>
                <w:kern w:val="0"/>
                <w:szCs w:val="21"/>
              </w:rPr>
            </w:pPr>
          </w:p>
        </w:tc>
        <w:tc>
          <w:tcPr>
            <w:tcW w:w="3969" w:type="dxa"/>
            <w:tcMar>
              <w:top w:w="0" w:type="dxa"/>
              <w:left w:w="0" w:type="dxa"/>
              <w:bottom w:w="0" w:type="dxa"/>
              <w:right w:w="0" w:type="dxa"/>
            </w:tcMar>
            <w:vAlign w:val="center"/>
          </w:tcPr>
          <w:p w14:paraId="566B31E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积极与客户协调，讨论解决方案</w:t>
            </w:r>
          </w:p>
        </w:tc>
      </w:tr>
      <w:tr w14:paraId="3AAE790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2B3CFB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3734907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服务投诉无法及时处理</w:t>
            </w:r>
          </w:p>
        </w:tc>
        <w:tc>
          <w:tcPr>
            <w:tcW w:w="2551" w:type="dxa"/>
            <w:tcMar>
              <w:top w:w="0" w:type="dxa"/>
              <w:left w:w="0" w:type="dxa"/>
              <w:bottom w:w="0" w:type="dxa"/>
              <w:right w:w="0" w:type="dxa"/>
            </w:tcMar>
            <w:vAlign w:val="center"/>
          </w:tcPr>
          <w:p w14:paraId="7697487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使客户内部用户不满情绪愈演愈烈</w:t>
            </w:r>
          </w:p>
        </w:tc>
        <w:tc>
          <w:tcPr>
            <w:tcW w:w="3969" w:type="dxa"/>
            <w:tcMar>
              <w:top w:w="0" w:type="dxa"/>
              <w:left w:w="0" w:type="dxa"/>
              <w:bottom w:w="0" w:type="dxa"/>
              <w:right w:w="0" w:type="dxa"/>
            </w:tcMar>
            <w:vAlign w:val="center"/>
          </w:tcPr>
          <w:p w14:paraId="24C5287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从技术及管理流程角度防止此类事件的发生</w:t>
            </w:r>
          </w:p>
        </w:tc>
      </w:tr>
      <w:tr w14:paraId="00D8265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52650D6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09C013C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28C4116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3969" w:type="dxa"/>
            <w:tcMar>
              <w:top w:w="0" w:type="dxa"/>
              <w:left w:w="0" w:type="dxa"/>
              <w:bottom w:w="0" w:type="dxa"/>
              <w:right w:w="0" w:type="dxa"/>
            </w:tcMar>
            <w:vAlign w:val="center"/>
          </w:tcPr>
          <w:p w14:paraId="04DBD71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通过定期用户满意度调查和回访，及时找出问题并有效解决</w:t>
            </w:r>
          </w:p>
        </w:tc>
      </w:tr>
      <w:tr w14:paraId="73EB9FC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7F4390E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5E1BAC3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66AA905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影响服务满意度和</w:t>
            </w:r>
            <w:r>
              <w:rPr>
                <w:rFonts w:ascii="宋体" w:eastAsia="宋体" w:cs="宋体"/>
                <w:color w:val="000000"/>
                <w:kern w:val="0"/>
                <w:szCs w:val="21"/>
              </w:rPr>
              <w:t>SLA</w:t>
            </w:r>
            <w:r>
              <w:rPr>
                <w:rFonts w:hint="eastAsia" w:ascii="宋体" w:eastAsia="宋体" w:cs="宋体"/>
                <w:color w:val="000000"/>
                <w:kern w:val="0"/>
                <w:szCs w:val="21"/>
              </w:rPr>
              <w:t>评价</w:t>
            </w:r>
          </w:p>
        </w:tc>
        <w:tc>
          <w:tcPr>
            <w:tcW w:w="3969" w:type="dxa"/>
            <w:tcMar>
              <w:top w:w="0" w:type="dxa"/>
              <w:left w:w="0" w:type="dxa"/>
              <w:bottom w:w="0" w:type="dxa"/>
              <w:right w:w="0" w:type="dxa"/>
            </w:tcMar>
            <w:vAlign w:val="center"/>
          </w:tcPr>
          <w:p w14:paraId="387176E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若问题相当严重，中招联合及客户高层经理将召开会议，具体讨论解决方案</w:t>
            </w:r>
          </w:p>
        </w:tc>
      </w:tr>
      <w:tr w14:paraId="7E59696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15DC56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restart"/>
            <w:tcMar>
              <w:top w:w="0" w:type="dxa"/>
              <w:left w:w="0" w:type="dxa"/>
              <w:bottom w:w="0" w:type="dxa"/>
              <w:right w:w="0" w:type="dxa"/>
            </w:tcMar>
            <w:vAlign w:val="center"/>
          </w:tcPr>
          <w:p w14:paraId="7569C85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工程师技能不够</w:t>
            </w:r>
          </w:p>
        </w:tc>
        <w:tc>
          <w:tcPr>
            <w:tcW w:w="2551" w:type="dxa"/>
            <w:tcMar>
              <w:top w:w="0" w:type="dxa"/>
              <w:left w:w="0" w:type="dxa"/>
              <w:bottom w:w="0" w:type="dxa"/>
              <w:right w:w="0" w:type="dxa"/>
            </w:tcMar>
            <w:vAlign w:val="center"/>
          </w:tcPr>
          <w:p w14:paraId="7636C07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不能在合同约定的服务级别内完成</w:t>
            </w:r>
          </w:p>
        </w:tc>
        <w:tc>
          <w:tcPr>
            <w:tcW w:w="3969" w:type="dxa"/>
            <w:tcMar>
              <w:top w:w="0" w:type="dxa"/>
              <w:left w:w="0" w:type="dxa"/>
              <w:bottom w:w="0" w:type="dxa"/>
              <w:right w:w="0" w:type="dxa"/>
            </w:tcMar>
            <w:vAlign w:val="center"/>
          </w:tcPr>
          <w:p w14:paraId="2D82649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实施岗前技能评估和培训</w:t>
            </w:r>
          </w:p>
        </w:tc>
      </w:tr>
      <w:tr w14:paraId="23CE4EB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472D032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24E0049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411D82A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影响用户的正常工作和满意度</w:t>
            </w:r>
          </w:p>
        </w:tc>
        <w:tc>
          <w:tcPr>
            <w:tcW w:w="3969" w:type="dxa"/>
            <w:tcMar>
              <w:top w:w="0" w:type="dxa"/>
              <w:left w:w="0" w:type="dxa"/>
              <w:bottom w:w="0" w:type="dxa"/>
              <w:right w:w="0" w:type="dxa"/>
            </w:tcMar>
            <w:vAlign w:val="center"/>
          </w:tcPr>
          <w:p w14:paraId="242B14E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定期的服务满意度调查和内部技能考核</w:t>
            </w:r>
          </w:p>
        </w:tc>
      </w:tr>
      <w:tr w14:paraId="0FEAA30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276" w:type="dxa"/>
            <w:vMerge w:val="continue"/>
            <w:tcMar>
              <w:top w:w="0" w:type="dxa"/>
              <w:left w:w="0" w:type="dxa"/>
              <w:bottom w:w="0" w:type="dxa"/>
              <w:right w:w="0" w:type="dxa"/>
            </w:tcMar>
            <w:vAlign w:val="center"/>
          </w:tcPr>
          <w:p w14:paraId="3CADB58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76" w:type="dxa"/>
            <w:vMerge w:val="continue"/>
            <w:tcMar>
              <w:top w:w="0" w:type="dxa"/>
              <w:left w:w="0" w:type="dxa"/>
              <w:bottom w:w="0" w:type="dxa"/>
              <w:right w:w="0" w:type="dxa"/>
            </w:tcMar>
            <w:vAlign w:val="center"/>
          </w:tcPr>
          <w:p w14:paraId="6F1A55C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551" w:type="dxa"/>
            <w:tcMar>
              <w:top w:w="0" w:type="dxa"/>
              <w:left w:w="0" w:type="dxa"/>
              <w:bottom w:w="0" w:type="dxa"/>
              <w:right w:w="0" w:type="dxa"/>
            </w:tcMar>
            <w:vAlign w:val="center"/>
          </w:tcPr>
          <w:p w14:paraId="6059D40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3969" w:type="dxa"/>
            <w:tcMar>
              <w:top w:w="0" w:type="dxa"/>
              <w:left w:w="0" w:type="dxa"/>
              <w:bottom w:w="0" w:type="dxa"/>
              <w:right w:w="0" w:type="dxa"/>
            </w:tcMar>
            <w:vAlign w:val="center"/>
          </w:tcPr>
          <w:p w14:paraId="712768C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系统性的培训机制确保工程师技能的更新</w:t>
            </w:r>
          </w:p>
        </w:tc>
      </w:tr>
    </w:tbl>
    <w:p w14:paraId="377C56F9">
      <w:pPr>
        <w:pStyle w:val="6"/>
        <w:spacing w:before="260" w:after="260" w:line="416" w:lineRule="auto"/>
        <w:jc w:val="both"/>
        <w:rPr>
          <w:rFonts w:hint="eastAsia" w:ascii="宋体" w:hAnsi="宋体" w:cstheme="majorBidi"/>
          <w:szCs w:val="24"/>
        </w:rPr>
      </w:pPr>
      <w:bookmarkStart w:id="391" w:name="_Toc180265734"/>
      <w:r>
        <w:rPr>
          <w:rFonts w:hint="eastAsia" w:ascii="宋体" w:hAnsi="宋体" w:cstheme="majorBidi"/>
          <w:szCs w:val="24"/>
        </w:rPr>
        <w:t>风险控制管理措施</w:t>
      </w:r>
      <w:bookmarkEnd w:id="391"/>
    </w:p>
    <w:p w14:paraId="382160B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风险控制管理计划适用于中招联合在项目运营运维服务团队，以保障用户业务的可用性、稳定性、连续性，控制、减轻，乃至于消除在服务正式运营阶段，可能出现的不同情况导致的影响，进一步提高日常实施运营管理的质量。</w:t>
      </w:r>
    </w:p>
    <w:p w14:paraId="7388AA5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我们根据以往服务项目中常见的问题和风险做了总结提炼，并给出相应的控制办法，以最大程度的保障服务连续性的正常提供。</w:t>
      </w:r>
    </w:p>
    <w:p w14:paraId="5CFBC59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风险管理职责范围</w:t>
      </w:r>
    </w:p>
    <w:p w14:paraId="41D8009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用户</w:t>
      </w:r>
      <w:r>
        <w:rPr>
          <w:rFonts w:ascii="宋体" w:hAnsi="宋体" w:eastAsia="宋体" w:cs="Times New Roman"/>
          <w:szCs w:val="21"/>
        </w:rPr>
        <w:t>:</w:t>
      </w:r>
    </w:p>
    <w:p w14:paraId="169C107B">
      <w:pPr>
        <w:numPr>
          <w:ilvl w:val="0"/>
          <w:numId w:val="149"/>
        </w:numPr>
        <w:spacing w:line="360" w:lineRule="auto"/>
        <w:rPr>
          <w:rFonts w:hint="eastAsia" w:ascii="宋体" w:hAnsi="宋体" w:eastAsia="宋体" w:cs="Times New Roman"/>
          <w:szCs w:val="21"/>
        </w:rPr>
      </w:pPr>
      <w:r>
        <w:rPr>
          <w:rFonts w:hint="eastAsia" w:ascii="宋体" w:hAnsi="宋体" w:eastAsia="宋体" w:cs="Times New Roman"/>
          <w:szCs w:val="21"/>
        </w:rPr>
        <w:t>监督、审核服务风险管理计划</w:t>
      </w:r>
    </w:p>
    <w:p w14:paraId="7C30EDCF">
      <w:pPr>
        <w:numPr>
          <w:ilvl w:val="0"/>
          <w:numId w:val="149"/>
        </w:numPr>
        <w:spacing w:line="360" w:lineRule="auto"/>
        <w:rPr>
          <w:rFonts w:hint="eastAsia" w:ascii="宋体" w:hAnsi="宋体" w:eastAsia="宋体" w:cs="Times New Roman"/>
          <w:szCs w:val="21"/>
        </w:rPr>
      </w:pPr>
      <w:r>
        <w:rPr>
          <w:rFonts w:hint="eastAsia" w:ascii="宋体" w:hAnsi="宋体" w:eastAsia="宋体" w:cs="Times New Roman"/>
          <w:szCs w:val="21"/>
        </w:rPr>
        <w:t>确认风险管理计划中的相关职责范围和交付物</w:t>
      </w:r>
    </w:p>
    <w:p w14:paraId="7C202810">
      <w:pPr>
        <w:numPr>
          <w:ilvl w:val="0"/>
          <w:numId w:val="149"/>
        </w:numPr>
        <w:spacing w:line="360" w:lineRule="auto"/>
        <w:rPr>
          <w:rFonts w:hint="eastAsia" w:ascii="宋体" w:hAnsi="宋体" w:eastAsia="宋体" w:cs="Times New Roman"/>
          <w:szCs w:val="21"/>
        </w:rPr>
      </w:pPr>
      <w:r>
        <w:rPr>
          <w:rFonts w:hint="eastAsia" w:ascii="宋体" w:hAnsi="宋体" w:eastAsia="宋体" w:cs="Times New Roman"/>
          <w:szCs w:val="21"/>
        </w:rPr>
        <w:t>确定风险管理计划处置的适用性、完整性、充分性</w:t>
      </w:r>
    </w:p>
    <w:p w14:paraId="78ADF667">
      <w:pPr>
        <w:numPr>
          <w:ilvl w:val="0"/>
          <w:numId w:val="149"/>
        </w:numPr>
        <w:spacing w:line="360" w:lineRule="auto"/>
        <w:rPr>
          <w:rFonts w:hint="eastAsia" w:ascii="宋体" w:hAnsi="宋体" w:eastAsia="宋体" w:cs="Times New Roman"/>
          <w:szCs w:val="21"/>
        </w:rPr>
      </w:pPr>
      <w:r>
        <w:rPr>
          <w:rFonts w:hint="eastAsia" w:ascii="宋体" w:hAnsi="宋体" w:eastAsia="宋体" w:cs="Times New Roman"/>
          <w:szCs w:val="21"/>
        </w:rPr>
        <w:t>当信息和流程发生变更时，审核并确认服务变更请求</w:t>
      </w:r>
    </w:p>
    <w:p w14:paraId="44D2D2B7">
      <w:pPr>
        <w:numPr>
          <w:ilvl w:val="0"/>
          <w:numId w:val="149"/>
        </w:numPr>
        <w:spacing w:line="360" w:lineRule="auto"/>
        <w:rPr>
          <w:rFonts w:hint="eastAsia" w:ascii="宋体" w:hAnsi="宋体" w:eastAsia="宋体" w:cs="Times New Roman"/>
          <w:szCs w:val="21"/>
        </w:rPr>
      </w:pPr>
      <w:r>
        <w:rPr>
          <w:rFonts w:hint="eastAsia" w:ascii="宋体" w:hAnsi="宋体" w:eastAsia="宋体" w:cs="Times New Roman"/>
          <w:szCs w:val="21"/>
        </w:rPr>
        <w:t>协调相应的用户团队或资源参与到双方认可的服务风险管理应对活动中</w:t>
      </w:r>
    </w:p>
    <w:p w14:paraId="66EA95B6">
      <w:pPr>
        <w:spacing w:line="360" w:lineRule="auto"/>
        <w:ind w:left="480"/>
        <w:rPr>
          <w:rFonts w:ascii="Menlo Bold" w:hAnsi="Menlo Bold" w:eastAsia="宋体" w:cs="Menlo Bold"/>
          <w:szCs w:val="21"/>
        </w:rPr>
      </w:pPr>
      <w:r>
        <w:rPr>
          <w:rFonts w:hint="eastAsia" w:ascii="宋体" w:hAnsi="宋体" w:eastAsia="宋体" w:cs="Times New Roman"/>
          <w:szCs w:val="21"/>
        </w:rPr>
        <w:t>中招联合:</w:t>
      </w:r>
    </w:p>
    <w:p w14:paraId="507E6226">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及时响应处理本服务风险管理计划中已经识别的风险，并尽量降低风险对业务的影响，保证服务连续性的实施</w:t>
      </w:r>
    </w:p>
    <w:p w14:paraId="1B882F63">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及时、完整、全面地提交服务风险管理计划应对实施报告</w:t>
      </w:r>
    </w:p>
    <w:p w14:paraId="528EABCD">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及时、完整、全面地记录风险及应急措施实施过程和经验等信息，更新服务风险管理登记册</w:t>
      </w:r>
    </w:p>
    <w:p w14:paraId="4661B236">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当服务连续性方案实施过程中，涉及的信息、流程、操作等发生变更时，应及时提请用户相应负责人确认、测试、审核</w:t>
      </w:r>
    </w:p>
    <w:p w14:paraId="2CFE9A2F">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当发生本服务风险管理计划内未涉及的风险事件时，中招联合将在事件处理完成后，根据已有经验讨论、制定相应的应急措施，在测试、审批后及时修订和更新风险管理计划知识库，并重新发布</w:t>
      </w:r>
    </w:p>
    <w:p w14:paraId="3E6DCB60">
      <w:pPr>
        <w:numPr>
          <w:ilvl w:val="0"/>
          <w:numId w:val="150"/>
        </w:numPr>
        <w:spacing w:line="360" w:lineRule="auto"/>
        <w:rPr>
          <w:rFonts w:hint="eastAsia" w:ascii="宋体" w:hAnsi="宋体" w:eastAsia="宋体" w:cs="Times New Roman"/>
          <w:szCs w:val="21"/>
        </w:rPr>
      </w:pPr>
      <w:r>
        <w:rPr>
          <w:rFonts w:hint="eastAsia" w:ascii="宋体" w:hAnsi="宋体" w:eastAsia="宋体" w:cs="Times New Roman"/>
          <w:szCs w:val="21"/>
        </w:rPr>
        <w:t>负责不断识别、分析、评估服务过程的不同风险，并不断完善和修订风险管理计划和登记册，提升服务风险管理体系的建设</w:t>
      </w:r>
    </w:p>
    <w:p w14:paraId="151FF49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2、正式服务阶段风险管理</w:t>
      </w:r>
    </w:p>
    <w:p w14:paraId="05F7597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日常运营运维服务工作是本项目的重要组成部分，风险管理则围绕满意度目标，制定不同的风险管理措施。</w:t>
      </w:r>
    </w:p>
    <w:p w14:paraId="7D2EFEF1">
      <w:pPr>
        <w:numPr>
          <w:ilvl w:val="0"/>
          <w:numId w:val="151"/>
        </w:numPr>
        <w:spacing w:line="360" w:lineRule="auto"/>
        <w:rPr>
          <w:rFonts w:hint="eastAsia" w:ascii="宋体" w:hAnsi="宋体" w:eastAsia="宋体" w:cs="Times New Roman"/>
          <w:szCs w:val="21"/>
        </w:rPr>
      </w:pPr>
      <w:r>
        <w:rPr>
          <w:rFonts w:hint="eastAsia" w:ascii="宋体" w:hAnsi="宋体" w:eastAsia="宋体" w:cs="Times New Roman"/>
          <w:szCs w:val="21"/>
        </w:rPr>
        <w:t>人员稳定性管理</w:t>
      </w:r>
    </w:p>
    <w:p w14:paraId="0EF75AEA">
      <w:pPr>
        <w:spacing w:line="360" w:lineRule="auto"/>
        <w:ind w:left="960"/>
        <w:rPr>
          <w:rFonts w:hint="eastAsia" w:ascii="宋体" w:hAnsi="宋体" w:eastAsia="宋体" w:cs="Times New Roman"/>
          <w:szCs w:val="21"/>
        </w:rPr>
      </w:pPr>
      <w:r>
        <w:rPr>
          <w:rFonts w:hint="eastAsia" w:ascii="宋体" w:hAnsi="宋体" w:eastAsia="宋体" w:cs="Times New Roman"/>
          <w:szCs w:val="21"/>
        </w:rPr>
        <w:t>人员来源渠道</w:t>
      </w:r>
    </w:p>
    <w:p w14:paraId="4267841F">
      <w:pPr>
        <w:numPr>
          <w:ilvl w:val="0"/>
          <w:numId w:val="152"/>
        </w:numPr>
        <w:spacing w:line="360" w:lineRule="auto"/>
        <w:rPr>
          <w:rFonts w:hint="eastAsia" w:ascii="宋体" w:hAnsi="宋体" w:eastAsia="宋体" w:cs="Times New Roman"/>
          <w:szCs w:val="21"/>
        </w:rPr>
      </w:pPr>
      <w:r>
        <w:rPr>
          <w:rFonts w:hint="eastAsia" w:ascii="宋体" w:hAnsi="宋体" w:eastAsia="宋体" w:cs="Times New Roman"/>
          <w:szCs w:val="21"/>
        </w:rPr>
        <w:t>增加招聘渠道，提高招聘效率。</w:t>
      </w:r>
    </w:p>
    <w:p w14:paraId="18446D2F">
      <w:pPr>
        <w:spacing w:line="360" w:lineRule="auto"/>
        <w:ind w:left="960"/>
        <w:rPr>
          <w:rFonts w:hint="eastAsia" w:ascii="宋体" w:hAnsi="宋体" w:eastAsia="宋体" w:cs="Times New Roman"/>
          <w:szCs w:val="21"/>
        </w:rPr>
      </w:pPr>
      <w:r>
        <w:rPr>
          <w:rFonts w:hint="eastAsia" w:ascii="宋体" w:hAnsi="宋体" w:eastAsia="宋体" w:cs="Times New Roman"/>
          <w:szCs w:val="21"/>
        </w:rPr>
        <w:t>流失率指标控制</w:t>
      </w:r>
    </w:p>
    <w:p w14:paraId="141D6856">
      <w:pPr>
        <w:numPr>
          <w:ilvl w:val="0"/>
          <w:numId w:val="152"/>
        </w:numPr>
        <w:spacing w:line="360" w:lineRule="auto"/>
        <w:rPr>
          <w:rFonts w:hint="eastAsia" w:ascii="宋体" w:hAnsi="宋体" w:eastAsia="宋体" w:cs="Times New Roman"/>
          <w:szCs w:val="21"/>
        </w:rPr>
      </w:pPr>
      <w:r>
        <w:rPr>
          <w:rFonts w:hint="eastAsia" w:ascii="宋体" w:hAnsi="宋体" w:eastAsia="宋体" w:cs="Times New Roman"/>
          <w:szCs w:val="21"/>
        </w:rPr>
        <w:t>人员流失率的指标，将作为项目服务考核的重要指标，明确到管理</w:t>
      </w:r>
      <w:r>
        <w:rPr>
          <w:rFonts w:ascii="宋体" w:hAnsi="宋体" w:eastAsia="宋体" w:cs="Times New Roman"/>
          <w:szCs w:val="21"/>
        </w:rPr>
        <w:t>KPI</w:t>
      </w:r>
      <w:r>
        <w:rPr>
          <w:rFonts w:hint="eastAsia" w:ascii="宋体" w:hAnsi="宋体" w:eastAsia="宋体" w:cs="Times New Roman"/>
          <w:szCs w:val="21"/>
        </w:rPr>
        <w:t>中</w:t>
      </w:r>
      <w:r>
        <w:rPr>
          <w:rFonts w:ascii="宋体" w:hAnsi="宋体" w:eastAsia="宋体" w:cs="Times New Roman"/>
          <w:szCs w:val="21"/>
        </w:rPr>
        <w:t>;</w:t>
      </w:r>
    </w:p>
    <w:p w14:paraId="473870ED">
      <w:pPr>
        <w:widowControl/>
        <w:numPr>
          <w:ilvl w:val="0"/>
          <w:numId w:val="152"/>
        </w:numPr>
        <w:tabs>
          <w:tab w:val="left" w:pos="220"/>
          <w:tab w:val="left" w:pos="720"/>
        </w:tabs>
        <w:autoSpaceDE w:val="0"/>
        <w:autoSpaceDN w:val="0"/>
        <w:adjustRightInd w:val="0"/>
        <w:spacing w:after="240" w:line="360" w:lineRule="auto"/>
        <w:jc w:val="left"/>
        <w:rPr>
          <w:rFonts w:ascii="Times Roman" w:hAnsi="Times Roman" w:eastAsia="宋体" w:cs="Times Roman"/>
          <w:color w:val="000000"/>
          <w:kern w:val="0"/>
          <w:szCs w:val="21"/>
        </w:rPr>
      </w:pPr>
      <w:r>
        <w:rPr>
          <w:rFonts w:hint="eastAsia" w:ascii="宋体" w:hAnsi="宋体" w:eastAsia="宋体" w:cs="Times New Roman"/>
          <w:szCs w:val="21"/>
        </w:rPr>
        <w:t>对于流失的人员补充，将依据双方事先商定的管理办法提供后续人员，同时，中招联合将会对补充人员提前做好培训。</w:t>
      </w:r>
    </w:p>
    <w:p w14:paraId="5B510B17">
      <w:pPr>
        <w:spacing w:line="360" w:lineRule="auto"/>
        <w:ind w:left="960"/>
        <w:rPr>
          <w:rFonts w:hint="eastAsia" w:ascii="宋体" w:hAnsi="宋体" w:eastAsia="宋体" w:cs="Times New Roman"/>
          <w:szCs w:val="21"/>
        </w:rPr>
      </w:pPr>
      <w:r>
        <w:rPr>
          <w:rFonts w:hint="eastAsia" w:ascii="宋体" w:hAnsi="宋体" w:eastAsia="宋体" w:cs="Times New Roman"/>
          <w:szCs w:val="21"/>
        </w:rPr>
        <w:t>员工关怀保障</w:t>
      </w:r>
    </w:p>
    <w:p w14:paraId="4F2346C6">
      <w:pPr>
        <w:widowControl/>
        <w:numPr>
          <w:ilvl w:val="0"/>
          <w:numId w:val="152"/>
        </w:numPr>
        <w:tabs>
          <w:tab w:val="left" w:pos="220"/>
          <w:tab w:val="left" w:pos="720"/>
        </w:tabs>
        <w:autoSpaceDE w:val="0"/>
        <w:autoSpaceDN w:val="0"/>
        <w:adjustRightInd w:val="0"/>
        <w:spacing w:after="240" w:line="360" w:lineRule="auto"/>
        <w:jc w:val="left"/>
        <w:rPr>
          <w:rFonts w:ascii="Times Roman" w:hAnsi="Times Roman" w:eastAsia="宋体" w:cs="Times Roman"/>
          <w:color w:val="000000"/>
          <w:kern w:val="0"/>
          <w:szCs w:val="21"/>
        </w:rPr>
      </w:pPr>
      <w:r>
        <w:rPr>
          <w:rFonts w:hint="eastAsia" w:ascii="宋体" w:hAnsi="宋体" w:eastAsia="宋体" w:cs="Times New Roman"/>
          <w:szCs w:val="21"/>
        </w:rPr>
        <w:t>为控制好人员流失率，中招联合将依据国家和公司的相关制度规定，制定不同的奖励激励机制，提高员工的基本期望</w:t>
      </w:r>
      <w:r>
        <w:rPr>
          <w:rFonts w:ascii="宋体" w:hAnsi="宋体" w:eastAsia="宋体" w:cs="Times New Roman"/>
          <w:szCs w:val="21"/>
        </w:rPr>
        <w:t>;</w:t>
      </w:r>
    </w:p>
    <w:p w14:paraId="175EF678">
      <w:pPr>
        <w:widowControl/>
        <w:numPr>
          <w:ilvl w:val="0"/>
          <w:numId w:val="152"/>
        </w:numPr>
        <w:tabs>
          <w:tab w:val="left" w:pos="220"/>
          <w:tab w:val="left" w:pos="720"/>
        </w:tabs>
        <w:autoSpaceDE w:val="0"/>
        <w:autoSpaceDN w:val="0"/>
        <w:adjustRightInd w:val="0"/>
        <w:spacing w:after="240" w:line="360" w:lineRule="auto"/>
        <w:jc w:val="left"/>
        <w:rPr>
          <w:rFonts w:hint="eastAsia" w:ascii="宋体" w:hAnsi="宋体" w:eastAsia="宋体" w:cs="Times New Roman"/>
          <w:szCs w:val="21"/>
        </w:rPr>
      </w:pPr>
      <w:r>
        <w:rPr>
          <w:rFonts w:hint="eastAsia" w:ascii="宋体" w:hAnsi="宋体" w:eastAsia="宋体" w:cs="Times New Roman"/>
          <w:szCs w:val="21"/>
        </w:rPr>
        <w:t>为保证员工的稳定性，增强驻场工程师的归属感，中招联合专门在内部设立了员工关怀专岗，作为公司与员工之间的桥梁，保持着信息和政策的随时畅通;</w:t>
      </w:r>
    </w:p>
    <w:p w14:paraId="31221995">
      <w:pPr>
        <w:widowControl/>
        <w:numPr>
          <w:ilvl w:val="0"/>
          <w:numId w:val="152"/>
        </w:numPr>
        <w:tabs>
          <w:tab w:val="left" w:pos="220"/>
          <w:tab w:val="left" w:pos="720"/>
        </w:tabs>
        <w:autoSpaceDE w:val="0"/>
        <w:autoSpaceDN w:val="0"/>
        <w:adjustRightInd w:val="0"/>
        <w:spacing w:after="240" w:line="360" w:lineRule="auto"/>
        <w:jc w:val="left"/>
        <w:rPr>
          <w:rFonts w:ascii="Times Roman" w:hAnsi="Times Roman" w:eastAsia="宋体" w:cs="Times Roman"/>
          <w:color w:val="000000"/>
          <w:kern w:val="0"/>
          <w:szCs w:val="21"/>
        </w:rPr>
      </w:pPr>
      <w:r>
        <w:rPr>
          <w:rFonts w:hint="eastAsia" w:ascii="宋体" w:hAnsi="宋体" w:eastAsia="宋体" w:cs="Times New Roman"/>
          <w:szCs w:val="21"/>
        </w:rPr>
        <w:t>对于骨干员工，中招联合将不定期的进行骨干员工访谈，及时了解骨干员工的动向，保障骨干的稳定性。</w:t>
      </w:r>
    </w:p>
    <w:p w14:paraId="043C479E">
      <w:pPr>
        <w:spacing w:line="360" w:lineRule="auto"/>
        <w:ind w:left="960"/>
        <w:rPr>
          <w:rFonts w:hint="eastAsia" w:ascii="宋体" w:hAnsi="宋体" w:eastAsia="宋体" w:cs="Times New Roman"/>
          <w:szCs w:val="21"/>
        </w:rPr>
      </w:pPr>
      <w:r>
        <w:rPr>
          <w:rFonts w:hint="eastAsia" w:ascii="宋体" w:hAnsi="宋体" w:eastAsia="宋体" w:cs="Times New Roman"/>
          <w:szCs w:val="21"/>
        </w:rPr>
        <w:t>备份人员保障</w:t>
      </w:r>
    </w:p>
    <w:p w14:paraId="17942DC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为保证项目能够正常有序实施，不因人员的流失造成项目的质量下降，在备份人员保障方面我们将</w:t>
      </w:r>
      <w:r>
        <w:rPr>
          <w:rFonts w:ascii="宋体" w:hAnsi="宋体" w:eastAsia="宋体" w:cs="Times New Roman"/>
          <w:szCs w:val="21"/>
        </w:rPr>
        <w:t>:</w:t>
      </w:r>
    </w:p>
    <w:p w14:paraId="2AABDED1">
      <w:pPr>
        <w:widowControl/>
        <w:numPr>
          <w:ilvl w:val="0"/>
          <w:numId w:val="153"/>
        </w:numPr>
        <w:tabs>
          <w:tab w:val="left" w:pos="220"/>
          <w:tab w:val="left" w:pos="720"/>
        </w:tabs>
        <w:autoSpaceDE w:val="0"/>
        <w:autoSpaceDN w:val="0"/>
        <w:adjustRightInd w:val="0"/>
        <w:spacing w:after="240" w:line="360" w:lineRule="auto"/>
        <w:jc w:val="left"/>
        <w:rPr>
          <w:rFonts w:hint="eastAsia" w:ascii="宋体" w:hAnsi="宋体" w:eastAsia="宋体" w:cs="Times New Roman"/>
          <w:szCs w:val="21"/>
        </w:rPr>
      </w:pPr>
      <w:r>
        <w:rPr>
          <w:rFonts w:hint="eastAsia" w:ascii="宋体" w:hAnsi="宋体" w:eastAsia="宋体" w:cs="Times New Roman"/>
          <w:szCs w:val="21"/>
        </w:rPr>
        <w:t>依托强大的体系资源和自有服务资源，进行后备人员的培养;</w:t>
      </w:r>
    </w:p>
    <w:p w14:paraId="1E8FB705">
      <w:pPr>
        <w:widowControl/>
        <w:numPr>
          <w:ilvl w:val="0"/>
          <w:numId w:val="153"/>
        </w:numPr>
        <w:tabs>
          <w:tab w:val="left" w:pos="220"/>
          <w:tab w:val="left" w:pos="720"/>
        </w:tabs>
        <w:autoSpaceDE w:val="0"/>
        <w:autoSpaceDN w:val="0"/>
        <w:adjustRightInd w:val="0"/>
        <w:spacing w:after="240" w:line="360" w:lineRule="auto"/>
        <w:jc w:val="left"/>
        <w:rPr>
          <w:rFonts w:hint="eastAsia" w:ascii="宋体" w:hAnsi="宋体" w:eastAsia="宋体" w:cs="Times New Roman"/>
          <w:szCs w:val="21"/>
        </w:rPr>
      </w:pPr>
      <w:r>
        <w:rPr>
          <w:rFonts w:hint="eastAsia" w:ascii="宋体" w:hAnsi="宋体" w:eastAsia="宋体" w:cs="Times New Roman"/>
          <w:szCs w:val="21"/>
        </w:rPr>
        <w:t>与服务渠道保持缜密接触，对其进行项目服务需求培训。</w:t>
      </w:r>
    </w:p>
    <w:p w14:paraId="0A6CEC0C">
      <w:pPr>
        <w:numPr>
          <w:ilvl w:val="0"/>
          <w:numId w:val="151"/>
        </w:numPr>
        <w:spacing w:line="360" w:lineRule="auto"/>
        <w:rPr>
          <w:rFonts w:hint="eastAsia" w:ascii="宋体" w:hAnsi="宋体" w:eastAsia="宋体" w:cs="Times New Roman"/>
          <w:szCs w:val="21"/>
        </w:rPr>
      </w:pPr>
      <w:r>
        <w:rPr>
          <w:rFonts w:hint="eastAsia" w:ascii="宋体" w:hAnsi="宋体" w:eastAsia="宋体" w:cs="Times New Roman"/>
          <w:szCs w:val="21"/>
        </w:rPr>
        <w:t>现场服务风险控制</w:t>
      </w:r>
    </w:p>
    <w:tbl>
      <w:tblPr>
        <w:tblStyle w:val="40"/>
        <w:tblW w:w="9254" w:type="dxa"/>
        <w:jc w:val="center"/>
        <w:tblLayout w:type="fixed"/>
        <w:tblCellMar>
          <w:top w:w="0" w:type="dxa"/>
          <w:left w:w="108" w:type="dxa"/>
          <w:bottom w:w="0" w:type="dxa"/>
          <w:right w:w="108" w:type="dxa"/>
        </w:tblCellMar>
      </w:tblPr>
      <w:tblGrid>
        <w:gridCol w:w="1461"/>
        <w:gridCol w:w="1281"/>
        <w:gridCol w:w="2127"/>
        <w:gridCol w:w="4385"/>
      </w:tblGrid>
      <w:tr w14:paraId="0931CD40">
        <w:tblPrEx>
          <w:tblCellMar>
            <w:top w:w="0" w:type="dxa"/>
            <w:left w:w="108" w:type="dxa"/>
            <w:bottom w:w="0" w:type="dxa"/>
            <w:right w:w="108" w:type="dxa"/>
          </w:tblCellMar>
        </w:tblPrEx>
        <w:trPr>
          <w:jc w:val="center"/>
        </w:trPr>
        <w:tc>
          <w:tcPr>
            <w:tcW w:w="14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A848C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生命周期</w:t>
            </w: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FD9C0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风险</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5814F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可能的影响</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29C9D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应急保障措施</w:t>
            </w:r>
          </w:p>
        </w:tc>
      </w:tr>
      <w:tr w14:paraId="0B05CA6B">
        <w:tblPrEx>
          <w:tblCellMar>
            <w:top w:w="0" w:type="dxa"/>
            <w:left w:w="108" w:type="dxa"/>
            <w:bottom w:w="0" w:type="dxa"/>
            <w:right w:w="108" w:type="dxa"/>
          </w:tblCellMar>
        </w:tblPrEx>
        <w:trPr>
          <w:jc w:val="center"/>
        </w:trPr>
        <w:tc>
          <w:tcPr>
            <w:tcW w:w="1461" w:type="dxa"/>
            <w:vMerge w:val="restart"/>
            <w:tcBorders>
              <w:left w:val="single" w:color="000000" w:sz="4" w:space="0"/>
              <w:right w:val="single" w:color="000000" w:sz="4" w:space="0"/>
            </w:tcBorders>
            <w:tcMar>
              <w:top w:w="0" w:type="dxa"/>
              <w:left w:w="0" w:type="dxa"/>
              <w:bottom w:w="0" w:type="dxa"/>
              <w:right w:w="0" w:type="dxa"/>
            </w:tcMar>
            <w:vAlign w:val="center"/>
          </w:tcPr>
          <w:p w14:paraId="569BB8E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现场支持</w:t>
            </w:r>
          </w:p>
        </w:tc>
        <w:tc>
          <w:tcPr>
            <w:tcW w:w="128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129AD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现场响应不及时</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CBFBA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用户满意度下降</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82410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制定严格的现场响应机制，得到人员、时间的保证</w:t>
            </w:r>
          </w:p>
        </w:tc>
      </w:tr>
      <w:tr w14:paraId="5584BBED">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8331DA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062F2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4C5CC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服务人员积极性不高</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91696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完善监督奖惩制度，提高服务积极性</w:t>
            </w:r>
          </w:p>
        </w:tc>
      </w:tr>
      <w:tr w14:paraId="23017AC8">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602A5F71">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549C64E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无法及时处理紧急事件</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D8504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影响服务级别和用户满意度</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8D9E6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及时启动紧急事件管理体系和流程，满足用户的需要</w:t>
            </w:r>
          </w:p>
        </w:tc>
      </w:tr>
      <w:tr w14:paraId="4BD6AF4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0ACFFD1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682CF1D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46651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A15F6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模拟环境，寻找应对方法</w:t>
            </w:r>
          </w:p>
        </w:tc>
      </w:tr>
      <w:tr w14:paraId="15826CA0">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060F89C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1D25F76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910F4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突发故障风险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03B6A3">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积极与用户协调，讨论解决方案</w:t>
            </w:r>
          </w:p>
        </w:tc>
      </w:tr>
      <w:tr w14:paraId="57263084">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478DEEB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2B0B01D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服务投诉无法及时处理</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51C95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使用户内部用户不满情绪愈演愈烈</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A6696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从技术及管理流程角度防止此类事件的发生</w:t>
            </w:r>
          </w:p>
        </w:tc>
      </w:tr>
      <w:tr w14:paraId="5CE38F17">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6F20163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3D0102C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D4CBE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9E886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通过定期用户满意度调查和回访，及时找出问题并有效解决</w:t>
            </w:r>
          </w:p>
        </w:tc>
      </w:tr>
      <w:tr w14:paraId="51A728A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20F53DA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B49E103">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4A31A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影响服务满意度和</w:t>
            </w:r>
            <w:r>
              <w:rPr>
                <w:rFonts w:ascii="宋体" w:eastAsia="宋体" w:cs="宋体"/>
                <w:color w:val="000000"/>
                <w:kern w:val="0"/>
                <w:szCs w:val="21"/>
              </w:rPr>
              <w:t>SLA</w:t>
            </w:r>
            <w:r>
              <w:rPr>
                <w:rFonts w:hint="eastAsia" w:ascii="宋体" w:eastAsia="宋体" w:cs="宋体"/>
                <w:color w:val="000000"/>
                <w:kern w:val="0"/>
                <w:szCs w:val="21"/>
              </w:rPr>
              <w:t>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5F3CA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若问题相当严重，双方高层经理将召开会议，具体讨论解决方案</w:t>
            </w:r>
          </w:p>
        </w:tc>
      </w:tr>
      <w:tr w14:paraId="3B9C3154">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14CFD29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03CF5DC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工程师技能不够</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4D4A2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不能在合同约定的服务级别要求内完成</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21754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实施岗前技能评估和培训</w:t>
            </w:r>
          </w:p>
        </w:tc>
      </w:tr>
      <w:tr w14:paraId="1490F73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21D40E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674EB7A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E8594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影响用户的正常工作和满意度</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B51FC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定期的服务满意度调查和内部技能考核</w:t>
            </w:r>
          </w:p>
        </w:tc>
      </w:tr>
      <w:tr w14:paraId="0D668961">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18692F0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163F14C3">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0C4D2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F9134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系统性的培训机制确保工程师技能的更新</w:t>
            </w:r>
          </w:p>
        </w:tc>
      </w:tr>
      <w:tr w14:paraId="32EF1251">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31B1134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13C3CE3">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F8CAF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知识技能不足</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8F8BB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系统性的培训机制确保工程师技能的更新</w:t>
            </w:r>
          </w:p>
        </w:tc>
      </w:tr>
      <w:tr w14:paraId="67AB7A6E">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189E816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13D7D77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人员不能及时联系到</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71B1C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服务不能及时处理，有可能造成投诉</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BE901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建立通讯录有备份联系方式，确定备份联系人</w:t>
            </w:r>
          </w:p>
        </w:tc>
      </w:tr>
      <w:tr w14:paraId="4DCA73DF">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3884BC4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5736F1D6">
            <w:pPr>
              <w:widowControl/>
              <w:autoSpaceDE w:val="0"/>
              <w:autoSpaceDN w:val="0"/>
              <w:adjustRightInd w:val="0"/>
              <w:spacing w:line="276" w:lineRule="auto"/>
              <w:jc w:val="left"/>
              <w:rPr>
                <w:rFonts w:ascii="宋体" w:eastAsia="宋体" w:cs="宋体"/>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E891F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巡检不能及时进行</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3531F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制定详细的计划，做好宣传，或者联系现场负责人。</w:t>
            </w:r>
          </w:p>
        </w:tc>
      </w:tr>
      <w:tr w14:paraId="15F14E80">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6ACC131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06665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技术问题不能及时解决</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9064E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满意度下降</w:t>
            </w:r>
          </w:p>
        </w:tc>
        <w:tc>
          <w:tcPr>
            <w:tcW w:w="4385"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507AE6B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选择技术能力强、责任心强、服务规范执行好的工程师。制定完整的服务手册进行培训和总结</w:t>
            </w:r>
          </w:p>
        </w:tc>
      </w:tr>
      <w:tr w14:paraId="4E76F604">
        <w:tblPrEx>
          <w:tblCellMar>
            <w:top w:w="0" w:type="dxa"/>
            <w:left w:w="108" w:type="dxa"/>
            <w:bottom w:w="0" w:type="dxa"/>
            <w:right w:w="108" w:type="dxa"/>
          </w:tblCellMar>
        </w:tblPrEx>
        <w:trPr>
          <w:jc w:val="center"/>
        </w:trPr>
        <w:tc>
          <w:tcPr>
            <w:tcW w:w="1461" w:type="dxa"/>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55D466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640A8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服务现场临机处理能力不强</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F4E71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服务规范执行不好</w:t>
            </w:r>
          </w:p>
        </w:tc>
        <w:tc>
          <w:tcPr>
            <w:tcW w:w="4385"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C511A9D">
            <w:pPr>
              <w:widowControl/>
              <w:autoSpaceDE w:val="0"/>
              <w:autoSpaceDN w:val="0"/>
              <w:adjustRightInd w:val="0"/>
              <w:spacing w:line="276" w:lineRule="auto"/>
              <w:jc w:val="left"/>
              <w:rPr>
                <w:rFonts w:ascii="宋体" w:eastAsia="宋体" w:cs="宋体"/>
                <w:color w:val="000000"/>
                <w:kern w:val="0"/>
                <w:szCs w:val="21"/>
              </w:rPr>
            </w:pPr>
          </w:p>
        </w:tc>
      </w:tr>
    </w:tbl>
    <w:p w14:paraId="44C8D065">
      <w:pPr>
        <w:numPr>
          <w:ilvl w:val="0"/>
          <w:numId w:val="151"/>
        </w:numPr>
        <w:spacing w:line="360" w:lineRule="auto"/>
        <w:rPr>
          <w:rFonts w:hint="eastAsia" w:ascii="宋体" w:hAnsi="宋体" w:eastAsia="宋体" w:cs="Times New Roman"/>
          <w:szCs w:val="21"/>
        </w:rPr>
      </w:pPr>
      <w:r>
        <w:rPr>
          <w:rFonts w:hint="eastAsia" w:ascii="宋体" w:hAnsi="宋体" w:eastAsia="宋体" w:cs="Times New Roman"/>
          <w:szCs w:val="21"/>
        </w:rPr>
        <w:t>运维风险控制</w:t>
      </w:r>
    </w:p>
    <w:tbl>
      <w:tblPr>
        <w:tblStyle w:val="40"/>
        <w:tblW w:w="9254" w:type="dxa"/>
        <w:jc w:val="center"/>
        <w:tblLayout w:type="fixed"/>
        <w:tblCellMar>
          <w:top w:w="0" w:type="dxa"/>
          <w:left w:w="108" w:type="dxa"/>
          <w:bottom w:w="0" w:type="dxa"/>
          <w:right w:w="108" w:type="dxa"/>
        </w:tblCellMar>
      </w:tblPr>
      <w:tblGrid>
        <w:gridCol w:w="1461"/>
        <w:gridCol w:w="1281"/>
        <w:gridCol w:w="2127"/>
        <w:gridCol w:w="4385"/>
      </w:tblGrid>
      <w:tr w14:paraId="6C27A8A2">
        <w:tblPrEx>
          <w:tblCellMar>
            <w:top w:w="0" w:type="dxa"/>
            <w:left w:w="108" w:type="dxa"/>
            <w:bottom w:w="0" w:type="dxa"/>
            <w:right w:w="108" w:type="dxa"/>
          </w:tblCellMar>
        </w:tblPrEx>
        <w:trPr>
          <w:jc w:val="center"/>
        </w:trPr>
        <w:tc>
          <w:tcPr>
            <w:tcW w:w="14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EF7D7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生命周期</w:t>
            </w: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AD491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风险</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D927A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可能的影响</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D2418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应急保障措施</w:t>
            </w:r>
          </w:p>
        </w:tc>
      </w:tr>
      <w:tr w14:paraId="0BCA0AD7">
        <w:tblPrEx>
          <w:tblCellMar>
            <w:top w:w="0" w:type="dxa"/>
            <w:left w:w="108" w:type="dxa"/>
            <w:bottom w:w="0" w:type="dxa"/>
            <w:right w:w="108" w:type="dxa"/>
          </w:tblCellMar>
        </w:tblPrEx>
        <w:trPr>
          <w:jc w:val="center"/>
        </w:trPr>
        <w:tc>
          <w:tcPr>
            <w:tcW w:w="146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487D4696">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hint="eastAsia" w:ascii="宋体" w:hAnsi="Times Roman" w:eastAsia="宋体" w:cs="宋体"/>
                <w:color w:val="000000"/>
                <w:kern w:val="0"/>
                <w:szCs w:val="21"/>
              </w:rPr>
              <w:t>运维风险控制</w:t>
            </w: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09CC8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应用系统不可用</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F7F6F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CA23B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加强监控与日常巡检，弹性增加备用节点，保障服务高可用。</w:t>
            </w:r>
          </w:p>
        </w:tc>
      </w:tr>
      <w:tr w14:paraId="250CC863">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610E934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34D4F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网络攻击</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DB278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影响服务级别和用户满意度</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8936E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立即启动应急预案进行恢复，加强态势感知检测</w:t>
            </w:r>
          </w:p>
        </w:tc>
      </w:tr>
      <w:tr w14:paraId="3BF80C74">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67050D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D9F78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网络入侵</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FA1BD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0B9FA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立即启动应急预案进行恢复，定期对系统进行安全检测，及时修补漏洞</w:t>
            </w:r>
          </w:p>
        </w:tc>
      </w:tr>
      <w:tr w14:paraId="79ABE8F8">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3602889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40045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数据丢失</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F4645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BB11E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立即启动应急预案进行恢复，定期做好数据备份及备份可用性测试</w:t>
            </w:r>
          </w:p>
        </w:tc>
      </w:tr>
      <w:tr w14:paraId="4AF224F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5315688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58F02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数据库损坏</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0280A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0D869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采用高可用架构部署，定期做好数据备份及备份可用性测试</w:t>
            </w:r>
          </w:p>
        </w:tc>
      </w:tr>
      <w:tr w14:paraId="6C7A33B9">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468172E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21A07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服务器损坏</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16F1C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46C18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采用高可用架构部署，保障服务可用性</w:t>
            </w:r>
          </w:p>
        </w:tc>
      </w:tr>
      <w:tr w14:paraId="494EF8BB">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271F3373">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7305845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无法及时处理紧急事件</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B2D4F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影响服务级别和用户满意度</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A1268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及时启动紧急事件管理体系和流程，满足用户的需要</w:t>
            </w:r>
          </w:p>
        </w:tc>
      </w:tr>
      <w:tr w14:paraId="363F1D7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5A8FDE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6F21EDF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B4306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可能使用户的经营业务受到损失的风险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B0732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模拟环境，寻找应对方法</w:t>
            </w:r>
          </w:p>
        </w:tc>
      </w:tr>
      <w:tr w14:paraId="7C3B1F7E">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2E5A9788">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473F773">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E8D5B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突发故障风险</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5B8647">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积极与用户协调，讨论解决方案</w:t>
            </w:r>
          </w:p>
        </w:tc>
      </w:tr>
      <w:tr w14:paraId="51095361">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03340C7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7ECF66C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服务投诉无法及时处理</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A6E4E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使用户内部用户不满情绪愈演愈烈</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A8E94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从技术及管理流程角度防止此类事件的发生</w:t>
            </w:r>
          </w:p>
        </w:tc>
      </w:tr>
      <w:tr w14:paraId="2EAB5F87">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6DD0983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766D3A7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69E7F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F5A44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通过定期用户满意度调查和回访，及时找出问题并有效解决</w:t>
            </w:r>
          </w:p>
        </w:tc>
      </w:tr>
      <w:tr w14:paraId="5034035F">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F7C98E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A03C8F6">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4171C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影响服务满意度和</w:t>
            </w:r>
            <w:r>
              <w:rPr>
                <w:rFonts w:ascii="宋体" w:eastAsia="宋体" w:cs="宋体"/>
                <w:color w:val="000000"/>
                <w:kern w:val="0"/>
                <w:szCs w:val="21"/>
              </w:rPr>
              <w:t>SLA</w:t>
            </w:r>
            <w:r>
              <w:rPr>
                <w:rFonts w:hint="eastAsia" w:ascii="宋体" w:eastAsia="宋体" w:cs="宋体"/>
                <w:color w:val="000000"/>
                <w:kern w:val="0"/>
                <w:szCs w:val="21"/>
              </w:rPr>
              <w:t>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B725D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若问题相当严重，双方高层经理将召开会议，具体讨论解决方案</w:t>
            </w:r>
          </w:p>
        </w:tc>
      </w:tr>
      <w:tr w14:paraId="0EA446BA">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67231EB">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15F1FF7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工程师技能不够</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E2D5F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不能在合同约定的服务级别要求内完成</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366A9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实施岗前技能评估和培训</w:t>
            </w:r>
          </w:p>
        </w:tc>
      </w:tr>
      <w:tr w14:paraId="3665E0DC">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4F3A0A9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00B40A9C">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07C36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影响用户的正常工作和满意度</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E06A9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定期的服务满意度调查和内部技能考核</w:t>
            </w:r>
          </w:p>
        </w:tc>
      </w:tr>
      <w:tr w14:paraId="6CE58468">
        <w:tblPrEx>
          <w:tblCellMar>
            <w:top w:w="0" w:type="dxa"/>
            <w:left w:w="108" w:type="dxa"/>
            <w:bottom w:w="0" w:type="dxa"/>
            <w:right w:w="108" w:type="dxa"/>
          </w:tblCellMar>
        </w:tblPrEx>
        <w:trPr>
          <w:jc w:val="center"/>
        </w:trPr>
        <w:tc>
          <w:tcPr>
            <w:tcW w:w="1461" w:type="dxa"/>
            <w:vMerge w:val="continue"/>
            <w:tcBorders>
              <w:left w:val="single" w:color="000000" w:sz="4" w:space="0"/>
              <w:right w:val="single" w:color="000000" w:sz="4" w:space="0"/>
            </w:tcBorders>
            <w:tcMar>
              <w:top w:w="0" w:type="dxa"/>
              <w:left w:w="0" w:type="dxa"/>
              <w:bottom w:w="0" w:type="dxa"/>
              <w:right w:w="0" w:type="dxa"/>
            </w:tcMar>
            <w:vAlign w:val="center"/>
          </w:tcPr>
          <w:p w14:paraId="7D702A5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right w:val="single" w:color="000000" w:sz="4" w:space="0"/>
            </w:tcBorders>
            <w:tcMar>
              <w:top w:w="0" w:type="dxa"/>
              <w:left w:w="0" w:type="dxa"/>
              <w:bottom w:w="0" w:type="dxa"/>
              <w:right w:w="0" w:type="dxa"/>
            </w:tcMar>
            <w:vAlign w:val="center"/>
          </w:tcPr>
          <w:p w14:paraId="5315445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EAA2E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影响对中招联合服务形象评价</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77683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系统性的培训机制确保工程师技能的更新</w:t>
            </w:r>
          </w:p>
        </w:tc>
      </w:tr>
      <w:tr w14:paraId="708828F7">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3C156AB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1CACB04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F4331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知识技能不足</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57FCC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系统性的培训机制确保工程师技能的更新</w:t>
            </w:r>
          </w:p>
        </w:tc>
      </w:tr>
      <w:tr w14:paraId="20625E5A">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3298760E">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1DF5C75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人员不能及时联系到</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ECF65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服务不能及时处理，有可能造成投诉</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B29DF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建立通讯录有备份联系方式，确定备份联系人</w:t>
            </w:r>
          </w:p>
        </w:tc>
      </w:tr>
      <w:tr w14:paraId="0B89E827">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78CA6BD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08976249">
            <w:pPr>
              <w:widowControl/>
              <w:autoSpaceDE w:val="0"/>
              <w:autoSpaceDN w:val="0"/>
              <w:adjustRightInd w:val="0"/>
              <w:spacing w:line="276" w:lineRule="auto"/>
              <w:jc w:val="left"/>
              <w:rPr>
                <w:rFonts w:ascii="宋体" w:eastAsia="宋体" w:cs="宋体"/>
                <w:color w:val="000000"/>
                <w:kern w:val="0"/>
                <w:szCs w:val="21"/>
              </w:rPr>
            </w:pP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A23BE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巡检不能及时进行</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E0B4E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制定详细的计划，做好宣传，或者联系现场负责人。</w:t>
            </w:r>
          </w:p>
        </w:tc>
      </w:tr>
      <w:tr w14:paraId="332A0A7A">
        <w:tblPrEx>
          <w:tblCellMar>
            <w:top w:w="0" w:type="dxa"/>
            <w:left w:w="108" w:type="dxa"/>
            <w:bottom w:w="0" w:type="dxa"/>
            <w:right w:w="108" w:type="dxa"/>
          </w:tblCellMar>
        </w:tblPrEx>
        <w:trPr>
          <w:jc w:val="center"/>
        </w:trPr>
        <w:tc>
          <w:tcPr>
            <w:tcW w:w="1461" w:type="dxa"/>
            <w:tcBorders>
              <w:left w:val="single" w:color="000000" w:sz="4" w:space="0"/>
              <w:right w:val="single" w:color="000000" w:sz="4" w:space="0"/>
            </w:tcBorders>
            <w:tcMar>
              <w:top w:w="0" w:type="dxa"/>
              <w:left w:w="0" w:type="dxa"/>
              <w:bottom w:w="0" w:type="dxa"/>
              <w:right w:w="0" w:type="dxa"/>
            </w:tcMar>
            <w:vAlign w:val="center"/>
          </w:tcPr>
          <w:p w14:paraId="449BE3E7">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82F68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技术问题不能及时解决</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394CB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满意度下降</w:t>
            </w:r>
          </w:p>
        </w:tc>
        <w:tc>
          <w:tcPr>
            <w:tcW w:w="4385"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634041D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选择技术能力强、责任心强、服务规范执行好的工程师。制定完整的服务手册进行培训和总结</w:t>
            </w:r>
          </w:p>
        </w:tc>
      </w:tr>
      <w:tr w14:paraId="0692CB57">
        <w:tblPrEx>
          <w:tblCellMar>
            <w:top w:w="0" w:type="dxa"/>
            <w:left w:w="108" w:type="dxa"/>
            <w:bottom w:w="0" w:type="dxa"/>
            <w:right w:w="108" w:type="dxa"/>
          </w:tblCellMar>
        </w:tblPrEx>
        <w:trPr>
          <w:jc w:val="center"/>
        </w:trPr>
        <w:tc>
          <w:tcPr>
            <w:tcW w:w="1461" w:type="dxa"/>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EE0C774">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50A4E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服务现场临机处理能力不强</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D2096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服务规范执行不好</w:t>
            </w:r>
          </w:p>
        </w:tc>
        <w:tc>
          <w:tcPr>
            <w:tcW w:w="4385"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44BFA110">
            <w:pPr>
              <w:widowControl/>
              <w:autoSpaceDE w:val="0"/>
              <w:autoSpaceDN w:val="0"/>
              <w:adjustRightInd w:val="0"/>
              <w:spacing w:line="276" w:lineRule="auto"/>
              <w:jc w:val="left"/>
              <w:rPr>
                <w:rFonts w:ascii="宋体" w:eastAsia="宋体" w:cs="宋体"/>
                <w:color w:val="000000"/>
                <w:kern w:val="0"/>
                <w:szCs w:val="21"/>
              </w:rPr>
            </w:pPr>
          </w:p>
        </w:tc>
      </w:tr>
    </w:tbl>
    <w:p w14:paraId="488F8AFE">
      <w:pPr>
        <w:spacing w:line="360" w:lineRule="auto"/>
        <w:rPr>
          <w:rFonts w:hint="eastAsia" w:ascii="宋体" w:hAnsi="宋体" w:eastAsia="宋体" w:cs="Times New Roman"/>
          <w:sz w:val="24"/>
          <w:szCs w:val="24"/>
        </w:rPr>
      </w:pPr>
    </w:p>
    <w:p w14:paraId="45D40991">
      <w:pPr>
        <w:numPr>
          <w:ilvl w:val="0"/>
          <w:numId w:val="151"/>
        </w:numPr>
        <w:spacing w:line="360" w:lineRule="auto"/>
        <w:rPr>
          <w:rFonts w:hint="eastAsia" w:ascii="宋体" w:hAnsi="宋体" w:eastAsia="宋体" w:cs="Times New Roman"/>
          <w:szCs w:val="21"/>
        </w:rPr>
      </w:pPr>
      <w:r>
        <w:rPr>
          <w:rFonts w:hint="eastAsia" w:ascii="宋体" w:hAnsi="宋体" w:eastAsia="宋体" w:cs="Times New Roman"/>
          <w:szCs w:val="21"/>
        </w:rPr>
        <w:t>漏洞管理</w:t>
      </w:r>
    </w:p>
    <w:tbl>
      <w:tblPr>
        <w:tblStyle w:val="40"/>
        <w:tblW w:w="9254" w:type="dxa"/>
        <w:jc w:val="center"/>
        <w:tblLayout w:type="fixed"/>
        <w:tblCellMar>
          <w:top w:w="0" w:type="dxa"/>
          <w:left w:w="108" w:type="dxa"/>
          <w:bottom w:w="0" w:type="dxa"/>
          <w:right w:w="108" w:type="dxa"/>
        </w:tblCellMar>
      </w:tblPr>
      <w:tblGrid>
        <w:gridCol w:w="1461"/>
        <w:gridCol w:w="1281"/>
        <w:gridCol w:w="2127"/>
        <w:gridCol w:w="4385"/>
      </w:tblGrid>
      <w:tr w14:paraId="24F7FEED">
        <w:trPr>
          <w:jc w:val="center"/>
        </w:trPr>
        <w:tc>
          <w:tcPr>
            <w:tcW w:w="14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7FCA9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生命周期</w:t>
            </w: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8C685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风险</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8C795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可能的影响</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1822B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应急保障措施</w:t>
            </w:r>
          </w:p>
        </w:tc>
      </w:tr>
      <w:tr w14:paraId="4A91A472">
        <w:tblPrEx>
          <w:tblCellMar>
            <w:top w:w="0" w:type="dxa"/>
            <w:left w:w="108" w:type="dxa"/>
            <w:bottom w:w="0" w:type="dxa"/>
            <w:right w:w="108" w:type="dxa"/>
          </w:tblCellMar>
        </w:tblPrEx>
        <w:trPr>
          <w:jc w:val="center"/>
        </w:trPr>
        <w:tc>
          <w:tcPr>
            <w:tcW w:w="146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FB9207">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hint="eastAsia" w:ascii="宋体" w:hAnsi="Times Roman" w:eastAsia="宋体" w:cs="宋体"/>
                <w:color w:val="000000"/>
                <w:kern w:val="0"/>
                <w:szCs w:val="21"/>
              </w:rPr>
              <w:t>漏洞管理</w:t>
            </w:r>
          </w:p>
        </w:tc>
        <w:tc>
          <w:tcPr>
            <w:tcW w:w="128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1DFEC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安全预警不及时</w:t>
            </w:r>
          </w:p>
        </w:tc>
        <w:tc>
          <w:tcPr>
            <w:tcW w:w="2127"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C3987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漏洞被恶性病毒利用导致系统不或用</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BC0ED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关注甲方提供的补丁更新信息，同时关注第三方安全机构安全公告</w:t>
            </w:r>
          </w:p>
        </w:tc>
      </w:tr>
      <w:tr w14:paraId="7F6FFB3D">
        <w:tblPrEx>
          <w:tblCellMar>
            <w:top w:w="0" w:type="dxa"/>
            <w:left w:w="108" w:type="dxa"/>
            <w:bottom w:w="0" w:type="dxa"/>
            <w:right w:w="108" w:type="dxa"/>
          </w:tblCellMar>
        </w:tblPrEx>
        <w:trPr>
          <w:jc w:val="center"/>
        </w:trPr>
        <w:tc>
          <w:tcPr>
            <w:tcW w:w="146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5E838D">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E9A5C4">
            <w:pPr>
              <w:autoSpaceDE w:val="0"/>
              <w:autoSpaceDN w:val="0"/>
              <w:adjustRightInd w:val="0"/>
              <w:spacing w:line="276" w:lineRule="auto"/>
              <w:jc w:val="left"/>
              <w:rPr>
                <w:rFonts w:ascii="Times Roman" w:hAnsi="Times Roman" w:eastAsia="宋体" w:cs="Times Roman"/>
                <w:color w:val="000000"/>
                <w:kern w:val="0"/>
                <w:szCs w:val="21"/>
              </w:rPr>
            </w:pPr>
          </w:p>
        </w:tc>
        <w:tc>
          <w:tcPr>
            <w:tcW w:w="2127"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893F79">
            <w:pPr>
              <w:autoSpaceDE w:val="0"/>
              <w:autoSpaceDN w:val="0"/>
              <w:adjustRightInd w:val="0"/>
              <w:spacing w:line="276" w:lineRule="auto"/>
              <w:jc w:val="left"/>
              <w:rPr>
                <w:rFonts w:ascii="Times Roman" w:hAnsi="Times Roman" w:eastAsia="宋体" w:cs="Times Roman"/>
                <w:color w:val="000000"/>
                <w:kern w:val="0"/>
                <w:szCs w:val="21"/>
              </w:rPr>
            </w:pP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54D4A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根据已获取的信息，分析其可能对用户信息系统造成的负面影响</w:t>
            </w:r>
          </w:p>
        </w:tc>
      </w:tr>
      <w:tr w14:paraId="2DC5D5B9">
        <w:tblPrEx>
          <w:tblCellMar>
            <w:top w:w="0" w:type="dxa"/>
            <w:left w:w="108" w:type="dxa"/>
            <w:bottom w:w="0" w:type="dxa"/>
            <w:right w:w="108" w:type="dxa"/>
          </w:tblCellMar>
        </w:tblPrEx>
        <w:trPr>
          <w:jc w:val="center"/>
        </w:trPr>
        <w:tc>
          <w:tcPr>
            <w:tcW w:w="146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063FC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CAAA5D">
            <w:pPr>
              <w:autoSpaceDE w:val="0"/>
              <w:autoSpaceDN w:val="0"/>
              <w:adjustRightInd w:val="0"/>
              <w:spacing w:line="276" w:lineRule="auto"/>
              <w:jc w:val="left"/>
              <w:rPr>
                <w:rFonts w:ascii="Times Roman" w:hAnsi="Times Roman" w:eastAsia="宋体" w:cs="Times Roman"/>
                <w:color w:val="000000"/>
                <w:kern w:val="0"/>
                <w:szCs w:val="21"/>
              </w:rPr>
            </w:pPr>
          </w:p>
        </w:tc>
        <w:tc>
          <w:tcPr>
            <w:tcW w:w="2127"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F6742C">
            <w:pPr>
              <w:autoSpaceDE w:val="0"/>
              <w:autoSpaceDN w:val="0"/>
              <w:adjustRightInd w:val="0"/>
              <w:spacing w:line="276" w:lineRule="auto"/>
              <w:jc w:val="left"/>
              <w:rPr>
                <w:rFonts w:ascii="Times Roman" w:hAnsi="Times Roman" w:eastAsia="宋体" w:cs="Times Roman"/>
                <w:color w:val="000000"/>
                <w:kern w:val="0"/>
                <w:szCs w:val="21"/>
              </w:rPr>
            </w:pP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D3934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根据已获取的信息和分析结果，有针对性的制定切实可行的预防、解决方法</w:t>
            </w:r>
          </w:p>
        </w:tc>
      </w:tr>
    </w:tbl>
    <w:p w14:paraId="19A4E643">
      <w:pPr>
        <w:numPr>
          <w:ilvl w:val="0"/>
          <w:numId w:val="151"/>
        </w:numPr>
        <w:spacing w:line="360" w:lineRule="auto"/>
        <w:rPr>
          <w:rFonts w:hint="eastAsia" w:ascii="宋体" w:hAnsi="宋体" w:eastAsia="宋体" w:cs="Times New Roman"/>
          <w:szCs w:val="21"/>
        </w:rPr>
      </w:pPr>
      <w:r>
        <w:rPr>
          <w:rFonts w:hint="eastAsia" w:ascii="宋体" w:hAnsi="宋体" w:eastAsia="宋体" w:cs="Times New Roman"/>
          <w:szCs w:val="21"/>
        </w:rPr>
        <w:t>涉及用户信息的安全管理</w:t>
      </w:r>
    </w:p>
    <w:tbl>
      <w:tblPr>
        <w:tblStyle w:val="40"/>
        <w:tblW w:w="9254" w:type="dxa"/>
        <w:jc w:val="center"/>
        <w:tblLayout w:type="fixed"/>
        <w:tblCellMar>
          <w:top w:w="0" w:type="dxa"/>
          <w:left w:w="108" w:type="dxa"/>
          <w:bottom w:w="0" w:type="dxa"/>
          <w:right w:w="108" w:type="dxa"/>
        </w:tblCellMar>
      </w:tblPr>
      <w:tblGrid>
        <w:gridCol w:w="1461"/>
        <w:gridCol w:w="1281"/>
        <w:gridCol w:w="2127"/>
        <w:gridCol w:w="4385"/>
      </w:tblGrid>
      <w:tr w14:paraId="20F29D55">
        <w:tblPrEx>
          <w:tblCellMar>
            <w:top w:w="0" w:type="dxa"/>
            <w:left w:w="108" w:type="dxa"/>
            <w:bottom w:w="0" w:type="dxa"/>
            <w:right w:w="108" w:type="dxa"/>
          </w:tblCellMar>
        </w:tblPrEx>
        <w:trPr>
          <w:jc w:val="center"/>
        </w:trPr>
        <w:tc>
          <w:tcPr>
            <w:tcW w:w="14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2259D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生命周期</w:t>
            </w:r>
          </w:p>
        </w:tc>
        <w:tc>
          <w:tcPr>
            <w:tcW w:w="12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DCEA6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风险</w:t>
            </w:r>
          </w:p>
        </w:tc>
        <w:tc>
          <w:tcPr>
            <w:tcW w:w="212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19BA8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可能的影响</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15949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应急保障措施</w:t>
            </w:r>
          </w:p>
        </w:tc>
      </w:tr>
      <w:tr w14:paraId="432ACEA1">
        <w:tblPrEx>
          <w:tblCellMar>
            <w:top w:w="0" w:type="dxa"/>
            <w:left w:w="108" w:type="dxa"/>
            <w:bottom w:w="0" w:type="dxa"/>
            <w:right w:w="108" w:type="dxa"/>
          </w:tblCellMar>
        </w:tblPrEx>
        <w:trPr>
          <w:jc w:val="center"/>
        </w:trPr>
        <w:tc>
          <w:tcPr>
            <w:tcW w:w="146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8A8100">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hint="eastAsia" w:ascii="宋体" w:hAnsi="Times Roman" w:eastAsia="宋体" w:cs="宋体"/>
                <w:color w:val="000000"/>
                <w:kern w:val="0"/>
                <w:szCs w:val="21"/>
              </w:rPr>
              <w:t>信息安全</w:t>
            </w:r>
          </w:p>
        </w:tc>
        <w:tc>
          <w:tcPr>
            <w:tcW w:w="128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839C8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项目资料在实施过程中，涉及实施提供方的信息接触</w:t>
            </w:r>
          </w:p>
        </w:tc>
        <w:tc>
          <w:tcPr>
            <w:tcW w:w="2127"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19352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信息泄密</w:t>
            </w: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19A71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服务实施控制在中招联合团队，不采取分包形式。</w:t>
            </w:r>
          </w:p>
        </w:tc>
      </w:tr>
      <w:tr w14:paraId="2F8BD658">
        <w:tblPrEx>
          <w:tblCellMar>
            <w:top w:w="0" w:type="dxa"/>
            <w:left w:w="108" w:type="dxa"/>
            <w:bottom w:w="0" w:type="dxa"/>
            <w:right w:w="108" w:type="dxa"/>
          </w:tblCellMar>
        </w:tblPrEx>
        <w:trPr>
          <w:jc w:val="center"/>
        </w:trPr>
        <w:tc>
          <w:tcPr>
            <w:tcW w:w="146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45CAB5">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7E61E2">
            <w:pPr>
              <w:autoSpaceDE w:val="0"/>
              <w:autoSpaceDN w:val="0"/>
              <w:adjustRightInd w:val="0"/>
              <w:spacing w:line="276" w:lineRule="auto"/>
              <w:jc w:val="left"/>
              <w:rPr>
                <w:rFonts w:ascii="Times Roman" w:hAnsi="Times Roman" w:eastAsia="宋体" w:cs="Times Roman"/>
                <w:color w:val="000000"/>
                <w:kern w:val="0"/>
                <w:szCs w:val="21"/>
              </w:rPr>
            </w:pPr>
          </w:p>
        </w:tc>
        <w:tc>
          <w:tcPr>
            <w:tcW w:w="2127"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7E1D08">
            <w:pPr>
              <w:autoSpaceDE w:val="0"/>
              <w:autoSpaceDN w:val="0"/>
              <w:adjustRightInd w:val="0"/>
              <w:spacing w:line="276" w:lineRule="auto"/>
              <w:jc w:val="left"/>
              <w:rPr>
                <w:rFonts w:ascii="Times Roman" w:hAnsi="Times Roman" w:eastAsia="宋体" w:cs="Times Roman"/>
                <w:color w:val="000000"/>
                <w:kern w:val="0"/>
                <w:szCs w:val="21"/>
              </w:rPr>
            </w:pP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2C6E2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建立新控制制度，严格查询和保管的层级</w:t>
            </w:r>
          </w:p>
        </w:tc>
      </w:tr>
      <w:tr w14:paraId="0B478659">
        <w:tblPrEx>
          <w:tblCellMar>
            <w:top w:w="0" w:type="dxa"/>
            <w:left w:w="108" w:type="dxa"/>
            <w:bottom w:w="0" w:type="dxa"/>
            <w:right w:w="108" w:type="dxa"/>
          </w:tblCellMar>
        </w:tblPrEx>
        <w:trPr>
          <w:jc w:val="center"/>
        </w:trPr>
        <w:tc>
          <w:tcPr>
            <w:tcW w:w="146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AABC9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128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10F546">
            <w:pPr>
              <w:autoSpaceDE w:val="0"/>
              <w:autoSpaceDN w:val="0"/>
              <w:adjustRightInd w:val="0"/>
              <w:spacing w:line="276" w:lineRule="auto"/>
              <w:jc w:val="left"/>
              <w:rPr>
                <w:rFonts w:ascii="Times Roman" w:hAnsi="Times Roman" w:eastAsia="宋体" w:cs="Times Roman"/>
                <w:color w:val="000000"/>
                <w:kern w:val="0"/>
                <w:szCs w:val="21"/>
              </w:rPr>
            </w:pPr>
          </w:p>
        </w:tc>
        <w:tc>
          <w:tcPr>
            <w:tcW w:w="2127"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9E35CE">
            <w:pPr>
              <w:autoSpaceDE w:val="0"/>
              <w:autoSpaceDN w:val="0"/>
              <w:adjustRightInd w:val="0"/>
              <w:spacing w:line="276" w:lineRule="auto"/>
              <w:jc w:val="left"/>
              <w:rPr>
                <w:rFonts w:ascii="Times Roman" w:hAnsi="Times Roman" w:eastAsia="宋体" w:cs="Times Roman"/>
                <w:color w:val="000000"/>
                <w:kern w:val="0"/>
                <w:szCs w:val="21"/>
              </w:rPr>
            </w:pPr>
          </w:p>
        </w:tc>
        <w:tc>
          <w:tcPr>
            <w:tcW w:w="43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82DC3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确定信息检查表，定期召开内部检查清理。</w:t>
            </w:r>
          </w:p>
        </w:tc>
      </w:tr>
    </w:tbl>
    <w:p w14:paraId="51F9BFAD"/>
    <w:p w14:paraId="753B244A">
      <w:pPr>
        <w:pStyle w:val="5"/>
        <w:spacing w:before="260" w:after="260"/>
        <w:jc w:val="both"/>
        <w:rPr>
          <w:rFonts w:hint="eastAsia" w:ascii="宋体" w:hAnsi="宋体"/>
          <w:szCs w:val="28"/>
        </w:rPr>
      </w:pPr>
      <w:bookmarkStart w:id="392" w:name="_Toc180265735"/>
      <w:r>
        <w:rPr>
          <w:rFonts w:hint="eastAsia" w:ascii="宋体" w:hAnsi="宋体"/>
          <w:szCs w:val="28"/>
        </w:rPr>
        <w:t>沟通管理</w:t>
      </w:r>
      <w:bookmarkEnd w:id="392"/>
    </w:p>
    <w:p w14:paraId="78EC1FEB">
      <w:pPr>
        <w:pStyle w:val="6"/>
        <w:spacing w:before="260" w:after="260" w:line="416" w:lineRule="auto"/>
        <w:jc w:val="both"/>
        <w:rPr>
          <w:rFonts w:hint="eastAsia" w:ascii="宋体" w:hAnsi="宋体" w:cstheme="majorBidi"/>
          <w:szCs w:val="24"/>
        </w:rPr>
      </w:pPr>
      <w:bookmarkStart w:id="393" w:name="_Toc180265736"/>
      <w:r>
        <w:rPr>
          <w:rFonts w:hint="eastAsia" w:ascii="宋体" w:hAnsi="宋体" w:cstheme="majorBidi"/>
          <w:szCs w:val="24"/>
        </w:rPr>
        <w:t>沟通频率</w:t>
      </w:r>
      <w:bookmarkEnd w:id="393"/>
    </w:p>
    <w:p w14:paraId="15917016">
      <w:pPr>
        <w:numPr>
          <w:ilvl w:val="0"/>
          <w:numId w:val="154"/>
        </w:numPr>
        <w:spacing w:line="360" w:lineRule="auto"/>
        <w:rPr>
          <w:rFonts w:hint="eastAsia" w:ascii="宋体" w:hAnsi="宋体" w:eastAsia="宋体" w:cs="Times New Roman"/>
          <w:szCs w:val="21"/>
        </w:rPr>
      </w:pPr>
      <w:r>
        <w:rPr>
          <w:rFonts w:hint="eastAsia" w:ascii="宋体" w:hAnsi="宋体" w:eastAsia="宋体" w:cs="Times New Roman"/>
          <w:szCs w:val="21"/>
        </w:rPr>
        <w:t>服务经理与甲方负责人定期进行沟通；</w:t>
      </w:r>
    </w:p>
    <w:p w14:paraId="0785BD42">
      <w:pPr>
        <w:numPr>
          <w:ilvl w:val="0"/>
          <w:numId w:val="154"/>
        </w:numPr>
        <w:spacing w:line="360" w:lineRule="auto"/>
        <w:rPr>
          <w:rFonts w:hint="eastAsia" w:ascii="宋体" w:hAnsi="宋体" w:eastAsia="宋体" w:cs="Times New Roman"/>
          <w:szCs w:val="21"/>
        </w:rPr>
      </w:pPr>
      <w:r>
        <w:rPr>
          <w:rFonts w:hint="eastAsia" w:ascii="宋体" w:hAnsi="宋体" w:eastAsia="宋体" w:cs="Times New Roman"/>
          <w:szCs w:val="21"/>
        </w:rPr>
        <w:t>每季度召开一次季度例会；</w:t>
      </w:r>
    </w:p>
    <w:p w14:paraId="30BA4879">
      <w:pPr>
        <w:spacing w:line="360" w:lineRule="auto"/>
        <w:ind w:left="960"/>
        <w:rPr>
          <w:rFonts w:hint="eastAsia" w:ascii="宋体" w:hAnsi="宋体" w:eastAsia="宋体" w:cs="Times New Roman"/>
          <w:szCs w:val="21"/>
        </w:rPr>
      </w:pPr>
      <w:r>
        <w:rPr>
          <w:rFonts w:hint="eastAsia" w:ascii="宋体" w:hAnsi="宋体" w:eastAsia="宋体" w:cs="Times New Roman"/>
          <w:szCs w:val="21"/>
        </w:rPr>
        <w:t>进行业务运作的情况分析</w:t>
      </w:r>
      <w:r>
        <w:rPr>
          <w:rFonts w:ascii="宋体" w:hAnsi="宋体" w:eastAsia="宋体" w:cs="Times New Roman"/>
          <w:szCs w:val="21"/>
        </w:rPr>
        <w:t>;</w:t>
      </w:r>
      <w:r>
        <w:rPr>
          <w:rFonts w:hint="eastAsia" w:ascii="宋体" w:hAnsi="宋体" w:eastAsia="宋体" w:cs="Times New Roman"/>
          <w:szCs w:val="21"/>
        </w:rPr>
        <w:t>沟通项目双方管理中存在的问题，进行沟通协商，提出高层推动问题并通报上期重点问题进展</w:t>
      </w:r>
      <w:r>
        <w:rPr>
          <w:rFonts w:ascii="宋体" w:hAnsi="宋体" w:eastAsia="宋体" w:cs="Times New Roman"/>
          <w:szCs w:val="21"/>
        </w:rPr>
        <w:t>;</w:t>
      </w:r>
    </w:p>
    <w:p w14:paraId="757B05F9">
      <w:pPr>
        <w:numPr>
          <w:ilvl w:val="0"/>
          <w:numId w:val="154"/>
        </w:numPr>
        <w:spacing w:line="360" w:lineRule="auto"/>
        <w:rPr>
          <w:rFonts w:hint="eastAsia" w:ascii="宋体" w:hAnsi="宋体" w:eastAsia="宋体" w:cs="Times New Roman"/>
          <w:szCs w:val="21"/>
        </w:rPr>
      </w:pPr>
      <w:r>
        <w:rPr>
          <w:rFonts w:hint="eastAsia" w:ascii="宋体" w:hAnsi="宋体" w:eastAsia="宋体" w:cs="Times New Roman"/>
          <w:szCs w:val="21"/>
        </w:rPr>
        <w:t>重大事项不定期沟通；</w:t>
      </w:r>
    </w:p>
    <w:p w14:paraId="0BA10E42">
      <w:pPr>
        <w:numPr>
          <w:ilvl w:val="0"/>
          <w:numId w:val="154"/>
        </w:numPr>
        <w:spacing w:line="360" w:lineRule="auto"/>
        <w:rPr>
          <w:rFonts w:hint="eastAsia" w:ascii="宋体" w:hAnsi="宋体" w:eastAsia="宋体" w:cs="Times New Roman"/>
          <w:szCs w:val="21"/>
        </w:rPr>
      </w:pPr>
      <w:r>
        <w:rPr>
          <w:rFonts w:hint="eastAsia" w:ascii="宋体" w:hAnsi="宋体" w:eastAsia="宋体" w:cs="Times New Roman"/>
          <w:szCs w:val="21"/>
        </w:rPr>
        <w:t>双周例会</w:t>
      </w:r>
    </w:p>
    <w:p w14:paraId="3CACA390">
      <w:pPr>
        <w:spacing w:line="360" w:lineRule="auto"/>
        <w:ind w:left="960"/>
        <w:rPr>
          <w:rFonts w:hint="eastAsia" w:ascii="宋体" w:hAnsi="宋体" w:eastAsia="宋体" w:cs="Times New Roman"/>
          <w:szCs w:val="21"/>
        </w:rPr>
      </w:pPr>
      <w:r>
        <w:rPr>
          <w:rFonts w:hint="eastAsia" w:ascii="宋体" w:hAnsi="宋体" w:eastAsia="宋体" w:cs="Times New Roman"/>
          <w:szCs w:val="21"/>
        </w:rPr>
        <w:t>进行业务运作情况及异常问题分析、工作质量分析、重点问题</w:t>
      </w:r>
      <w:r>
        <w:rPr>
          <w:rFonts w:ascii="宋体" w:hAnsi="宋体" w:eastAsia="宋体" w:cs="Times New Roman"/>
          <w:szCs w:val="21"/>
        </w:rPr>
        <w:t>/</w:t>
      </w:r>
      <w:r>
        <w:rPr>
          <w:rFonts w:hint="eastAsia" w:ascii="宋体" w:hAnsi="宋体" w:eastAsia="宋体" w:cs="Times New Roman"/>
          <w:szCs w:val="21"/>
        </w:rPr>
        <w:t>工作项进展及求助等</w:t>
      </w:r>
      <w:r>
        <w:rPr>
          <w:rFonts w:ascii="宋体" w:hAnsi="宋体" w:eastAsia="宋体" w:cs="Times New Roman"/>
          <w:szCs w:val="21"/>
        </w:rPr>
        <w:t>;</w:t>
      </w:r>
    </w:p>
    <w:p w14:paraId="460B9DE2">
      <w:pPr>
        <w:pStyle w:val="6"/>
        <w:spacing w:before="260" w:after="260" w:line="416" w:lineRule="auto"/>
        <w:jc w:val="both"/>
        <w:rPr>
          <w:rFonts w:hint="eastAsia" w:ascii="宋体" w:hAnsi="宋体" w:cstheme="majorBidi"/>
          <w:szCs w:val="24"/>
        </w:rPr>
      </w:pPr>
      <w:bookmarkStart w:id="394" w:name="_Toc180265737"/>
      <w:r>
        <w:rPr>
          <w:rFonts w:hint="eastAsia" w:ascii="宋体" w:hAnsi="宋体" w:cstheme="majorBidi"/>
          <w:szCs w:val="24"/>
        </w:rPr>
        <w:t>项目沟通机制</w:t>
      </w:r>
      <w:bookmarkEnd w:id="394"/>
    </w:p>
    <w:tbl>
      <w:tblPr>
        <w:tblStyle w:val="40"/>
        <w:tblW w:w="9312"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070"/>
        <w:gridCol w:w="2049"/>
        <w:gridCol w:w="992"/>
        <w:gridCol w:w="5201"/>
      </w:tblGrid>
      <w:tr w14:paraId="7C2F242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070" w:type="dxa"/>
            <w:tcBorders>
              <w:top w:val="single" w:color="000000" w:sz="4" w:space="0"/>
              <w:bottom w:val="single" w:color="000000" w:sz="6" w:space="0"/>
            </w:tcBorders>
            <w:shd w:val="clear" w:color="auto" w:fill="B3B3B3"/>
            <w:tcMar>
              <w:top w:w="0" w:type="dxa"/>
              <w:left w:w="0" w:type="dxa"/>
              <w:bottom w:w="0" w:type="dxa"/>
              <w:right w:w="0" w:type="dxa"/>
            </w:tcMar>
            <w:vAlign w:val="center"/>
          </w:tcPr>
          <w:p w14:paraId="46B4C76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级别</w:t>
            </w:r>
          </w:p>
        </w:tc>
        <w:tc>
          <w:tcPr>
            <w:tcW w:w="2049" w:type="dxa"/>
            <w:tcBorders>
              <w:top w:val="single" w:color="000000" w:sz="4" w:space="0"/>
              <w:bottom w:val="single" w:color="000000" w:sz="6" w:space="0"/>
            </w:tcBorders>
            <w:shd w:val="clear" w:color="auto" w:fill="B3B3B3"/>
            <w:tcMar>
              <w:top w:w="0" w:type="dxa"/>
              <w:left w:w="0" w:type="dxa"/>
              <w:bottom w:w="0" w:type="dxa"/>
              <w:right w:w="0" w:type="dxa"/>
            </w:tcMar>
            <w:vAlign w:val="center"/>
          </w:tcPr>
          <w:p w14:paraId="2051E41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内容</w:t>
            </w:r>
          </w:p>
        </w:tc>
        <w:tc>
          <w:tcPr>
            <w:tcW w:w="992" w:type="dxa"/>
            <w:tcBorders>
              <w:top w:val="single" w:color="000000" w:sz="4" w:space="0"/>
              <w:bottom w:val="single" w:color="000000" w:sz="6" w:space="0"/>
            </w:tcBorders>
            <w:shd w:val="clear" w:color="auto" w:fill="B3B3B3"/>
            <w:tcMar>
              <w:top w:w="0" w:type="dxa"/>
              <w:left w:w="0" w:type="dxa"/>
              <w:bottom w:w="0" w:type="dxa"/>
              <w:right w:w="0" w:type="dxa"/>
            </w:tcMar>
            <w:vAlign w:val="center"/>
          </w:tcPr>
          <w:p w14:paraId="00A889B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频次</w:t>
            </w:r>
          </w:p>
        </w:tc>
        <w:tc>
          <w:tcPr>
            <w:tcW w:w="5201" w:type="dxa"/>
            <w:tcBorders>
              <w:top w:val="single" w:color="000000" w:sz="4" w:space="0"/>
              <w:bottom w:val="single" w:color="000000" w:sz="6" w:space="0"/>
            </w:tcBorders>
            <w:shd w:val="clear" w:color="auto" w:fill="B3B3B3"/>
            <w:tcMar>
              <w:top w:w="0" w:type="dxa"/>
              <w:left w:w="0" w:type="dxa"/>
              <w:bottom w:w="0" w:type="dxa"/>
              <w:right w:w="0" w:type="dxa"/>
            </w:tcMar>
            <w:vAlign w:val="center"/>
          </w:tcPr>
          <w:p w14:paraId="5CB739B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参与者</w:t>
            </w:r>
          </w:p>
        </w:tc>
      </w:tr>
      <w:tr w14:paraId="344E5AE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070" w:type="dxa"/>
            <w:tcBorders>
              <w:top w:val="single" w:color="000000" w:sz="6" w:space="0"/>
            </w:tcBorders>
            <w:shd w:val="clear" w:color="auto" w:fill="auto"/>
            <w:tcMar>
              <w:top w:w="0" w:type="dxa"/>
              <w:left w:w="0" w:type="dxa"/>
              <w:bottom w:w="0" w:type="dxa"/>
              <w:right w:w="0" w:type="dxa"/>
            </w:tcMar>
            <w:vAlign w:val="center"/>
          </w:tcPr>
          <w:p w14:paraId="378C158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一级</w:t>
            </w:r>
          </w:p>
        </w:tc>
        <w:tc>
          <w:tcPr>
            <w:tcW w:w="2049" w:type="dxa"/>
            <w:tcBorders>
              <w:top w:val="single" w:color="000000" w:sz="6" w:space="0"/>
            </w:tcBorders>
            <w:shd w:val="clear" w:color="auto" w:fill="auto"/>
            <w:tcMar>
              <w:top w:w="0" w:type="dxa"/>
              <w:left w:w="0" w:type="dxa"/>
              <w:bottom w:w="0" w:type="dxa"/>
              <w:right w:w="0" w:type="dxa"/>
            </w:tcMar>
            <w:vAlign w:val="center"/>
          </w:tcPr>
          <w:p w14:paraId="1423095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双周例会</w:t>
            </w:r>
          </w:p>
        </w:tc>
        <w:tc>
          <w:tcPr>
            <w:tcW w:w="992" w:type="dxa"/>
            <w:tcBorders>
              <w:top w:val="single" w:color="000000" w:sz="6" w:space="0"/>
            </w:tcBorders>
            <w:shd w:val="clear" w:color="auto" w:fill="auto"/>
            <w:tcMar>
              <w:top w:w="0" w:type="dxa"/>
              <w:left w:w="0" w:type="dxa"/>
              <w:bottom w:w="0" w:type="dxa"/>
              <w:right w:w="0" w:type="dxa"/>
            </w:tcMar>
            <w:vAlign w:val="center"/>
          </w:tcPr>
          <w:p w14:paraId="1F2AA0B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双周</w:t>
            </w:r>
          </w:p>
        </w:tc>
        <w:tc>
          <w:tcPr>
            <w:tcW w:w="5201" w:type="dxa"/>
            <w:tcBorders>
              <w:top w:val="single" w:color="000000" w:sz="6" w:space="0"/>
            </w:tcBorders>
            <w:shd w:val="clear" w:color="auto" w:fill="auto"/>
            <w:tcMar>
              <w:top w:w="0" w:type="dxa"/>
              <w:left w:w="0" w:type="dxa"/>
              <w:bottom w:w="0" w:type="dxa"/>
              <w:right w:w="0" w:type="dxa"/>
            </w:tcMar>
            <w:vAlign w:val="center"/>
          </w:tcPr>
          <w:p w14:paraId="4163FF8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乙方</w:t>
            </w:r>
            <w:r>
              <w:rPr>
                <w:rFonts w:ascii="宋体" w:hAnsi="Times Roman" w:eastAsia="宋体" w:cs="宋体"/>
                <w:color w:val="000000"/>
                <w:kern w:val="0"/>
                <w:szCs w:val="21"/>
              </w:rPr>
              <w:t>:</w:t>
            </w:r>
            <w:r>
              <w:rPr>
                <w:rFonts w:hint="eastAsia" w:ascii="宋体" w:hAnsi="Times Roman" w:eastAsia="宋体" w:cs="宋体"/>
                <w:color w:val="000000"/>
                <w:kern w:val="0"/>
                <w:szCs w:val="21"/>
              </w:rPr>
              <w:t>现场经理、项目经理</w:t>
            </w:r>
            <w:r>
              <w:rPr>
                <w:rFonts w:ascii="宋体" w:hAnsi="Times Roman" w:eastAsia="宋体" w:cs="宋体"/>
                <w:color w:val="000000"/>
                <w:kern w:val="0"/>
                <w:szCs w:val="21"/>
              </w:rPr>
              <w:t>;</w:t>
            </w:r>
            <w:r>
              <w:rPr>
                <w:rFonts w:hint="eastAsia" w:ascii="宋体" w:hAnsi="Times Roman" w:eastAsia="宋体" w:cs="宋体"/>
                <w:color w:val="000000"/>
                <w:kern w:val="0"/>
                <w:szCs w:val="21"/>
              </w:rPr>
              <w:t>甲方项目负责人</w:t>
            </w:r>
            <w:r>
              <w:rPr>
                <w:rFonts w:ascii="宋体" w:hAnsi="Times Roman" w:eastAsia="宋体" w:cs="宋体"/>
                <w:color w:val="000000"/>
                <w:kern w:val="0"/>
                <w:szCs w:val="21"/>
              </w:rPr>
              <w:t>;</w:t>
            </w:r>
          </w:p>
        </w:tc>
      </w:tr>
      <w:tr w14:paraId="7F27D25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070" w:type="dxa"/>
            <w:shd w:val="clear" w:color="auto" w:fill="auto"/>
            <w:tcMar>
              <w:top w:w="0" w:type="dxa"/>
              <w:left w:w="0" w:type="dxa"/>
              <w:bottom w:w="0" w:type="dxa"/>
              <w:right w:w="0" w:type="dxa"/>
            </w:tcMar>
            <w:vAlign w:val="center"/>
          </w:tcPr>
          <w:p w14:paraId="3D01EB4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一级</w:t>
            </w:r>
          </w:p>
        </w:tc>
        <w:tc>
          <w:tcPr>
            <w:tcW w:w="2049" w:type="dxa"/>
            <w:shd w:val="clear" w:color="auto" w:fill="auto"/>
            <w:tcMar>
              <w:top w:w="0" w:type="dxa"/>
              <w:left w:w="0" w:type="dxa"/>
              <w:bottom w:w="0" w:type="dxa"/>
              <w:right w:w="0" w:type="dxa"/>
            </w:tcMar>
            <w:vAlign w:val="center"/>
          </w:tcPr>
          <w:p w14:paraId="0DAB750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项目运营月度例行沟通</w:t>
            </w:r>
          </w:p>
        </w:tc>
        <w:tc>
          <w:tcPr>
            <w:tcW w:w="992" w:type="dxa"/>
            <w:shd w:val="clear" w:color="auto" w:fill="auto"/>
            <w:tcMar>
              <w:top w:w="0" w:type="dxa"/>
              <w:left w:w="0" w:type="dxa"/>
              <w:bottom w:w="0" w:type="dxa"/>
              <w:right w:w="0" w:type="dxa"/>
            </w:tcMar>
            <w:vAlign w:val="center"/>
          </w:tcPr>
          <w:p w14:paraId="05B49763">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r>
              <w:rPr>
                <w:rFonts w:hint="eastAsia" w:ascii="宋体" w:hAnsi="Times Roman" w:eastAsia="宋体" w:cs="宋体"/>
                <w:color w:val="000000"/>
                <w:kern w:val="0"/>
                <w:szCs w:val="21"/>
              </w:rPr>
              <w:t>每月</w:t>
            </w:r>
          </w:p>
        </w:tc>
        <w:tc>
          <w:tcPr>
            <w:tcW w:w="5201" w:type="dxa"/>
            <w:shd w:val="clear" w:color="auto" w:fill="auto"/>
            <w:tcMar>
              <w:top w:w="0" w:type="dxa"/>
              <w:left w:w="0" w:type="dxa"/>
              <w:bottom w:w="0" w:type="dxa"/>
              <w:right w:w="0" w:type="dxa"/>
            </w:tcMar>
            <w:vAlign w:val="center"/>
          </w:tcPr>
          <w:p w14:paraId="7C20534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乙方</w:t>
            </w:r>
            <w:r>
              <w:rPr>
                <w:rFonts w:ascii="宋体" w:hAnsi="Times Roman" w:eastAsia="宋体" w:cs="宋体"/>
                <w:color w:val="000000"/>
                <w:kern w:val="0"/>
                <w:szCs w:val="21"/>
              </w:rPr>
              <w:t>:</w:t>
            </w:r>
            <w:r>
              <w:rPr>
                <w:rFonts w:hint="eastAsia" w:ascii="宋体" w:hAnsi="Times Roman" w:eastAsia="宋体" w:cs="宋体"/>
                <w:color w:val="000000"/>
                <w:kern w:val="0"/>
                <w:szCs w:val="21"/>
              </w:rPr>
              <w:t>现场经理、项目经理</w:t>
            </w:r>
            <w:r>
              <w:rPr>
                <w:rFonts w:ascii="宋体" w:hAnsi="Times Roman" w:eastAsia="宋体" w:cs="宋体"/>
                <w:color w:val="000000"/>
                <w:kern w:val="0"/>
                <w:szCs w:val="21"/>
              </w:rPr>
              <w:t>;</w:t>
            </w:r>
            <w:r>
              <w:rPr>
                <w:rFonts w:hint="eastAsia" w:ascii="宋体" w:hAnsi="Times Roman" w:eastAsia="宋体" w:cs="宋体"/>
                <w:color w:val="000000"/>
                <w:kern w:val="0"/>
                <w:szCs w:val="21"/>
              </w:rPr>
              <w:t>甲方项目负责人</w:t>
            </w:r>
            <w:r>
              <w:rPr>
                <w:rFonts w:ascii="宋体" w:hAnsi="Times Roman" w:eastAsia="宋体" w:cs="宋体"/>
                <w:color w:val="000000"/>
                <w:kern w:val="0"/>
                <w:szCs w:val="21"/>
              </w:rPr>
              <w:t>;</w:t>
            </w:r>
          </w:p>
        </w:tc>
      </w:tr>
      <w:tr w14:paraId="65D3BAD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070" w:type="dxa"/>
            <w:shd w:val="clear" w:color="auto" w:fill="auto"/>
            <w:tcMar>
              <w:top w:w="0" w:type="dxa"/>
              <w:left w:w="0" w:type="dxa"/>
              <w:bottom w:w="0" w:type="dxa"/>
              <w:right w:w="0" w:type="dxa"/>
            </w:tcMar>
            <w:vAlign w:val="center"/>
          </w:tcPr>
          <w:p w14:paraId="35BD1DB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二级</w:t>
            </w:r>
          </w:p>
        </w:tc>
        <w:tc>
          <w:tcPr>
            <w:tcW w:w="2049" w:type="dxa"/>
            <w:shd w:val="clear" w:color="auto" w:fill="auto"/>
            <w:tcMar>
              <w:top w:w="0" w:type="dxa"/>
              <w:left w:w="0" w:type="dxa"/>
              <w:bottom w:w="0" w:type="dxa"/>
              <w:right w:w="0" w:type="dxa"/>
            </w:tcMar>
            <w:vAlign w:val="center"/>
          </w:tcPr>
          <w:p w14:paraId="33299B5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项目运营季度服务业务沟通</w:t>
            </w:r>
          </w:p>
        </w:tc>
        <w:tc>
          <w:tcPr>
            <w:tcW w:w="992" w:type="dxa"/>
            <w:shd w:val="clear" w:color="auto" w:fill="auto"/>
            <w:tcMar>
              <w:top w:w="0" w:type="dxa"/>
              <w:left w:w="0" w:type="dxa"/>
              <w:bottom w:w="0" w:type="dxa"/>
              <w:right w:w="0" w:type="dxa"/>
            </w:tcMar>
            <w:vAlign w:val="center"/>
          </w:tcPr>
          <w:p w14:paraId="5E386836">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p>
          <w:p w14:paraId="3502CE23">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每季度</w:t>
            </w:r>
          </w:p>
          <w:p w14:paraId="47AAEB7B">
            <w:pPr>
              <w:widowControl/>
              <w:autoSpaceDE w:val="0"/>
              <w:autoSpaceDN w:val="0"/>
              <w:adjustRightInd w:val="0"/>
              <w:spacing w:line="276" w:lineRule="auto"/>
              <w:jc w:val="left"/>
              <w:rPr>
                <w:rFonts w:ascii="Times Roman" w:hAnsi="Times Roman" w:eastAsia="宋体" w:cs="Times Roman"/>
                <w:color w:val="000000"/>
                <w:kern w:val="0"/>
                <w:szCs w:val="21"/>
              </w:rPr>
            </w:pPr>
            <w:r>
              <w:rPr>
                <w:rFonts w:ascii="Times Roman" w:hAnsi="Times Roman" w:eastAsia="宋体" w:cs="Times Roman"/>
                <w:color w:val="000000"/>
                <w:kern w:val="0"/>
                <w:szCs w:val="21"/>
              </w:rPr>
              <w:drawing>
                <wp:inline distT="0" distB="0" distL="0" distR="0">
                  <wp:extent cx="5715" cy="571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715" cy="5715"/>
                          </a:xfrm>
                          <a:prstGeom prst="rect">
                            <a:avLst/>
                          </a:prstGeom>
                          <a:noFill/>
                          <a:ln>
                            <a:noFill/>
                          </a:ln>
                        </pic:spPr>
                      </pic:pic>
                    </a:graphicData>
                  </a:graphic>
                </wp:inline>
              </w:drawing>
            </w:r>
          </w:p>
        </w:tc>
        <w:tc>
          <w:tcPr>
            <w:tcW w:w="5201" w:type="dxa"/>
            <w:shd w:val="clear" w:color="auto" w:fill="auto"/>
            <w:tcMar>
              <w:top w:w="0" w:type="dxa"/>
              <w:left w:w="0" w:type="dxa"/>
              <w:bottom w:w="0" w:type="dxa"/>
              <w:right w:w="0" w:type="dxa"/>
            </w:tcMar>
            <w:vAlign w:val="center"/>
          </w:tcPr>
          <w:p w14:paraId="0318B49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乙方</w:t>
            </w:r>
            <w:r>
              <w:rPr>
                <w:rFonts w:ascii="宋体" w:hAnsi="Times Roman" w:eastAsia="宋体" w:cs="宋体"/>
                <w:color w:val="000000"/>
                <w:kern w:val="0"/>
                <w:szCs w:val="21"/>
              </w:rPr>
              <w:t>:</w:t>
            </w:r>
            <w:r>
              <w:rPr>
                <w:rFonts w:hint="eastAsia" w:ascii="宋体" w:hAnsi="Times Roman" w:eastAsia="宋体" w:cs="宋体"/>
                <w:color w:val="000000"/>
                <w:kern w:val="0"/>
                <w:szCs w:val="21"/>
              </w:rPr>
              <w:t>公司领导、项目经理</w:t>
            </w:r>
            <w:r>
              <w:rPr>
                <w:rFonts w:ascii="宋体" w:hAnsi="Times Roman" w:eastAsia="宋体" w:cs="宋体"/>
                <w:color w:val="000000"/>
                <w:kern w:val="0"/>
                <w:szCs w:val="21"/>
              </w:rPr>
              <w:t>;</w:t>
            </w:r>
            <w:r>
              <w:rPr>
                <w:rFonts w:hint="eastAsia" w:ascii="宋体" w:hAnsi="Times Roman" w:eastAsia="宋体" w:cs="宋体"/>
                <w:color w:val="000000"/>
                <w:kern w:val="0"/>
                <w:szCs w:val="21"/>
              </w:rPr>
              <w:t>甲方</w:t>
            </w:r>
            <w:r>
              <w:rPr>
                <w:rFonts w:ascii="宋体" w:hAnsi="Times Roman" w:eastAsia="宋体" w:cs="宋体"/>
                <w:color w:val="000000"/>
                <w:kern w:val="0"/>
                <w:szCs w:val="21"/>
              </w:rPr>
              <w:t>:</w:t>
            </w:r>
            <w:r>
              <w:rPr>
                <w:rFonts w:hint="eastAsia" w:ascii="宋体" w:hAnsi="Times Roman" w:eastAsia="宋体" w:cs="宋体"/>
                <w:color w:val="000000"/>
                <w:kern w:val="0"/>
                <w:szCs w:val="21"/>
              </w:rPr>
              <w:t>甲方项目负责人，公司领导</w:t>
            </w:r>
            <w:r>
              <w:rPr>
                <w:rFonts w:ascii="宋体" w:hAnsi="Times Roman" w:eastAsia="宋体" w:cs="宋体"/>
                <w:color w:val="000000"/>
                <w:kern w:val="0"/>
                <w:szCs w:val="21"/>
              </w:rPr>
              <w:t>;</w:t>
            </w:r>
          </w:p>
        </w:tc>
      </w:tr>
      <w:tr w14:paraId="6E950D7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1070" w:type="dxa"/>
            <w:shd w:val="clear" w:color="auto" w:fill="auto"/>
            <w:tcMar>
              <w:top w:w="0" w:type="dxa"/>
              <w:left w:w="0" w:type="dxa"/>
              <w:bottom w:w="0" w:type="dxa"/>
              <w:right w:w="0" w:type="dxa"/>
            </w:tcMar>
            <w:vAlign w:val="center"/>
          </w:tcPr>
          <w:p w14:paraId="06B3FC1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三级</w:t>
            </w:r>
          </w:p>
        </w:tc>
        <w:tc>
          <w:tcPr>
            <w:tcW w:w="2049" w:type="dxa"/>
            <w:shd w:val="clear" w:color="auto" w:fill="auto"/>
            <w:tcMar>
              <w:top w:w="0" w:type="dxa"/>
              <w:left w:w="0" w:type="dxa"/>
              <w:bottom w:w="0" w:type="dxa"/>
              <w:right w:w="0" w:type="dxa"/>
            </w:tcMar>
            <w:vAlign w:val="center"/>
          </w:tcPr>
          <w:p w14:paraId="41D9CB8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项目运营年度服务业务沟通</w:t>
            </w:r>
          </w:p>
        </w:tc>
        <w:tc>
          <w:tcPr>
            <w:tcW w:w="992" w:type="dxa"/>
            <w:shd w:val="clear" w:color="auto" w:fill="auto"/>
            <w:tcMar>
              <w:top w:w="0" w:type="dxa"/>
              <w:left w:w="0" w:type="dxa"/>
              <w:bottom w:w="0" w:type="dxa"/>
              <w:right w:w="0" w:type="dxa"/>
            </w:tcMar>
            <w:vAlign w:val="center"/>
          </w:tcPr>
          <w:p w14:paraId="5B60D79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每年</w:t>
            </w:r>
          </w:p>
        </w:tc>
        <w:tc>
          <w:tcPr>
            <w:tcW w:w="5201" w:type="dxa"/>
            <w:shd w:val="clear" w:color="auto" w:fill="auto"/>
            <w:tcMar>
              <w:top w:w="0" w:type="dxa"/>
              <w:left w:w="0" w:type="dxa"/>
              <w:bottom w:w="0" w:type="dxa"/>
              <w:right w:w="0" w:type="dxa"/>
            </w:tcMar>
            <w:vAlign w:val="center"/>
          </w:tcPr>
          <w:p w14:paraId="2D3BEA3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乙方</w:t>
            </w:r>
            <w:r>
              <w:rPr>
                <w:rFonts w:ascii="宋体" w:hAnsi="Times Roman" w:eastAsia="宋体" w:cs="宋体"/>
                <w:color w:val="000000"/>
                <w:kern w:val="0"/>
                <w:szCs w:val="21"/>
              </w:rPr>
              <w:t>:</w:t>
            </w:r>
            <w:r>
              <w:rPr>
                <w:rFonts w:hint="eastAsia" w:ascii="宋体" w:hAnsi="Times Roman" w:eastAsia="宋体" w:cs="宋体"/>
                <w:color w:val="000000"/>
                <w:kern w:val="0"/>
                <w:szCs w:val="21"/>
              </w:rPr>
              <w:t>公司领导、项目经理</w:t>
            </w:r>
            <w:r>
              <w:rPr>
                <w:rFonts w:ascii="宋体" w:hAnsi="Times Roman" w:eastAsia="宋体" w:cs="宋体"/>
                <w:color w:val="000000"/>
                <w:kern w:val="0"/>
                <w:szCs w:val="21"/>
              </w:rPr>
              <w:t>;</w:t>
            </w:r>
            <w:r>
              <w:rPr>
                <w:rFonts w:hint="eastAsia" w:ascii="宋体" w:hAnsi="Times Roman" w:eastAsia="宋体" w:cs="宋体"/>
                <w:color w:val="000000"/>
                <w:kern w:val="0"/>
                <w:szCs w:val="21"/>
              </w:rPr>
              <w:t>甲方</w:t>
            </w:r>
            <w:r>
              <w:rPr>
                <w:rFonts w:ascii="宋体" w:hAnsi="Times Roman" w:eastAsia="宋体" w:cs="宋体"/>
                <w:color w:val="000000"/>
                <w:kern w:val="0"/>
                <w:szCs w:val="21"/>
              </w:rPr>
              <w:t>:</w:t>
            </w:r>
            <w:r>
              <w:rPr>
                <w:rFonts w:hint="eastAsia" w:ascii="宋体" w:hAnsi="Times Roman" w:eastAsia="宋体" w:cs="宋体"/>
                <w:color w:val="000000"/>
                <w:kern w:val="0"/>
                <w:szCs w:val="21"/>
              </w:rPr>
              <w:t>甲方项目负责人，公司领导；</w:t>
            </w:r>
          </w:p>
        </w:tc>
      </w:tr>
    </w:tbl>
    <w:p w14:paraId="673214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在某些特殊情况下，如服务级别协议的变化、项目重大变更前后及变更过程中等，项目经理也会视具体情况，不定期地召开服务回顾会议，第一时间了解客户反应，同时质量监控经理对项目进度、成果进行检查。</w:t>
      </w:r>
    </w:p>
    <w:p w14:paraId="07419CE0">
      <w:pPr>
        <w:pStyle w:val="5"/>
        <w:spacing w:before="260" w:after="260"/>
        <w:jc w:val="both"/>
        <w:rPr>
          <w:rFonts w:hint="eastAsia" w:ascii="宋体" w:hAnsi="宋体"/>
          <w:szCs w:val="28"/>
        </w:rPr>
      </w:pPr>
      <w:bookmarkStart w:id="395" w:name="_Toc180265738"/>
      <w:r>
        <w:rPr>
          <w:rFonts w:ascii="宋体" w:hAnsi="宋体"/>
          <w:szCs w:val="28"/>
        </w:rPr>
        <w:t>质量保障</w:t>
      </w:r>
      <w:bookmarkEnd w:id="388"/>
      <w:bookmarkEnd w:id="395"/>
    </w:p>
    <w:p w14:paraId="7B2BFB1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承诺在项目运维期间不更换项目组相关人员，特殊情况下，如项目组人员离职、调离，我司会提前向项目管理人员提出书面申请。项目组离职人员与后补员工交接后，经同意再离开。对于补充人员，我司会满足项目对资质的要求。项目运维期间，不更换项目经理</w:t>
      </w:r>
      <w:r>
        <w:rPr>
          <w:rFonts w:ascii="宋体" w:hAnsi="宋体" w:eastAsia="宋体" w:cs="Times New Roman"/>
          <w:szCs w:val="21"/>
        </w:rPr>
        <w:t>(</w:t>
      </w:r>
      <w:r>
        <w:rPr>
          <w:rFonts w:hint="eastAsia" w:ascii="宋体" w:hAnsi="宋体" w:eastAsia="宋体" w:cs="Times New Roman"/>
          <w:szCs w:val="21"/>
        </w:rPr>
        <w:t>要求更换除外</w:t>
      </w:r>
      <w:r>
        <w:rPr>
          <w:rFonts w:ascii="宋体" w:hAnsi="宋体" w:eastAsia="宋体" w:cs="Times New Roman"/>
          <w:szCs w:val="21"/>
        </w:rPr>
        <w:t>)</w:t>
      </w:r>
      <w:r>
        <w:rPr>
          <w:rFonts w:hint="eastAsia" w:ascii="宋体" w:hAnsi="宋体" w:eastAsia="宋体" w:cs="Times New Roman"/>
          <w:szCs w:val="21"/>
        </w:rPr>
        <w:t>，项目骨干成员的更换提前告知经项目管理方审批同意。我司派驻到现场的运维人员，会严格遵守烟草相关规章制度和安全保密规定，服从烟草企业文化和工作习惯。</w:t>
      </w:r>
    </w:p>
    <w:p w14:paraId="614D7B26">
      <w:pPr>
        <w:pStyle w:val="6"/>
        <w:spacing w:before="260" w:after="260" w:line="416" w:lineRule="auto"/>
        <w:jc w:val="both"/>
        <w:rPr>
          <w:rFonts w:hint="eastAsia" w:ascii="宋体" w:hAnsi="宋体" w:cstheme="majorBidi"/>
          <w:szCs w:val="24"/>
        </w:rPr>
      </w:pPr>
      <w:bookmarkStart w:id="396" w:name="_Toc180265739"/>
      <w:r>
        <w:rPr>
          <w:rFonts w:hint="eastAsia" w:ascii="宋体" w:hAnsi="宋体" w:cstheme="majorBidi"/>
          <w:szCs w:val="24"/>
        </w:rPr>
        <w:t>服务质量管理</w:t>
      </w:r>
      <w:bookmarkEnd w:id="396"/>
    </w:p>
    <w:p w14:paraId="747A452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将向客户提供有效的服务质量管理措施，确保服务的质量和品质。该措施主要包括制订详细的服务实施计划，基于实施计划的严格的服务流程管理，高效合理的人力资源调配与管理，必要的项目协调会议、工程技术文档的管理，严格的公司质量体系保证。</w:t>
      </w:r>
    </w:p>
    <w:p w14:paraId="11BB0B83">
      <w:pPr>
        <w:numPr>
          <w:ilvl w:val="0"/>
          <w:numId w:val="155"/>
        </w:numPr>
        <w:spacing w:line="360" w:lineRule="auto"/>
        <w:rPr>
          <w:rFonts w:hint="eastAsia" w:ascii="宋体" w:hAnsi="宋体" w:eastAsia="宋体" w:cs="Times New Roman"/>
          <w:szCs w:val="21"/>
        </w:rPr>
      </w:pPr>
      <w:r>
        <w:rPr>
          <w:rFonts w:hint="eastAsia" w:ascii="宋体" w:hAnsi="宋体" w:eastAsia="宋体" w:cs="Times New Roman"/>
          <w:szCs w:val="21"/>
        </w:rPr>
        <w:t>制订详细的服务工作进度计划</w:t>
      </w:r>
    </w:p>
    <w:p w14:paraId="4FB5524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根据实际业务要求、各种资源状况、系统运行状况和其他现实因素，要求项目经理必须全面规划出一个符合实际的整个工作进度计划，其中包括</w:t>
      </w:r>
      <w:r>
        <w:rPr>
          <w:rFonts w:ascii="宋体" w:hAnsi="宋体" w:eastAsia="宋体" w:cs="Times New Roman"/>
          <w:szCs w:val="21"/>
        </w:rPr>
        <w:t>:</w:t>
      </w:r>
    </w:p>
    <w:p w14:paraId="7A21E4F3">
      <w:pPr>
        <w:numPr>
          <w:ilvl w:val="0"/>
          <w:numId w:val="156"/>
        </w:numPr>
        <w:spacing w:line="360" w:lineRule="auto"/>
        <w:rPr>
          <w:rFonts w:hint="eastAsia" w:ascii="宋体" w:hAnsi="宋体" w:eastAsia="宋体" w:cs="Times New Roman"/>
          <w:szCs w:val="21"/>
        </w:rPr>
      </w:pPr>
      <w:r>
        <w:rPr>
          <w:rFonts w:hint="eastAsia" w:ascii="宋体" w:hAnsi="宋体" w:eastAsia="宋体" w:cs="Times New Roman"/>
          <w:szCs w:val="21"/>
        </w:rPr>
        <w:t>各阶段的具体工作内容、工作周期以及相应的负责人员。</w:t>
      </w:r>
    </w:p>
    <w:p w14:paraId="01592DDA">
      <w:pPr>
        <w:numPr>
          <w:ilvl w:val="0"/>
          <w:numId w:val="156"/>
        </w:numPr>
        <w:spacing w:line="360" w:lineRule="auto"/>
        <w:rPr>
          <w:rFonts w:hint="eastAsia" w:ascii="宋体" w:hAnsi="宋体" w:eastAsia="宋体" w:cs="Times New Roman"/>
          <w:szCs w:val="21"/>
        </w:rPr>
      </w:pPr>
      <w:r>
        <w:rPr>
          <w:rFonts w:hint="eastAsia" w:ascii="宋体" w:hAnsi="宋体" w:eastAsia="宋体" w:cs="Times New Roman"/>
          <w:szCs w:val="21"/>
        </w:rPr>
        <w:t>项目里程碑的定义及衡量标准。</w:t>
      </w:r>
    </w:p>
    <w:p w14:paraId="5540A32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经理将按照制订的工作进度计划对服务实施进行协调、监督与管理，定期向项目领导小组做进度报告。对于计划调整的部分，必须及时向用户提交变更申请，在得到客户有关方面的批准后，及时调整工作进度计划，并在保证时效和质量的前提下，协调各种资源，监督项目实施。</w:t>
      </w:r>
    </w:p>
    <w:p w14:paraId="2BBF7698">
      <w:pPr>
        <w:numPr>
          <w:ilvl w:val="0"/>
          <w:numId w:val="155"/>
        </w:numPr>
        <w:spacing w:line="360" w:lineRule="auto"/>
        <w:rPr>
          <w:rFonts w:hint="eastAsia" w:ascii="宋体" w:hAnsi="宋体" w:eastAsia="宋体" w:cs="Times New Roman"/>
          <w:szCs w:val="21"/>
        </w:rPr>
      </w:pPr>
      <w:r>
        <w:rPr>
          <w:rFonts w:hint="eastAsia" w:ascii="宋体" w:hAnsi="宋体" w:eastAsia="宋体" w:cs="Times New Roman"/>
          <w:szCs w:val="21"/>
        </w:rPr>
        <w:t>基于实施计划的服务过程管理</w:t>
      </w:r>
    </w:p>
    <w:p w14:paraId="6B35745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项目经理作为项目的总接口人及总负责人，负责项目实施的全面工作，包括收集有关热线电话支持、现场服务、用户技术人员反应等有关服务水平</w:t>
      </w:r>
      <w:r>
        <w:rPr>
          <w:rFonts w:ascii="宋体" w:hAnsi="宋体" w:eastAsia="宋体" w:cs="Times New Roman"/>
          <w:szCs w:val="21"/>
        </w:rPr>
        <w:t>SLA</w:t>
      </w:r>
      <w:r>
        <w:rPr>
          <w:rFonts w:hint="eastAsia" w:ascii="宋体" w:hAnsi="宋体" w:eastAsia="宋体" w:cs="Times New Roman"/>
          <w:szCs w:val="21"/>
        </w:rPr>
        <w:t>。在服务实施过程中，将严格按照服务计划，全权负责服务的管理与监督。定时向用户项目负责人汇报维护情况，在处理突发事件和项目变更时，要及时调整人员和计划以保证服务地正常进行</w:t>
      </w:r>
      <w:r>
        <w:rPr>
          <w:rFonts w:ascii="宋体" w:hAnsi="宋体" w:eastAsia="宋体" w:cs="Times New Roman"/>
          <w:szCs w:val="21"/>
        </w:rPr>
        <w:t>;</w:t>
      </w:r>
      <w:r>
        <w:rPr>
          <w:rFonts w:hint="eastAsia" w:ascii="宋体" w:hAnsi="宋体" w:eastAsia="宋体" w:cs="Times New Roman"/>
          <w:szCs w:val="21"/>
        </w:rPr>
        <w:t>在服务实施受阻时，要及时申请增加人员和技术力量，确保服务响应的及时性</w:t>
      </w:r>
      <w:r>
        <w:rPr>
          <w:rFonts w:ascii="宋体" w:hAnsi="宋体" w:eastAsia="宋体" w:cs="Times New Roman"/>
          <w:szCs w:val="21"/>
        </w:rPr>
        <w:t>;</w:t>
      </w:r>
      <w:r>
        <w:rPr>
          <w:rFonts w:hint="eastAsia" w:ascii="宋体" w:hAnsi="宋体" w:eastAsia="宋体" w:cs="Times New Roman"/>
          <w:szCs w:val="21"/>
        </w:rPr>
        <w:t>在遇到导致服务的</w:t>
      </w:r>
      <w:r>
        <w:rPr>
          <w:rFonts w:ascii="宋体" w:hAnsi="宋体" w:eastAsia="宋体" w:cs="Times New Roman"/>
          <w:szCs w:val="21"/>
        </w:rPr>
        <w:t>SLA</w:t>
      </w:r>
      <w:r>
        <w:rPr>
          <w:rFonts w:hint="eastAsia" w:ascii="宋体" w:hAnsi="宋体" w:eastAsia="宋体" w:cs="Times New Roman"/>
          <w:szCs w:val="21"/>
        </w:rPr>
        <w:t>发生变化时，项目经理将负责采取必要的措施。此外，项目经理要监督服务的质量，以确保整个维护服务羡慕顺利、高质量的完成。</w:t>
      </w:r>
    </w:p>
    <w:p w14:paraId="7CBD269C">
      <w:pPr>
        <w:numPr>
          <w:ilvl w:val="0"/>
          <w:numId w:val="155"/>
        </w:numPr>
        <w:spacing w:line="360" w:lineRule="auto"/>
        <w:rPr>
          <w:rFonts w:hint="eastAsia" w:ascii="宋体" w:hAnsi="宋体" w:eastAsia="宋体" w:cs="Times New Roman"/>
          <w:szCs w:val="21"/>
        </w:rPr>
      </w:pPr>
      <w:r>
        <w:rPr>
          <w:rFonts w:hint="eastAsia" w:ascii="宋体" w:hAnsi="宋体" w:eastAsia="宋体" w:cs="Times New Roman"/>
          <w:szCs w:val="21"/>
        </w:rPr>
        <w:t>高效合理的资源调配与管理</w:t>
      </w:r>
    </w:p>
    <w:p w14:paraId="7F7F3C5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项目管理中，由项目经理负责协调所有的内部与外部资源，并根据任务分解情况，明确各项目小组的权限和责任，以及相关人员的素质要求和具体人员配备。在必要的时候，项目经理将根据具体情况按照最高效的方法统一调配人力资源、设备资源。</w:t>
      </w:r>
    </w:p>
    <w:p w14:paraId="4F3B81D8">
      <w:pPr>
        <w:numPr>
          <w:ilvl w:val="0"/>
          <w:numId w:val="155"/>
        </w:numPr>
        <w:spacing w:line="360" w:lineRule="auto"/>
        <w:rPr>
          <w:rFonts w:hint="eastAsia" w:ascii="宋体" w:hAnsi="宋体" w:eastAsia="宋体" w:cs="Times New Roman"/>
          <w:szCs w:val="21"/>
        </w:rPr>
      </w:pPr>
      <w:r>
        <w:rPr>
          <w:rFonts w:hint="eastAsia" w:ascii="宋体" w:hAnsi="宋体" w:eastAsia="宋体" w:cs="Times New Roman"/>
          <w:szCs w:val="21"/>
        </w:rPr>
        <w:t>定期项目协调会</w:t>
      </w:r>
    </w:p>
    <w:p w14:paraId="38F10F0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目标</w:t>
      </w:r>
      <w:r>
        <w:rPr>
          <w:rFonts w:ascii="宋体" w:hAnsi="宋体" w:eastAsia="宋体" w:cs="Times New Roman"/>
          <w:szCs w:val="21"/>
        </w:rPr>
        <w:t>:</w:t>
      </w:r>
      <w:r>
        <w:rPr>
          <w:rFonts w:hint="eastAsia" w:ascii="宋体" w:hAnsi="宋体" w:eastAsia="宋体" w:cs="Times New Roman"/>
          <w:szCs w:val="21"/>
        </w:rPr>
        <w:t>分析问题，交流意见，安排工作。</w:t>
      </w:r>
    </w:p>
    <w:p w14:paraId="12D9D43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工作内容</w:t>
      </w:r>
      <w:r>
        <w:rPr>
          <w:rFonts w:ascii="宋体" w:hAnsi="宋体" w:eastAsia="宋体" w:cs="Times New Roman"/>
          <w:szCs w:val="21"/>
        </w:rPr>
        <w:t>:</w:t>
      </w:r>
    </w:p>
    <w:p w14:paraId="49AFDC16">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中招联合汇报前期的服务满意度、投诉数量、问题申报。</w:t>
      </w:r>
    </w:p>
    <w:p w14:paraId="7A9B0D1C">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客户系统总结前期发生的问题，以及对服务认可程度，改进建议。</w:t>
      </w:r>
    </w:p>
    <w:p w14:paraId="2952D233">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讨论变更需求，评估分析可行性。</w:t>
      </w:r>
    </w:p>
    <w:p w14:paraId="6956BF13">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突发故障的处理。</w:t>
      </w:r>
    </w:p>
    <w:p w14:paraId="3FED1FDB">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分析项目工作中的难点，协调各方关系，解决问题。</w:t>
      </w:r>
    </w:p>
    <w:p w14:paraId="06EBFA3D">
      <w:pPr>
        <w:numPr>
          <w:ilvl w:val="0"/>
          <w:numId w:val="157"/>
        </w:numPr>
        <w:spacing w:line="360" w:lineRule="auto"/>
        <w:rPr>
          <w:rFonts w:hint="eastAsia" w:ascii="宋体" w:hAnsi="宋体" w:eastAsia="宋体" w:cs="Times New Roman"/>
          <w:szCs w:val="21"/>
        </w:rPr>
      </w:pPr>
      <w:r>
        <w:rPr>
          <w:rFonts w:hint="eastAsia" w:ascii="宋体" w:hAnsi="宋体" w:eastAsia="宋体" w:cs="Times New Roman"/>
          <w:szCs w:val="21"/>
        </w:rPr>
        <w:t>下一个阶段的主要工作和需要协调的事务。</w:t>
      </w:r>
    </w:p>
    <w:p w14:paraId="25EBBC4C">
      <w:pPr>
        <w:numPr>
          <w:ilvl w:val="0"/>
          <w:numId w:val="155"/>
        </w:numPr>
        <w:spacing w:line="360" w:lineRule="auto"/>
        <w:rPr>
          <w:rFonts w:hint="eastAsia" w:ascii="宋体" w:hAnsi="宋体" w:eastAsia="宋体" w:cs="Times New Roman"/>
          <w:szCs w:val="21"/>
        </w:rPr>
      </w:pPr>
      <w:r>
        <w:rPr>
          <w:rFonts w:hint="eastAsia" w:ascii="宋体" w:hAnsi="宋体" w:eastAsia="宋体" w:cs="Times New Roman"/>
          <w:szCs w:val="21"/>
        </w:rPr>
        <w:t>服务技术文档管理</w:t>
      </w:r>
    </w:p>
    <w:p w14:paraId="5FA363A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建立一个标准化的维护服务文档体系是维护服务管理规范化、程序化的重要手段。通过维护服务文档体系可以实现对整个服务的过程、定期报告、特别报告、对问题状况的分析、测评和服务响应这一完整过程，而正确地管理、使用各类文档则使维护服务工作变得有据可依、井井有条。</w:t>
      </w:r>
    </w:p>
    <w:p w14:paraId="1A3413A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维护服务文档的管理是维护服务的重要部分，其对于服务项目的质量控制提供了保障，同时为知识转移和系统的运行维护管理提供依据。</w:t>
      </w:r>
    </w:p>
    <w:p w14:paraId="5AE1E64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中招联合在维护服务中严格遵循</w:t>
      </w:r>
      <w:r>
        <w:rPr>
          <w:rFonts w:ascii="宋体" w:hAnsi="宋体" w:eastAsia="宋体" w:cs="Times New Roman"/>
          <w:szCs w:val="21"/>
        </w:rPr>
        <w:t>ISO9001</w:t>
      </w:r>
      <w:r>
        <w:rPr>
          <w:rFonts w:hint="eastAsia" w:ascii="宋体" w:hAnsi="宋体" w:eastAsia="宋体" w:cs="Times New Roman"/>
          <w:szCs w:val="21"/>
        </w:rPr>
        <w:t>质量管理规范，并在多年的服务实施中积累出一整套文档管理规范，在每一个环节的实施都严格按照文档管理规范进行，文档的管理贯穿于项目的准备、实施和总结的全过程中。</w:t>
      </w:r>
    </w:p>
    <w:p w14:paraId="274BDCA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中招联合文档编制会严格按照项目规范的要求进行编写，针对不同的阅读者，文档会有不同的表达方法和不同的详细程度。</w:t>
      </w:r>
    </w:p>
    <w:p w14:paraId="245CC89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在项目进行过程中，充分发挥文档的作用，指导整个项目工作。</w:t>
      </w:r>
    </w:p>
    <w:p w14:paraId="1688EFA0">
      <w:pPr>
        <w:spacing w:line="360" w:lineRule="auto"/>
        <w:ind w:firstLine="420" w:firstLineChars="200"/>
        <w:rPr>
          <w:rFonts w:ascii="Times Roman" w:hAnsi="Times Roman" w:eastAsia="宋体" w:cs="Times Roman"/>
          <w:color w:val="000000"/>
          <w:kern w:val="0"/>
          <w:szCs w:val="21"/>
        </w:rPr>
      </w:pPr>
      <w:r>
        <w:rPr>
          <w:rFonts w:hint="eastAsia" w:ascii="宋体" w:hAnsi="宋体" w:eastAsia="宋体" w:cs="Times New Roman"/>
          <w:szCs w:val="21"/>
        </w:rPr>
        <w:t>电子文档交付格式提供</w:t>
      </w:r>
      <w:r>
        <w:rPr>
          <w:rFonts w:ascii="宋体" w:hAnsi="宋体" w:eastAsia="宋体" w:cs="Times New Roman"/>
          <w:szCs w:val="21"/>
        </w:rPr>
        <w:t>WPS</w:t>
      </w:r>
      <w:r>
        <w:rPr>
          <w:rFonts w:hint="eastAsia" w:ascii="宋体" w:hAnsi="宋体" w:eastAsia="宋体" w:cs="Times New Roman"/>
          <w:szCs w:val="21"/>
        </w:rPr>
        <w:t>、</w:t>
      </w:r>
      <w:r>
        <w:rPr>
          <w:rFonts w:ascii="宋体" w:hAnsi="宋体" w:eastAsia="宋体" w:cs="Times New Roman"/>
          <w:szCs w:val="21"/>
        </w:rPr>
        <w:t>WORD</w:t>
      </w:r>
      <w:r>
        <w:rPr>
          <w:rFonts w:hint="eastAsia" w:ascii="宋体" w:hAnsi="宋体" w:eastAsia="宋体" w:cs="Times New Roman"/>
          <w:szCs w:val="21"/>
        </w:rPr>
        <w:t>、</w:t>
      </w:r>
      <w:r>
        <w:rPr>
          <w:rFonts w:ascii="宋体" w:hAnsi="宋体" w:eastAsia="宋体" w:cs="Times New Roman"/>
          <w:szCs w:val="21"/>
        </w:rPr>
        <w:t>EXCEL</w:t>
      </w:r>
      <w:r>
        <w:rPr>
          <w:rFonts w:hint="eastAsia" w:ascii="宋体" w:hAnsi="宋体" w:eastAsia="宋体" w:cs="Times New Roman"/>
          <w:szCs w:val="21"/>
        </w:rPr>
        <w:t>、</w:t>
      </w:r>
      <w:r>
        <w:rPr>
          <w:rFonts w:ascii="宋体" w:hAnsi="宋体" w:eastAsia="宋体" w:cs="Times New Roman"/>
          <w:szCs w:val="21"/>
        </w:rPr>
        <w:t>POWERPOINT</w:t>
      </w:r>
      <w:r>
        <w:rPr>
          <w:rFonts w:hint="eastAsia" w:ascii="宋体" w:hAnsi="宋体" w:eastAsia="宋体" w:cs="Times New Roman"/>
          <w:szCs w:val="21"/>
        </w:rPr>
        <w:t>、</w:t>
      </w:r>
      <w:r>
        <w:rPr>
          <w:rFonts w:ascii="宋体" w:hAnsi="宋体" w:eastAsia="宋体" w:cs="Times New Roman"/>
          <w:szCs w:val="21"/>
        </w:rPr>
        <w:t>VISIO</w:t>
      </w:r>
      <w:r>
        <w:rPr>
          <w:rFonts w:hint="eastAsia" w:ascii="宋体" w:hAnsi="宋体" w:eastAsia="宋体" w:cs="Times New Roman"/>
          <w:szCs w:val="21"/>
        </w:rPr>
        <w:t>、</w:t>
      </w:r>
      <w:r>
        <w:rPr>
          <w:rFonts w:ascii="宋体" w:hAnsi="宋体" w:eastAsia="宋体" w:cs="Times New Roman"/>
          <w:szCs w:val="21"/>
        </w:rPr>
        <w:t>MSPRJECT</w:t>
      </w:r>
      <w:r>
        <w:rPr>
          <w:rFonts w:hint="eastAsia" w:ascii="宋体" w:hAnsi="宋体" w:eastAsia="宋体" w:cs="Times New Roman"/>
          <w:szCs w:val="21"/>
        </w:rPr>
        <w:t>等原始电子文档形式，对于关键性的电子文档，同时提交</w:t>
      </w:r>
      <w:r>
        <w:rPr>
          <w:rFonts w:ascii="宋体" w:hAnsi="宋体" w:eastAsia="宋体" w:cs="Times New Roman"/>
          <w:szCs w:val="21"/>
        </w:rPr>
        <w:t>PDF</w:t>
      </w:r>
      <w:r>
        <w:rPr>
          <w:rFonts w:hint="eastAsia" w:ascii="宋体" w:hAnsi="宋体" w:eastAsia="宋体" w:cs="Times New Roman"/>
          <w:szCs w:val="21"/>
        </w:rPr>
        <w:t>文件。</w:t>
      </w:r>
    </w:p>
    <w:p w14:paraId="1E5D96A2">
      <w:pPr>
        <w:numPr>
          <w:ilvl w:val="0"/>
          <w:numId w:val="155"/>
        </w:numPr>
        <w:spacing w:line="360" w:lineRule="auto"/>
        <w:rPr>
          <w:rFonts w:ascii="Times Roman" w:hAnsi="Times Roman" w:eastAsia="宋体" w:cs="Times Roman"/>
          <w:color w:val="000000"/>
          <w:kern w:val="0"/>
          <w:szCs w:val="21"/>
        </w:rPr>
      </w:pPr>
      <w:r>
        <w:rPr>
          <w:rFonts w:hint="eastAsia" w:ascii="宋体" w:hAnsi="宋体" w:eastAsia="宋体" w:cs="Times New Roman"/>
          <w:szCs w:val="21"/>
        </w:rPr>
        <w:t>控制服务质量工具及流程</w:t>
      </w:r>
    </w:p>
    <w:p w14:paraId="07687F9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投诉管理</w:t>
      </w:r>
    </w:p>
    <w:p w14:paraId="4EF3D3A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在维护服务过程中客户如对服务的任何环节有不满意都可以通过中招联合服务监督部门投诉。</w:t>
      </w:r>
    </w:p>
    <w:p w14:paraId="7B0B2A3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内部满意度调查</w:t>
      </w:r>
    </w:p>
    <w:p w14:paraId="765F98E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中招联合建立并实施了服务项目的内部满意度评估。多维度内部满意度调查系统，通过了解参与项目的不同角色人员所关注点的满意程度，提供分析依据，给出有效的建议，提高服务质量。</w:t>
      </w:r>
    </w:p>
    <w:p w14:paraId="4C79F22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客户满意度调查</w:t>
      </w:r>
    </w:p>
    <w:p w14:paraId="7D4B44A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保障向客户提供的服务准时高效，质量监督体系是必须的。项目经理和客户将按照合同的要求，共同制定服务协议书中的各项服务水平要求，以监督保障所提供的服务质量。质量监督体系的主要工具是满意度调查，衡量的标准即双方认可的服务水平要求。流程如下</w:t>
      </w:r>
      <w:r>
        <w:rPr>
          <w:rFonts w:ascii="宋体" w:hAnsi="宋体" w:eastAsia="宋体" w:cs="Times New Roman"/>
          <w:szCs w:val="21"/>
        </w:rPr>
        <w:t>:</w:t>
      </w:r>
    </w:p>
    <w:p w14:paraId="4B952131">
      <w:pPr>
        <w:widowControl/>
        <w:autoSpaceDE w:val="0"/>
        <w:autoSpaceDN w:val="0"/>
        <w:adjustRightInd w:val="0"/>
        <w:spacing w:line="280" w:lineRule="atLeast"/>
        <w:jc w:val="left"/>
        <w:rPr>
          <w:rFonts w:ascii="Times Roman" w:hAnsi="Times Roman" w:cs="Times Roman"/>
          <w:color w:val="000000"/>
          <w:kern w:val="0"/>
          <w:szCs w:val="21"/>
        </w:rPr>
      </w:pPr>
      <w:r>
        <w:rPr>
          <w:rFonts w:ascii="Times Roman" w:hAnsi="Times Roman" w:cs="Times Roman"/>
          <w:color w:val="000000"/>
          <w:kern w:val="0"/>
          <w:szCs w:val="21"/>
        </w:rPr>
        <w:drawing>
          <wp:inline distT="0" distB="0" distL="0" distR="0">
            <wp:extent cx="4135755" cy="2498090"/>
            <wp:effectExtent l="0" t="0" r="4445" b="0"/>
            <wp:docPr id="5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4135755" cy="2498090"/>
                    </a:xfrm>
                    <a:prstGeom prst="rect">
                      <a:avLst/>
                    </a:prstGeom>
                    <a:noFill/>
                    <a:ln>
                      <a:noFill/>
                    </a:ln>
                  </pic:spPr>
                </pic:pic>
              </a:graphicData>
            </a:graphic>
          </wp:inline>
        </w:drawing>
      </w:r>
    </w:p>
    <w:p w14:paraId="332737E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服务满意度调查制度及时了解客户对中招联合服务处理情况的重要手段。也是中招联合不断改进、完善服务的渠道。满意度调查结果与服务工程师的当期绩效考核挂钩，作为工程师个人业绩评价的参考数据之一。</w:t>
      </w:r>
    </w:p>
    <w:p w14:paraId="02998B38">
      <w:pPr>
        <w:pStyle w:val="6"/>
        <w:spacing w:before="260" w:after="260" w:line="416" w:lineRule="auto"/>
        <w:jc w:val="both"/>
        <w:rPr>
          <w:rFonts w:hint="eastAsia" w:ascii="宋体" w:hAnsi="宋体" w:cstheme="majorBidi"/>
          <w:szCs w:val="24"/>
        </w:rPr>
      </w:pPr>
      <w:bookmarkStart w:id="397" w:name="_Toc180265740"/>
      <w:r>
        <w:rPr>
          <w:rFonts w:ascii="宋体" w:hAnsi="宋体" w:cstheme="majorBidi"/>
          <w:szCs w:val="24"/>
        </w:rPr>
        <w:t>服务质量指标体系</w:t>
      </w:r>
      <w:bookmarkEnd w:id="397"/>
    </w:p>
    <w:p w14:paraId="577E8A1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可用性指标</w:t>
      </w:r>
    </w:p>
    <w:p w14:paraId="2C841DF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系统的可用性是衡量运维服务质量的重要指标之一。可用性指标可以通过系统的正常运行时间占总运行时间的比例来计算。例如，系统的可用性要求为99.9%，则意味着系统在一年中的不可用时间不得超过8.76小时。</w:t>
      </w:r>
    </w:p>
    <w:p w14:paraId="637DC75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响应时间指标</w:t>
      </w:r>
    </w:p>
    <w:p w14:paraId="6B55738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响应时间是指用户提出问题或请求后，运维团队响应的时间。响应时间指标可以根据不同的问题类型和紧急程度进行分类设定。</w:t>
      </w:r>
    </w:p>
    <w:p w14:paraId="483DE5D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解决时间指标</w:t>
      </w:r>
    </w:p>
    <w:p w14:paraId="09A78D9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解决时间是指运维团队从接到问题或请求到解决问题的时间。解决时间指标可以根据问题的复杂程度和影响范围进行分类设定。</w:t>
      </w:r>
    </w:p>
    <w:p w14:paraId="7BEF0EC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用户满意度指标</w:t>
      </w:r>
    </w:p>
    <w:p w14:paraId="1D16C1FC">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用户满意度是衡量运维服务质量的最终指标。用户满意度可以通过用户调查、反馈等方式进行收集和评估。定期向用户发放调查问卷，了解用户对运维服务的满意度，并根据用户的反馈意见进行改进和优化。</w:t>
      </w:r>
    </w:p>
    <w:p w14:paraId="0D1CA45C">
      <w:pPr>
        <w:pStyle w:val="6"/>
        <w:spacing w:before="260" w:after="260" w:line="416" w:lineRule="auto"/>
        <w:jc w:val="both"/>
        <w:rPr>
          <w:rFonts w:hint="eastAsia" w:ascii="宋体" w:hAnsi="宋体" w:cstheme="majorBidi"/>
          <w:szCs w:val="24"/>
        </w:rPr>
      </w:pPr>
      <w:bookmarkStart w:id="398" w:name="_Toc180265741"/>
      <w:r>
        <w:rPr>
          <w:rFonts w:ascii="宋体" w:hAnsi="宋体" w:cstheme="majorBidi"/>
          <w:szCs w:val="24"/>
        </w:rPr>
        <w:t>服务质量监控与评估</w:t>
      </w:r>
      <w:bookmarkEnd w:id="398"/>
    </w:p>
    <w:p w14:paraId="1EDA1F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监控手段</w:t>
      </w:r>
    </w:p>
    <w:p w14:paraId="30FD5FC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采用自动化监控工具和人工检查相结合的方式，对运维服务的质量进行实时监控。使用监控软件对系统的性能指标、日志记录等进行实时监测，及时发现和处理问题。同时，定期进行人工检查，对系统的硬件设备、软件系统、网络设备等进行全面检查，确保系统的稳定运行。</w:t>
      </w:r>
    </w:p>
    <w:p w14:paraId="034F1BE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评估方法</w:t>
      </w:r>
    </w:p>
    <w:p w14:paraId="0CEEF80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采用定量评估和定性评估相结合的方法，对运维服务的质量进行评估。定量评估可以通过服务质量指标体系中的各项指标进行计算和分析，得出客观的评估结果。定性评估可以通过用户调查、反馈等方式进行收集和分析，得出主观的评估结果。综合定量评估和定性评估的结果，对运维服务的质量进行全面评估。</w:t>
      </w:r>
    </w:p>
    <w:p w14:paraId="46AE602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改进措施</w:t>
      </w:r>
    </w:p>
    <w:p w14:paraId="2AAC1580">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根据服务质量监控和评估的结果，及时采取改进措施，提高运维服务的质量和效率。如果发现系统的可用性指标下降，应及时分析原因，采取相应的措施进行优化和改进。如果用户满意度指标较低，应及时收集用户的反馈意见，进行针对性的改进和优化。</w:t>
      </w:r>
    </w:p>
    <w:p w14:paraId="26C1896C">
      <w:pPr>
        <w:pStyle w:val="6"/>
        <w:spacing w:before="260" w:after="260" w:line="416" w:lineRule="auto"/>
        <w:jc w:val="both"/>
        <w:rPr>
          <w:rFonts w:hint="eastAsia" w:ascii="宋体" w:hAnsi="宋体" w:cstheme="majorBidi"/>
          <w:szCs w:val="24"/>
        </w:rPr>
      </w:pPr>
      <w:bookmarkStart w:id="399" w:name="_Toc180265742"/>
      <w:r>
        <w:rPr>
          <w:rFonts w:ascii="宋体" w:hAnsi="宋体" w:cstheme="majorBidi"/>
          <w:szCs w:val="24"/>
        </w:rPr>
        <w:t>服务质量持续改进</w:t>
      </w:r>
      <w:bookmarkEnd w:id="399"/>
    </w:p>
    <w:p w14:paraId="69C1B75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建立改进机制</w:t>
      </w:r>
    </w:p>
    <w:p w14:paraId="47A487C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建立服务质量持续改进的机制，定期对运维服务的质量进行评估和分析，找出存在的问题和不足，制定改进措施和计划，并跟踪改进措施的执行情况，确保改进效果。</w:t>
      </w:r>
    </w:p>
    <w:p w14:paraId="0DF90BE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引入新技术和方法</w:t>
      </w:r>
    </w:p>
    <w:p w14:paraId="264B2C8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关注行业的发展动态，引入先进的运维技术和方法，不断提高运维服务的质量和效率。引入自动化运维工具，提高运维的自动化水平和效率。</w:t>
      </w:r>
    </w:p>
    <w:p w14:paraId="2CF8486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团队建设与培训</w:t>
      </w:r>
    </w:p>
    <w:p w14:paraId="4BFE7FF1">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加强运维团队的建设和培训，提高团队成员的技术水平和服务能力。通过定期组织培训课程、技术交流活动等方式，促进团队成员的共同成长和进步，为提高运维服务质量提供有力的支持。</w:t>
      </w:r>
    </w:p>
    <w:p w14:paraId="7D7F294C">
      <w:pPr>
        <w:pStyle w:val="6"/>
        <w:spacing w:before="260" w:after="260" w:line="416" w:lineRule="auto"/>
        <w:jc w:val="both"/>
        <w:rPr>
          <w:rFonts w:hint="eastAsia" w:ascii="宋体" w:hAnsi="宋体" w:cstheme="majorBidi"/>
          <w:szCs w:val="24"/>
        </w:rPr>
      </w:pPr>
      <w:bookmarkStart w:id="400" w:name="_Toc180265743"/>
      <w:r>
        <w:rPr>
          <w:rFonts w:hint="eastAsia" w:ascii="宋体" w:hAnsi="宋体" w:cstheme="majorBidi"/>
          <w:szCs w:val="24"/>
        </w:rPr>
        <w:t>服务考核内容</w:t>
      </w:r>
      <w:bookmarkEnd w:id="400"/>
    </w:p>
    <w:p w14:paraId="1260464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服务内容及标准</w:t>
      </w:r>
      <w:r>
        <w:rPr>
          <w:rFonts w:ascii="宋体" w:hAnsi="宋体" w:eastAsia="宋体" w:cs="Times New Roman"/>
          <w:szCs w:val="21"/>
        </w:rPr>
        <w:t>:</w:t>
      </w:r>
    </w:p>
    <w:tbl>
      <w:tblPr>
        <w:tblStyle w:val="40"/>
        <w:tblW w:w="9923" w:type="dxa"/>
        <w:jc w:val="center"/>
        <w:tblLayout w:type="fixed"/>
        <w:tblCellMar>
          <w:top w:w="0" w:type="dxa"/>
          <w:left w:w="108" w:type="dxa"/>
          <w:bottom w:w="0" w:type="dxa"/>
          <w:right w:w="108" w:type="dxa"/>
        </w:tblCellMar>
      </w:tblPr>
      <w:tblGrid>
        <w:gridCol w:w="1276"/>
        <w:gridCol w:w="1276"/>
        <w:gridCol w:w="1451"/>
        <w:gridCol w:w="850"/>
        <w:gridCol w:w="1668"/>
        <w:gridCol w:w="850"/>
        <w:gridCol w:w="567"/>
        <w:gridCol w:w="567"/>
        <w:gridCol w:w="851"/>
        <w:gridCol w:w="567"/>
      </w:tblGrid>
      <w:tr w14:paraId="0D881BFE">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127469B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服务项目</w:t>
            </w:r>
          </w:p>
        </w:tc>
        <w:tc>
          <w:tcPr>
            <w:tcW w:w="1276"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170817C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服务级别类型</w:t>
            </w:r>
          </w:p>
        </w:tc>
        <w:tc>
          <w:tcPr>
            <w:tcW w:w="1451"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2C84EAA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服务级别指标</w:t>
            </w:r>
          </w:p>
        </w:tc>
        <w:tc>
          <w:tcPr>
            <w:tcW w:w="850"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022B262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合格</w:t>
            </w:r>
          </w:p>
        </w:tc>
        <w:tc>
          <w:tcPr>
            <w:tcW w:w="1668"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4C64121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定义</w:t>
            </w:r>
          </w:p>
        </w:tc>
        <w:tc>
          <w:tcPr>
            <w:tcW w:w="850"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3617E23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数据来源</w:t>
            </w:r>
          </w:p>
        </w:tc>
        <w:tc>
          <w:tcPr>
            <w:tcW w:w="567"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4D4E363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周期</w:t>
            </w:r>
          </w:p>
        </w:tc>
        <w:tc>
          <w:tcPr>
            <w:tcW w:w="567"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4C83AF5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类型</w:t>
            </w:r>
          </w:p>
        </w:tc>
        <w:tc>
          <w:tcPr>
            <w:tcW w:w="851"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72EA1C4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必选指标</w:t>
            </w:r>
          </w:p>
        </w:tc>
        <w:tc>
          <w:tcPr>
            <w:tcW w:w="567" w:type="dxa"/>
            <w:tcBorders>
              <w:top w:val="single" w:color="000000" w:sz="4" w:space="0"/>
              <w:left w:val="single" w:color="000000" w:sz="4" w:space="0"/>
              <w:bottom w:val="single" w:color="000000" w:sz="4" w:space="0"/>
              <w:right w:val="single" w:color="000000" w:sz="4" w:space="0"/>
            </w:tcBorders>
            <w:shd w:val="clear" w:color="auto" w:fill="8F8F8F"/>
            <w:tcMar>
              <w:top w:w="0" w:type="dxa"/>
              <w:left w:w="0" w:type="dxa"/>
              <w:bottom w:w="0" w:type="dxa"/>
              <w:right w:w="0" w:type="dxa"/>
            </w:tcMar>
            <w:vAlign w:val="center"/>
          </w:tcPr>
          <w:p w14:paraId="1A4CC0A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备注</w:t>
            </w:r>
          </w:p>
        </w:tc>
      </w:tr>
      <w:tr w14:paraId="62E91547">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A697C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人员管理</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1938C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人员调整</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A33C4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通知时间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4D16E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≥7天</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75BB2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人员如遇特殊情况，需要发生调整更换的，则至少需提前7天通知甲方项目经理，经同意方可调整。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9A537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人员调整通知</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81A759">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FDB90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AF3F2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15BC64">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73E20C08">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E2338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服务时间</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DFFA7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服务时间</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979B9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每个工作日人均在岗工作间不低于</w:t>
            </w:r>
            <w:r>
              <w:rPr>
                <w:rFonts w:ascii="宋体" w:hAnsi="Times Roman" w:eastAsia="宋体" w:cs="宋体"/>
                <w:color w:val="000000"/>
                <w:kern w:val="0"/>
                <w:szCs w:val="21"/>
              </w:rPr>
              <w:t>8</w:t>
            </w:r>
            <w:r>
              <w:rPr>
                <w:rFonts w:hint="eastAsia" w:ascii="宋体" w:hAnsi="Times Roman" w:eastAsia="宋体" w:cs="宋体"/>
                <w:color w:val="000000"/>
                <w:kern w:val="0"/>
                <w:szCs w:val="21"/>
              </w:rPr>
              <w:t>小时</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37CD57">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8</w:t>
            </w:r>
            <w:r>
              <w:rPr>
                <w:rFonts w:hint="eastAsia" w:ascii="宋体" w:hAnsi="Times Roman" w:eastAsia="宋体" w:cs="宋体"/>
                <w:color w:val="000000"/>
                <w:kern w:val="0"/>
                <w:szCs w:val="21"/>
              </w:rPr>
              <w:t>小时</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CD36E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每工作日</w:t>
            </w:r>
            <w:r>
              <w:rPr>
                <w:rFonts w:ascii="宋体" w:hAnsi="Times Roman" w:eastAsia="宋体" w:cs="宋体"/>
                <w:color w:val="000000"/>
                <w:kern w:val="0"/>
                <w:szCs w:val="21"/>
              </w:rPr>
              <w:t>8:30---17:30</w:t>
            </w:r>
            <w:r>
              <w:rPr>
                <w:rFonts w:hint="eastAsia" w:ascii="宋体" w:hAnsi="Times Roman" w:eastAsia="宋体" w:cs="宋体"/>
                <w:color w:val="000000"/>
                <w:kern w:val="0"/>
                <w:szCs w:val="21"/>
              </w:rPr>
              <w:t>，特殊时支持调整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C033E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签到表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93112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月</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06243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A929F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BC3249">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BFEB876">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F4963A">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出勤管理</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340AB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出勤率</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8BA13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运维团队在服务期内全员出勤率达到</w:t>
            </w:r>
            <w:r>
              <w:rPr>
                <w:rFonts w:ascii="宋体" w:hAnsi="Times Roman" w:eastAsia="宋体" w:cs="宋体"/>
                <w:color w:val="000000"/>
                <w:kern w:val="0"/>
                <w:szCs w:val="21"/>
              </w:rPr>
              <w:t>99%</w:t>
            </w:r>
          </w:p>
          <w:p w14:paraId="09B47E32">
            <w:pPr>
              <w:widowControl/>
              <w:autoSpaceDE w:val="0"/>
              <w:autoSpaceDN w:val="0"/>
              <w:adjustRightInd w:val="0"/>
              <w:spacing w:line="276" w:lineRule="auto"/>
              <w:jc w:val="left"/>
              <w:rPr>
                <w:rFonts w:ascii="宋体" w:hAnsi="Times Roman" w:eastAsia="宋体" w:cs="宋体"/>
                <w:color w:val="000000"/>
                <w:kern w:val="0"/>
                <w:szCs w:val="21"/>
              </w:rPr>
            </w:pP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59F50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99%</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1984C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除事先通知项目经理并获得批准外，其余工作时间未在岗现象均视为未达标</w:t>
            </w:r>
            <w:r>
              <w:rPr>
                <w:rFonts w:ascii="宋体" w:hAnsi="Times Roman" w:eastAsia="宋体" w:cs="宋体"/>
                <w:color w:val="000000"/>
                <w:kern w:val="0"/>
                <w:szCs w:val="21"/>
              </w:rPr>
              <w:t>1</w:t>
            </w:r>
            <w:r>
              <w:rPr>
                <w:rFonts w:hint="eastAsia" w:ascii="宋体" w:hAnsi="Times Roman" w:eastAsia="宋体" w:cs="宋体"/>
                <w:color w:val="000000"/>
                <w:kern w:val="0"/>
                <w:szCs w:val="21"/>
              </w:rPr>
              <w:t>次</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07968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签到表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271A9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月</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336F9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4BD24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D00939">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2D9EEB8">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15F737C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业务操作</w:t>
            </w:r>
            <w:r>
              <w:rPr>
                <w:rFonts w:hint="eastAsia" w:ascii="宋体" w:hAnsi="Times Roman" w:eastAsia="宋体" w:cs="宋体"/>
                <w:color w:val="000000"/>
                <w:kern w:val="0"/>
                <w:szCs w:val="21"/>
              </w:rPr>
              <w:t>支持服务</w:t>
            </w:r>
          </w:p>
        </w:tc>
        <w:tc>
          <w:tcPr>
            <w:tcW w:w="1276"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4824580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服务级别类型</w:t>
            </w:r>
          </w:p>
        </w:tc>
        <w:tc>
          <w:tcPr>
            <w:tcW w:w="1451"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355243B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服务级别指标</w:t>
            </w:r>
          </w:p>
        </w:tc>
        <w:tc>
          <w:tcPr>
            <w:tcW w:w="850"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2FFB786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合格</w:t>
            </w:r>
          </w:p>
        </w:tc>
        <w:tc>
          <w:tcPr>
            <w:tcW w:w="1668"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5D47BDFF">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定义</w:t>
            </w:r>
          </w:p>
        </w:tc>
        <w:tc>
          <w:tcPr>
            <w:tcW w:w="850"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2450B5A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数据来源</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4755B59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周期</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3E24273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类型</w:t>
            </w:r>
          </w:p>
        </w:tc>
        <w:tc>
          <w:tcPr>
            <w:tcW w:w="851"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0C0230A5">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必选指标</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4B10E97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备注</w:t>
            </w:r>
          </w:p>
        </w:tc>
      </w:tr>
      <w:tr w14:paraId="4094549B">
        <w:tblPrEx>
          <w:tblCellMar>
            <w:top w:w="0" w:type="dxa"/>
            <w:left w:w="108" w:type="dxa"/>
            <w:bottom w:w="0" w:type="dxa"/>
            <w:right w:w="108" w:type="dxa"/>
          </w:tblCellMar>
        </w:tblPrEx>
        <w:trPr>
          <w:jc w:val="center"/>
        </w:trPr>
        <w:tc>
          <w:tcPr>
            <w:tcW w:w="127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5DA7FD4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热线支持</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AC9757">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响应时间</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369276">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热线电话响应时间小于1</w:t>
            </w:r>
            <w:r>
              <w:rPr>
                <w:rFonts w:ascii="宋体" w:eastAsia="宋体" w:cs="宋体"/>
                <w:color w:val="000000"/>
                <w:kern w:val="0"/>
                <w:szCs w:val="21"/>
              </w:rPr>
              <w:t>5</w:t>
            </w:r>
            <w:r>
              <w:rPr>
                <w:rFonts w:hint="eastAsia" w:ascii="宋体" w:eastAsia="宋体" w:cs="宋体"/>
                <w:color w:val="000000"/>
                <w:kern w:val="0"/>
                <w:szCs w:val="21"/>
              </w:rPr>
              <w:t>分钟</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9D98FF">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≤1</w:t>
            </w:r>
            <w:r>
              <w:rPr>
                <w:rFonts w:ascii="宋体" w:eastAsia="宋体" w:cs="宋体"/>
                <w:color w:val="000000"/>
                <w:kern w:val="0"/>
                <w:szCs w:val="21"/>
              </w:rPr>
              <w:t>5</w:t>
            </w:r>
            <w:r>
              <w:rPr>
                <w:rFonts w:hint="eastAsia" w:ascii="宋体" w:eastAsia="宋体" w:cs="宋体"/>
                <w:color w:val="000000"/>
                <w:kern w:val="0"/>
                <w:szCs w:val="21"/>
              </w:rPr>
              <w:t>分钟</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03708F">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客户拨打热线电话到运维人员接听热线电话的时间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021CF4">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服务周报</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1D91E9">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73663F">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26471E">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8327A3">
            <w:pPr>
              <w:widowControl/>
              <w:autoSpaceDE w:val="0"/>
              <w:autoSpaceDN w:val="0"/>
              <w:adjustRightInd w:val="0"/>
              <w:spacing w:line="276" w:lineRule="auto"/>
              <w:jc w:val="left"/>
              <w:rPr>
                <w:rFonts w:ascii="宋体" w:eastAsia="宋体" w:cs="宋体"/>
                <w:color w:val="000000"/>
                <w:kern w:val="0"/>
                <w:szCs w:val="21"/>
              </w:rPr>
            </w:pPr>
          </w:p>
        </w:tc>
      </w:tr>
      <w:tr w14:paraId="3DA7428F">
        <w:tblPrEx>
          <w:tblCellMar>
            <w:top w:w="0" w:type="dxa"/>
            <w:left w:w="108" w:type="dxa"/>
            <w:bottom w:w="0" w:type="dxa"/>
            <w:right w:w="108" w:type="dxa"/>
          </w:tblCellMar>
        </w:tblPrEx>
        <w:trPr>
          <w:jc w:val="center"/>
        </w:trPr>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157EA796">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EFE0D6">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热线电话接听率</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914630">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热线电话接听率应大于</w:t>
            </w:r>
            <w:r>
              <w:rPr>
                <w:rFonts w:ascii="宋体" w:eastAsia="宋体" w:cs="宋体"/>
                <w:color w:val="000000"/>
                <w:kern w:val="0"/>
                <w:szCs w:val="21"/>
              </w:rPr>
              <w:t>95%</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3E6E1C">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w:t>
            </w:r>
            <w:r>
              <w:rPr>
                <w:rFonts w:ascii="宋体" w:eastAsia="宋体" w:cs="宋体"/>
                <w:color w:val="000000"/>
                <w:kern w:val="0"/>
                <w:szCs w:val="21"/>
              </w:rPr>
              <w:t>95%</w:t>
            </w:r>
          </w:p>
          <w:p w14:paraId="19131DBD">
            <w:pPr>
              <w:widowControl/>
              <w:autoSpaceDE w:val="0"/>
              <w:autoSpaceDN w:val="0"/>
              <w:adjustRightInd w:val="0"/>
              <w:spacing w:line="276" w:lineRule="auto"/>
              <w:jc w:val="left"/>
              <w:rPr>
                <w:rFonts w:ascii="宋体" w:eastAsia="宋体" w:cs="宋体"/>
                <w:color w:val="000000"/>
                <w:kern w:val="0"/>
                <w:szCs w:val="21"/>
              </w:rPr>
            </w:pP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688EFD">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运维人员接听电话总量占打入电话总量的百分比</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4243A4">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服务周报</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29F293">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4BBEF4">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E97067">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8A107D">
            <w:pPr>
              <w:widowControl/>
              <w:autoSpaceDE w:val="0"/>
              <w:autoSpaceDN w:val="0"/>
              <w:adjustRightInd w:val="0"/>
              <w:spacing w:line="276" w:lineRule="auto"/>
              <w:jc w:val="left"/>
              <w:rPr>
                <w:rFonts w:ascii="宋体" w:eastAsia="宋体" w:cs="宋体"/>
                <w:color w:val="000000"/>
                <w:kern w:val="0"/>
                <w:szCs w:val="21"/>
              </w:rPr>
            </w:pPr>
          </w:p>
        </w:tc>
      </w:tr>
      <w:tr w14:paraId="49DE8AA3">
        <w:tblPrEx>
          <w:tblCellMar>
            <w:top w:w="0" w:type="dxa"/>
            <w:left w:w="108" w:type="dxa"/>
            <w:bottom w:w="0" w:type="dxa"/>
            <w:right w:w="108" w:type="dxa"/>
          </w:tblCellMar>
        </w:tblPrEx>
        <w:trPr>
          <w:jc w:val="center"/>
        </w:trPr>
        <w:tc>
          <w:tcPr>
            <w:tcW w:w="127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54B135CC">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现场服务</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69C8C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响应时间</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4727F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响应时间小于30分钟</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D5341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≤30分钟</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3CAF9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接到现场服务请求后，运维团队应在</w:t>
            </w:r>
            <w:r>
              <w:rPr>
                <w:rFonts w:ascii="宋体" w:hAnsi="Times Roman" w:eastAsia="宋体" w:cs="宋体"/>
                <w:color w:val="000000"/>
                <w:kern w:val="0"/>
                <w:szCs w:val="21"/>
              </w:rPr>
              <w:t>30</w:t>
            </w:r>
            <w:r>
              <w:rPr>
                <w:rFonts w:hint="eastAsia" w:ascii="宋体" w:hAnsi="Times Roman" w:eastAsia="宋体" w:cs="宋体"/>
                <w:color w:val="000000"/>
                <w:kern w:val="0"/>
                <w:szCs w:val="21"/>
              </w:rPr>
              <w:t>分钟内联系服务请求人。</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2863F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服务周报</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C1F8D1">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FBE3A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59DBF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590340">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0004F644">
        <w:tblPrEx>
          <w:tblCellMar>
            <w:top w:w="0" w:type="dxa"/>
            <w:left w:w="108" w:type="dxa"/>
            <w:bottom w:w="0" w:type="dxa"/>
            <w:right w:w="108" w:type="dxa"/>
          </w:tblCellMar>
        </w:tblPrEx>
        <w:trPr>
          <w:jc w:val="center"/>
        </w:trPr>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97967A1">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89723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服务请求解决率</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EF830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服务请求解决率超过</w:t>
            </w:r>
            <w:r>
              <w:rPr>
                <w:rFonts w:ascii="宋体" w:hAnsi="Times Roman" w:eastAsia="宋体" w:cs="宋体"/>
                <w:color w:val="000000"/>
                <w:kern w:val="0"/>
                <w:szCs w:val="21"/>
              </w:rPr>
              <w:t>95%</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8224E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95%</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CE230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服务请求解决量占服务请求总量的百分比</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21D7F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服务周报</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663F0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eastAsia="宋体" w:cs="宋体"/>
                <w:color w:val="000000"/>
                <w:kern w:val="0"/>
                <w:szCs w:val="21"/>
              </w:rPr>
              <w:t>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8D8AE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17583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A07067">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46D24C00">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59682FD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应用系统维护服务</w:t>
            </w:r>
          </w:p>
        </w:tc>
        <w:tc>
          <w:tcPr>
            <w:tcW w:w="1276"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0CFF701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服务级别类型</w:t>
            </w:r>
          </w:p>
        </w:tc>
        <w:tc>
          <w:tcPr>
            <w:tcW w:w="1451"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3E7B2FA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服务级别指标</w:t>
            </w:r>
          </w:p>
        </w:tc>
        <w:tc>
          <w:tcPr>
            <w:tcW w:w="850"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16DF7CE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合格</w:t>
            </w:r>
          </w:p>
        </w:tc>
        <w:tc>
          <w:tcPr>
            <w:tcW w:w="1668"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16C740A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定义</w:t>
            </w:r>
          </w:p>
        </w:tc>
        <w:tc>
          <w:tcPr>
            <w:tcW w:w="850"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7506EF0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数据来源</w:t>
            </w:r>
          </w:p>
        </w:tc>
        <w:tc>
          <w:tcPr>
            <w:tcW w:w="567"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260C9C2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周期</w:t>
            </w:r>
          </w:p>
        </w:tc>
        <w:tc>
          <w:tcPr>
            <w:tcW w:w="567"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4CCFA8C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类型</w:t>
            </w:r>
          </w:p>
        </w:tc>
        <w:tc>
          <w:tcPr>
            <w:tcW w:w="851"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558B035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备选指标</w:t>
            </w:r>
          </w:p>
        </w:tc>
        <w:tc>
          <w:tcPr>
            <w:tcW w:w="567" w:type="dxa"/>
            <w:tcBorders>
              <w:top w:val="single" w:color="000000" w:sz="4" w:space="0"/>
              <w:left w:val="single" w:color="000000" w:sz="4" w:space="0"/>
              <w:bottom w:val="single" w:color="000000" w:sz="4" w:space="0"/>
              <w:right w:val="single" w:color="000000" w:sz="4" w:space="0"/>
            </w:tcBorders>
            <w:shd w:val="clear" w:color="auto" w:fill="B3B3B3"/>
            <w:tcMar>
              <w:top w:w="0" w:type="dxa"/>
              <w:left w:w="0" w:type="dxa"/>
              <w:bottom w:w="0" w:type="dxa"/>
              <w:right w:w="0" w:type="dxa"/>
            </w:tcMar>
            <w:vAlign w:val="center"/>
          </w:tcPr>
          <w:p w14:paraId="510BA55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备注</w:t>
            </w:r>
          </w:p>
        </w:tc>
      </w:tr>
      <w:tr w14:paraId="43A22F15">
        <w:tblPrEx>
          <w:tblCellMar>
            <w:top w:w="0" w:type="dxa"/>
            <w:left w:w="108" w:type="dxa"/>
            <w:bottom w:w="0" w:type="dxa"/>
            <w:right w:w="108" w:type="dxa"/>
          </w:tblCellMar>
        </w:tblPrEx>
        <w:trPr>
          <w:jc w:val="center"/>
        </w:trPr>
        <w:tc>
          <w:tcPr>
            <w:tcW w:w="127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0CBA7697">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应用系统环境支撑</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64497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系统可用率</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63F09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可用率目标为</w:t>
            </w:r>
            <w:r>
              <w:rPr>
                <w:rFonts w:ascii="宋体" w:hAnsi="Times Roman" w:eastAsia="宋体" w:cs="宋体"/>
                <w:color w:val="000000"/>
                <w:kern w:val="0"/>
                <w:szCs w:val="21"/>
              </w:rPr>
              <w:t>99</w:t>
            </w:r>
            <w:r>
              <w:rPr>
                <w:rFonts w:hint="eastAsia" w:ascii="宋体" w:hAnsi="Times Roman" w:eastAsia="宋体" w:cs="宋体"/>
                <w:color w:val="000000"/>
                <w:kern w:val="0"/>
                <w:szCs w:val="21"/>
              </w:rPr>
              <w:t>.9</w:t>
            </w:r>
            <w:r>
              <w:rPr>
                <w:rFonts w:ascii="宋体" w:hAnsi="Times Roman" w:eastAsia="宋体" w:cs="宋体"/>
                <w:color w:val="000000"/>
                <w:kern w:val="0"/>
                <w:szCs w:val="21"/>
              </w:rPr>
              <w:t>%</w:t>
            </w:r>
            <w:r>
              <w:rPr>
                <w:rFonts w:hint="eastAsia" w:ascii="宋体" w:hAnsi="Times Roman" w:eastAsia="宋体" w:cs="宋体"/>
                <w:color w:val="000000"/>
                <w:kern w:val="0"/>
                <w:szCs w:val="21"/>
              </w:rPr>
              <w:t>以上</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11A2D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w:t>
            </w:r>
            <w:r>
              <w:rPr>
                <w:rFonts w:hint="eastAsia" w:ascii="宋体" w:hAnsi="Times Roman" w:eastAsia="宋体" w:cs="宋体"/>
                <w:color w:val="000000"/>
                <w:kern w:val="0"/>
                <w:szCs w:val="21"/>
              </w:rPr>
              <w:t>9.9</w:t>
            </w:r>
            <w:r>
              <w:rPr>
                <w:rFonts w:ascii="宋体" w:hAnsi="Times Roman" w:eastAsia="宋体" w:cs="宋体"/>
                <w:color w:val="000000"/>
                <w:kern w:val="0"/>
                <w:szCs w:val="21"/>
              </w:rPr>
              <w: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A06DE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系统可用时间≥</w:t>
            </w:r>
            <w:r>
              <w:rPr>
                <w:rFonts w:ascii="宋体" w:hAnsi="Times Roman" w:eastAsia="宋体" w:cs="宋体"/>
                <w:color w:val="000000"/>
                <w:kern w:val="0"/>
                <w:szCs w:val="21"/>
              </w:rPr>
              <w:t>99</w:t>
            </w:r>
            <w:r>
              <w:rPr>
                <w:rFonts w:hint="eastAsia" w:ascii="宋体" w:hAnsi="Times Roman" w:eastAsia="宋体" w:cs="宋体"/>
                <w:color w:val="000000"/>
                <w:kern w:val="0"/>
                <w:szCs w:val="21"/>
              </w:rPr>
              <w:t>.9</w:t>
            </w:r>
            <w:r>
              <w:rPr>
                <w:rFonts w:ascii="宋体" w:hAnsi="Times Roman" w:eastAsia="宋体" w:cs="宋体"/>
                <w:color w:val="000000"/>
                <w:kern w:val="0"/>
                <w:szCs w:val="21"/>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A58E1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49BBC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月</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B5F24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1C429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348369">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35EACB5F">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3FF50D99">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177FA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响应服务（7*24）</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89C23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一级≤15分钟</w:t>
            </w:r>
          </w:p>
          <w:p w14:paraId="0EEBFAC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二级≤30分钟</w:t>
            </w:r>
          </w:p>
          <w:p w14:paraId="0DFFFBA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三级≤60分钟</w:t>
            </w:r>
          </w:p>
          <w:p w14:paraId="3067312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四级≤60分钟</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D68BE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≤15分钟</w:t>
            </w:r>
          </w:p>
          <w:p w14:paraId="1EC2D14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≤30分钟</w:t>
            </w:r>
          </w:p>
          <w:p w14:paraId="32E2490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≤60分钟</w:t>
            </w:r>
          </w:p>
          <w:p w14:paraId="2E18C55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≤60分钟</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58A4F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根据不同故障级别的响应时间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BCFD8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56280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服务器内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4AC9F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32193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FF0836">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BAD6EE8">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0B88C77E">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59E74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故障恢复时间</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0AFCC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一级≤4小时</w:t>
            </w:r>
          </w:p>
          <w:p w14:paraId="258FC0D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二级≤8小时</w:t>
            </w:r>
          </w:p>
          <w:p w14:paraId="16E60FE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三级≤12小时</w:t>
            </w:r>
          </w:p>
          <w:p w14:paraId="12FD37A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四级≤</w:t>
            </w:r>
            <w:r>
              <w:rPr>
                <w:rFonts w:ascii="宋体" w:hAnsi="Times Roman" w:eastAsia="宋体" w:cs="宋体"/>
                <w:color w:val="000000"/>
                <w:kern w:val="0"/>
                <w:szCs w:val="21"/>
              </w:rPr>
              <w:t>24</w:t>
            </w:r>
            <w:r>
              <w:rPr>
                <w:rFonts w:hint="eastAsia" w:ascii="宋体" w:hAnsi="Times Roman" w:eastAsia="宋体" w:cs="宋体"/>
                <w:color w:val="000000"/>
                <w:kern w:val="0"/>
                <w:szCs w:val="21"/>
              </w:rPr>
              <w:t>小时</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4C217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≤4小时</w:t>
            </w:r>
          </w:p>
          <w:p w14:paraId="5EAC7D0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≤8小时</w:t>
            </w:r>
          </w:p>
          <w:p w14:paraId="1A44D16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≤12小时</w:t>
            </w:r>
          </w:p>
          <w:p w14:paraId="5D232DA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24</w:t>
            </w:r>
            <w:r>
              <w:rPr>
                <w:rFonts w:hint="eastAsia" w:ascii="宋体" w:hAnsi="Times Roman" w:eastAsia="宋体" w:cs="宋体"/>
                <w:color w:val="000000"/>
                <w:kern w:val="0"/>
                <w:szCs w:val="21"/>
              </w:rPr>
              <w:t>小时</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9BE89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故障恢复时间指发生故障后至服务恢复正常之间的时间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37B3A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F4586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F1150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BFA52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3072B5">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A4E69A6">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77849C5C">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6F6CC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系统升级服务</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AD1C2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成功率大于99%</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1D184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w:t>
            </w:r>
            <w:r>
              <w:rPr>
                <w:rFonts w:hint="eastAsia" w:ascii="宋体" w:hAnsi="Times Roman" w:eastAsia="宋体" w:cs="宋体"/>
                <w:color w:val="000000"/>
                <w:kern w:val="0"/>
                <w:szCs w:val="21"/>
              </w:rPr>
              <w:t>9</w:t>
            </w:r>
            <w:r>
              <w:rPr>
                <w:rFonts w:ascii="宋体" w:hAnsi="Times Roman" w:eastAsia="宋体" w:cs="宋体"/>
                <w:color w:val="000000"/>
                <w:kern w:val="0"/>
                <w:szCs w:val="21"/>
              </w:rPr>
              <w: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38F9B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系统升级可用性达到99%以上</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CFC0F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2B5A89">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服务期内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3D358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3C3EC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407ED4">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1A84C4E">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5D37EEF4">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D6E4D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系统优化服务</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1558D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保障系统可用率99.9%</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FE9A1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w:t>
            </w:r>
            <w:r>
              <w:rPr>
                <w:rFonts w:hint="eastAsia" w:ascii="宋体" w:hAnsi="Times Roman" w:eastAsia="宋体" w:cs="宋体"/>
                <w:color w:val="000000"/>
                <w:kern w:val="0"/>
                <w:szCs w:val="21"/>
              </w:rPr>
              <w:t>9.9</w:t>
            </w:r>
            <w:r>
              <w:rPr>
                <w:rFonts w:ascii="宋体" w:hAnsi="Times Roman" w:eastAsia="宋体" w:cs="宋体"/>
                <w:color w:val="000000"/>
                <w:kern w:val="0"/>
                <w:szCs w:val="21"/>
              </w:rPr>
              <w: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6AE1C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系统可用时间≥</w:t>
            </w:r>
            <w:r>
              <w:rPr>
                <w:rFonts w:ascii="宋体" w:hAnsi="Times Roman" w:eastAsia="宋体" w:cs="宋体"/>
                <w:color w:val="000000"/>
                <w:kern w:val="0"/>
                <w:szCs w:val="21"/>
              </w:rPr>
              <w:t>99</w:t>
            </w:r>
            <w:r>
              <w:rPr>
                <w:rFonts w:hint="eastAsia" w:ascii="宋体" w:hAnsi="Times Roman" w:eastAsia="宋体" w:cs="宋体"/>
                <w:color w:val="000000"/>
                <w:kern w:val="0"/>
                <w:szCs w:val="21"/>
              </w:rPr>
              <w:t>.9</w:t>
            </w:r>
            <w:r>
              <w:rPr>
                <w:rFonts w:ascii="宋体" w:hAnsi="Times Roman" w:eastAsia="宋体" w:cs="宋体"/>
                <w:color w:val="000000"/>
                <w:kern w:val="0"/>
                <w:szCs w:val="21"/>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63DB8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E94374">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服务器内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CD6D3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E3BA0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64CA0E">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5C82116A">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108448A5">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E3A28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巡检服务</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DF04E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保障系统可用率99.9%</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CC3FC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w:t>
            </w:r>
            <w:r>
              <w:rPr>
                <w:rFonts w:hint="eastAsia" w:ascii="宋体" w:hAnsi="Times Roman" w:eastAsia="宋体" w:cs="宋体"/>
                <w:color w:val="000000"/>
                <w:kern w:val="0"/>
                <w:szCs w:val="21"/>
              </w:rPr>
              <w:t>9.9</w:t>
            </w:r>
            <w:r>
              <w:rPr>
                <w:rFonts w:ascii="宋体" w:hAnsi="Times Roman" w:eastAsia="宋体" w:cs="宋体"/>
                <w:color w:val="000000"/>
                <w:kern w:val="0"/>
                <w:szCs w:val="21"/>
              </w:rPr>
              <w: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B6922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系统可用时间≥</w:t>
            </w:r>
            <w:r>
              <w:rPr>
                <w:rFonts w:ascii="宋体" w:hAnsi="Times Roman" w:eastAsia="宋体" w:cs="宋体"/>
                <w:color w:val="000000"/>
                <w:kern w:val="0"/>
                <w:szCs w:val="21"/>
              </w:rPr>
              <w:t>99</w:t>
            </w:r>
            <w:r>
              <w:rPr>
                <w:rFonts w:hint="eastAsia" w:ascii="宋体" w:hAnsi="Times Roman" w:eastAsia="宋体" w:cs="宋体"/>
                <w:color w:val="000000"/>
                <w:kern w:val="0"/>
                <w:szCs w:val="21"/>
              </w:rPr>
              <w:t>.9</w:t>
            </w:r>
            <w:r>
              <w:rPr>
                <w:rFonts w:ascii="宋体" w:hAnsi="Times Roman" w:eastAsia="宋体" w:cs="宋体"/>
                <w:color w:val="000000"/>
                <w:kern w:val="0"/>
                <w:szCs w:val="21"/>
              </w:rPr>
              <w:t>%</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1291A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巡检报告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6999B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周</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39EAB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EEA9B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F23256">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2BF8738D">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04E2F93C">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80319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报表服务</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FB299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完成时间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76BD5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≤1天</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49F99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根据相关业务部门要求，协助业务部门完成相关报表的制作，如遇特殊情况由双方协商确定</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F8C0A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03228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服务期内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51664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CE3AB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B0494A">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5299DC17">
        <w:tblPrEx>
          <w:tblCellMar>
            <w:top w:w="0" w:type="dxa"/>
            <w:left w:w="108" w:type="dxa"/>
            <w:bottom w:w="0" w:type="dxa"/>
            <w:right w:w="108" w:type="dxa"/>
          </w:tblCellMar>
        </w:tblPrEx>
        <w:trPr>
          <w:jc w:val="center"/>
        </w:trPr>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575AFA0">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DF914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紧急服务</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D5FA5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保障系统可用率99.9%</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F1740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w:t>
            </w:r>
            <w:r>
              <w:rPr>
                <w:rFonts w:ascii="宋体" w:hAnsi="Times Roman" w:eastAsia="宋体" w:cs="宋体"/>
                <w:color w:val="000000"/>
                <w:kern w:val="0"/>
                <w:szCs w:val="21"/>
              </w:rPr>
              <w:t>9</w:t>
            </w:r>
            <w:r>
              <w:rPr>
                <w:rFonts w:hint="eastAsia" w:ascii="宋体" w:hAnsi="Times Roman" w:eastAsia="宋体" w:cs="宋体"/>
                <w:color w:val="000000"/>
                <w:kern w:val="0"/>
                <w:szCs w:val="21"/>
              </w:rPr>
              <w:t>9.9</w:t>
            </w:r>
            <w:r>
              <w:rPr>
                <w:rFonts w:ascii="宋体" w:hAnsi="Times Roman" w:eastAsia="宋体" w:cs="宋体"/>
                <w:color w:val="000000"/>
                <w:kern w:val="0"/>
                <w:szCs w:val="21"/>
              </w:rPr>
              <w: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FD38F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如遇紧急情况下，须无条件满足甲方需求，以确保系统正常运行。</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8012D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5F55D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6BDDB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255E1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97836D">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40377CF7">
        <w:tblPrEx>
          <w:tblCellMar>
            <w:top w:w="0" w:type="dxa"/>
            <w:left w:w="108" w:type="dxa"/>
            <w:bottom w:w="0" w:type="dxa"/>
            <w:right w:w="108" w:type="dxa"/>
          </w:tblCellMar>
        </w:tblPrEx>
        <w:trPr>
          <w:jc w:val="center"/>
        </w:trPr>
        <w:tc>
          <w:tcPr>
            <w:tcW w:w="127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739D42FB">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安全服务</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1F953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eastAsia="宋体" w:cs="宋体"/>
                <w:color w:val="000000"/>
                <w:kern w:val="0"/>
                <w:szCs w:val="21"/>
              </w:rPr>
              <w:t>数据备份</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AC268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数据备份成功率100%</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4F419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=100%</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94264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运维团队完成每日数据备份</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8E604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0FFA0E">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服务期内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F8AD8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26B21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8C1611">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5CA93A73">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2BC1F410">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BCC59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安全检测</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F5A33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定期对应用系统、网络进行安全检测并修复</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82B7D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出具检测报告</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D3848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运维团队每月对系统进行安全检测</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91001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检测报告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BC8D2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月</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7EF59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A184F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75E39A">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4E50726">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63342DC2">
            <w:pPr>
              <w:widowControl/>
              <w:autoSpaceDE w:val="0"/>
              <w:autoSpaceDN w:val="0"/>
              <w:adjustRightInd w:val="0"/>
              <w:spacing w:line="276" w:lineRule="auto"/>
              <w:jc w:val="left"/>
              <w:rPr>
                <w:rFonts w:ascii="宋体" w:eastAsia="宋体" w:cs="宋体"/>
                <w:color w:val="000000"/>
                <w:kern w:val="0"/>
                <w:szCs w:val="21"/>
              </w:rPr>
            </w:pP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CC5F7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权限管理</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7738F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权限回收时间小于≤4小时</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D1225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≤4小时</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1E34F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人员变动时，接到通知后，撤消其服务权限，更改相关的密码，删除其专属账号，收回数字证书、出入证，以及相关的材料、文件等处理时间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E2189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D6D35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服务期内</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76931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F49A3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CCFBCF">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9B496FB">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314FF334">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6331E6C8">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应急技术支撑</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6F7F2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符合要求支撑人员2人</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6D64E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=2人</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C540D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重保及攻防演练期间，提供2名具备网络和安全中高级认证资格（网络：CCNP、CCIE等；安全：CISP、CISAW、CISP-PTE、CISSP、CISM等）的专业人员</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56790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6D4560">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0B532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830DB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B1DE93">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3D6C1E09">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4010CC0A">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5F705F97">
            <w:pPr>
              <w:widowControl/>
              <w:autoSpaceDE w:val="0"/>
              <w:autoSpaceDN w:val="0"/>
              <w:adjustRightInd w:val="0"/>
              <w:spacing w:line="276" w:lineRule="auto"/>
              <w:jc w:val="left"/>
              <w:rPr>
                <w:rFonts w:ascii="宋体" w:hAnsi="Times Roman" w:eastAsia="宋体" w:cs="宋体"/>
                <w:color w:val="000000"/>
                <w:kern w:val="0"/>
                <w:szCs w:val="21"/>
              </w:rPr>
            </w:pP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101A6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人员到岗时间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D155C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≤5工作日</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D593D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重保及攻防演练期间，自接到甲方通知后到指定现场进行防护的时间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951D9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9DAB3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BEF43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ACA10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AA4D81">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77251F5C">
        <w:tblPrEx>
          <w:tblCellMar>
            <w:top w:w="0" w:type="dxa"/>
            <w:left w:w="108" w:type="dxa"/>
            <w:bottom w:w="0" w:type="dxa"/>
            <w:right w:w="108" w:type="dxa"/>
          </w:tblCellMar>
        </w:tblPrEx>
        <w:trPr>
          <w:jc w:val="center"/>
        </w:trPr>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7C926BE">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AE0414E">
            <w:pPr>
              <w:widowControl/>
              <w:autoSpaceDE w:val="0"/>
              <w:autoSpaceDN w:val="0"/>
              <w:adjustRightInd w:val="0"/>
              <w:spacing w:line="276" w:lineRule="auto"/>
              <w:jc w:val="left"/>
              <w:rPr>
                <w:rFonts w:ascii="宋体" w:hAnsi="Times Roman" w:eastAsia="宋体" w:cs="宋体"/>
                <w:color w:val="000000"/>
                <w:kern w:val="0"/>
                <w:szCs w:val="21"/>
              </w:rPr>
            </w:pP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3637F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保障时间</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0D9E2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7*24小时</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780F9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重保及攻防演练期间，到甲方指定现场提供7*24小时安全保障服务，直到保障工作结束</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FABEC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76284C">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F4A81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E0D12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C45607">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2D161A59">
        <w:tblPrEx>
          <w:tblCellMar>
            <w:top w:w="0" w:type="dxa"/>
            <w:left w:w="108" w:type="dxa"/>
            <w:bottom w:w="0" w:type="dxa"/>
            <w:right w:w="108" w:type="dxa"/>
          </w:tblCellMar>
        </w:tblPrEx>
        <w:trPr>
          <w:jc w:val="center"/>
        </w:trPr>
        <w:tc>
          <w:tcPr>
            <w:tcW w:w="1276" w:type="dxa"/>
            <w:vMerge w:val="restart"/>
            <w:tcBorders>
              <w:left w:val="single" w:color="000000" w:sz="4" w:space="0"/>
              <w:right w:val="single" w:color="000000" w:sz="4" w:space="0"/>
            </w:tcBorders>
            <w:tcMar>
              <w:top w:w="0" w:type="dxa"/>
              <w:left w:w="0" w:type="dxa"/>
              <w:bottom w:w="0" w:type="dxa"/>
              <w:right w:w="0" w:type="dxa"/>
            </w:tcMar>
            <w:vAlign w:val="center"/>
          </w:tcPr>
          <w:p w14:paraId="6630FDF0">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培训服务</w:t>
            </w:r>
          </w:p>
        </w:tc>
        <w:tc>
          <w:tcPr>
            <w:tcW w:w="1276" w:type="dxa"/>
            <w:vMerge w:val="restart"/>
            <w:tcBorders>
              <w:left w:val="single" w:color="000000" w:sz="4" w:space="0"/>
              <w:right w:val="single" w:color="000000" w:sz="4" w:space="0"/>
            </w:tcBorders>
            <w:tcMar>
              <w:top w:w="0" w:type="dxa"/>
              <w:left w:w="0" w:type="dxa"/>
              <w:bottom w:w="0" w:type="dxa"/>
              <w:right w:w="0" w:type="dxa"/>
            </w:tcMar>
            <w:vAlign w:val="center"/>
          </w:tcPr>
          <w:p w14:paraId="008AC139">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运营人员现场培训</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2363C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培训次数</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B87CD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≥2次</w:t>
            </w:r>
          </w:p>
        </w:tc>
        <w:tc>
          <w:tcPr>
            <w:tcW w:w="1668"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1E9B74A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宋体" w:cs="宋体"/>
                <w:szCs w:val="21"/>
              </w:rPr>
              <w:t>提供运营和运维人员现场培训服务，确甲方相关人员具备日常运营和运维能力</w:t>
            </w:r>
          </w:p>
        </w:tc>
        <w:tc>
          <w:tcPr>
            <w:tcW w:w="850"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4CD78F2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培训报告</w:t>
            </w:r>
          </w:p>
        </w:tc>
        <w:tc>
          <w:tcPr>
            <w:tcW w:w="567"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049A91A6">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次</w:t>
            </w:r>
          </w:p>
        </w:tc>
        <w:tc>
          <w:tcPr>
            <w:tcW w:w="567"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38D24AA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7687794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vMerge w:val="restart"/>
            <w:tcBorders>
              <w:top w:val="single" w:color="000000" w:sz="4" w:space="0"/>
              <w:left w:val="single" w:color="000000" w:sz="4" w:space="0"/>
              <w:right w:val="single" w:color="000000" w:sz="4" w:space="0"/>
            </w:tcBorders>
            <w:tcMar>
              <w:top w:w="0" w:type="dxa"/>
              <w:left w:w="0" w:type="dxa"/>
              <w:bottom w:w="0" w:type="dxa"/>
              <w:right w:w="0" w:type="dxa"/>
            </w:tcMar>
            <w:vAlign w:val="center"/>
          </w:tcPr>
          <w:p w14:paraId="4643AB79">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8C8C886">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43FD968F">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285B7B3">
            <w:pPr>
              <w:widowControl/>
              <w:autoSpaceDE w:val="0"/>
              <w:autoSpaceDN w:val="0"/>
              <w:adjustRightInd w:val="0"/>
              <w:spacing w:line="276" w:lineRule="auto"/>
              <w:jc w:val="left"/>
              <w:rPr>
                <w:rFonts w:ascii="宋体" w:hAnsi="Times Roman" w:eastAsia="宋体" w:cs="宋体"/>
                <w:color w:val="000000"/>
                <w:kern w:val="0"/>
                <w:szCs w:val="21"/>
              </w:rPr>
            </w:pP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E5405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培训人数</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E3372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≥5人</w:t>
            </w:r>
          </w:p>
        </w:tc>
        <w:tc>
          <w:tcPr>
            <w:tcW w:w="1668" w:type="dxa"/>
            <w:vMerge w:val="continue"/>
            <w:tcBorders>
              <w:left w:val="single" w:color="000000" w:sz="4" w:space="0"/>
              <w:right w:val="single" w:color="000000" w:sz="4" w:space="0"/>
            </w:tcBorders>
            <w:tcMar>
              <w:top w:w="0" w:type="dxa"/>
              <w:left w:w="0" w:type="dxa"/>
              <w:bottom w:w="0" w:type="dxa"/>
              <w:right w:w="0" w:type="dxa"/>
            </w:tcMar>
            <w:vAlign w:val="center"/>
          </w:tcPr>
          <w:p w14:paraId="26C8C22B">
            <w:pPr>
              <w:widowControl/>
              <w:autoSpaceDE w:val="0"/>
              <w:autoSpaceDN w:val="0"/>
              <w:adjustRightInd w:val="0"/>
              <w:spacing w:line="276" w:lineRule="auto"/>
              <w:jc w:val="left"/>
              <w:rPr>
                <w:rFonts w:ascii="宋体" w:hAnsi="Times Roman" w:eastAsia="宋体" w:cs="宋体"/>
                <w:color w:val="000000"/>
                <w:kern w:val="0"/>
                <w:szCs w:val="21"/>
              </w:rPr>
            </w:pPr>
          </w:p>
        </w:tc>
        <w:tc>
          <w:tcPr>
            <w:tcW w:w="850" w:type="dxa"/>
            <w:vMerge w:val="continue"/>
            <w:tcBorders>
              <w:left w:val="single" w:color="000000" w:sz="4" w:space="0"/>
              <w:right w:val="single" w:color="000000" w:sz="4" w:space="0"/>
            </w:tcBorders>
            <w:tcMar>
              <w:top w:w="0" w:type="dxa"/>
              <w:left w:w="0" w:type="dxa"/>
              <w:bottom w:w="0" w:type="dxa"/>
              <w:right w:w="0" w:type="dxa"/>
            </w:tcMar>
            <w:vAlign w:val="center"/>
          </w:tcPr>
          <w:p w14:paraId="7ECDB905">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353FE702">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6F8E0AAB">
            <w:pPr>
              <w:widowControl/>
              <w:autoSpaceDE w:val="0"/>
              <w:autoSpaceDN w:val="0"/>
              <w:adjustRightInd w:val="0"/>
              <w:spacing w:line="276" w:lineRule="auto"/>
              <w:jc w:val="left"/>
              <w:rPr>
                <w:rFonts w:ascii="宋体" w:hAnsi="Times Roman" w:eastAsia="宋体" w:cs="宋体"/>
                <w:color w:val="000000"/>
                <w:kern w:val="0"/>
                <w:szCs w:val="21"/>
              </w:rPr>
            </w:pPr>
          </w:p>
        </w:tc>
        <w:tc>
          <w:tcPr>
            <w:tcW w:w="851" w:type="dxa"/>
            <w:vMerge w:val="continue"/>
            <w:tcBorders>
              <w:left w:val="single" w:color="000000" w:sz="4" w:space="0"/>
              <w:right w:val="single" w:color="000000" w:sz="4" w:space="0"/>
            </w:tcBorders>
            <w:tcMar>
              <w:top w:w="0" w:type="dxa"/>
              <w:left w:w="0" w:type="dxa"/>
              <w:bottom w:w="0" w:type="dxa"/>
              <w:right w:w="0" w:type="dxa"/>
            </w:tcMar>
            <w:vAlign w:val="center"/>
          </w:tcPr>
          <w:p w14:paraId="373C453F">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1E3956EF">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174E5070">
        <w:tblPrEx>
          <w:tblCellMar>
            <w:top w:w="0" w:type="dxa"/>
            <w:left w:w="108" w:type="dxa"/>
            <w:bottom w:w="0" w:type="dxa"/>
            <w:right w:w="108" w:type="dxa"/>
          </w:tblCellMar>
        </w:tblPrEx>
        <w:trPr>
          <w:jc w:val="center"/>
        </w:trPr>
        <w:tc>
          <w:tcPr>
            <w:tcW w:w="1276" w:type="dxa"/>
            <w:vMerge w:val="continue"/>
            <w:tcBorders>
              <w:left w:val="single" w:color="000000" w:sz="4" w:space="0"/>
              <w:right w:val="single" w:color="000000" w:sz="4" w:space="0"/>
            </w:tcBorders>
            <w:tcMar>
              <w:top w:w="0" w:type="dxa"/>
              <w:left w:w="0" w:type="dxa"/>
              <w:bottom w:w="0" w:type="dxa"/>
              <w:right w:w="0" w:type="dxa"/>
            </w:tcMar>
            <w:vAlign w:val="center"/>
          </w:tcPr>
          <w:p w14:paraId="69C16AE9">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restart"/>
            <w:tcBorders>
              <w:left w:val="single" w:color="000000" w:sz="4" w:space="0"/>
              <w:right w:val="single" w:color="000000" w:sz="4" w:space="0"/>
            </w:tcBorders>
            <w:tcMar>
              <w:top w:w="0" w:type="dxa"/>
              <w:left w:w="0" w:type="dxa"/>
              <w:bottom w:w="0" w:type="dxa"/>
              <w:right w:w="0" w:type="dxa"/>
            </w:tcMar>
            <w:vAlign w:val="center"/>
          </w:tcPr>
          <w:p w14:paraId="3C2F4942">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运维人员现场培训</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1A2FE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培训次数</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ADBE2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≥2次</w:t>
            </w:r>
          </w:p>
        </w:tc>
        <w:tc>
          <w:tcPr>
            <w:tcW w:w="1668" w:type="dxa"/>
            <w:vMerge w:val="continue"/>
            <w:tcBorders>
              <w:left w:val="single" w:color="000000" w:sz="4" w:space="0"/>
              <w:right w:val="single" w:color="000000" w:sz="4" w:space="0"/>
            </w:tcBorders>
            <w:tcMar>
              <w:top w:w="0" w:type="dxa"/>
              <w:left w:w="0" w:type="dxa"/>
              <w:bottom w:w="0" w:type="dxa"/>
              <w:right w:w="0" w:type="dxa"/>
            </w:tcMar>
            <w:vAlign w:val="center"/>
          </w:tcPr>
          <w:p w14:paraId="546613AC">
            <w:pPr>
              <w:widowControl/>
              <w:autoSpaceDE w:val="0"/>
              <w:autoSpaceDN w:val="0"/>
              <w:adjustRightInd w:val="0"/>
              <w:spacing w:line="276" w:lineRule="auto"/>
              <w:jc w:val="left"/>
              <w:rPr>
                <w:rFonts w:ascii="宋体" w:hAnsi="Times Roman" w:eastAsia="宋体" w:cs="宋体"/>
                <w:color w:val="000000"/>
                <w:kern w:val="0"/>
                <w:szCs w:val="21"/>
              </w:rPr>
            </w:pPr>
          </w:p>
        </w:tc>
        <w:tc>
          <w:tcPr>
            <w:tcW w:w="850" w:type="dxa"/>
            <w:vMerge w:val="continue"/>
            <w:tcBorders>
              <w:left w:val="single" w:color="000000" w:sz="4" w:space="0"/>
              <w:right w:val="single" w:color="000000" w:sz="4" w:space="0"/>
            </w:tcBorders>
            <w:tcMar>
              <w:top w:w="0" w:type="dxa"/>
              <w:left w:w="0" w:type="dxa"/>
              <w:bottom w:w="0" w:type="dxa"/>
              <w:right w:w="0" w:type="dxa"/>
            </w:tcMar>
            <w:vAlign w:val="center"/>
          </w:tcPr>
          <w:p w14:paraId="6B0D9E66">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0482A4F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23007A85">
            <w:pPr>
              <w:widowControl/>
              <w:autoSpaceDE w:val="0"/>
              <w:autoSpaceDN w:val="0"/>
              <w:adjustRightInd w:val="0"/>
              <w:spacing w:line="276" w:lineRule="auto"/>
              <w:jc w:val="left"/>
              <w:rPr>
                <w:rFonts w:ascii="宋体" w:hAnsi="Times Roman" w:eastAsia="宋体" w:cs="宋体"/>
                <w:color w:val="000000"/>
                <w:kern w:val="0"/>
                <w:szCs w:val="21"/>
              </w:rPr>
            </w:pPr>
          </w:p>
        </w:tc>
        <w:tc>
          <w:tcPr>
            <w:tcW w:w="851" w:type="dxa"/>
            <w:vMerge w:val="continue"/>
            <w:tcBorders>
              <w:left w:val="single" w:color="000000" w:sz="4" w:space="0"/>
              <w:right w:val="single" w:color="000000" w:sz="4" w:space="0"/>
            </w:tcBorders>
            <w:tcMar>
              <w:top w:w="0" w:type="dxa"/>
              <w:left w:w="0" w:type="dxa"/>
              <w:bottom w:w="0" w:type="dxa"/>
              <w:right w:w="0" w:type="dxa"/>
            </w:tcMar>
            <w:vAlign w:val="center"/>
          </w:tcPr>
          <w:p w14:paraId="6468F66A">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right w:val="single" w:color="000000" w:sz="4" w:space="0"/>
            </w:tcBorders>
            <w:tcMar>
              <w:top w:w="0" w:type="dxa"/>
              <w:left w:w="0" w:type="dxa"/>
              <w:bottom w:w="0" w:type="dxa"/>
              <w:right w:w="0" w:type="dxa"/>
            </w:tcMar>
            <w:vAlign w:val="center"/>
          </w:tcPr>
          <w:p w14:paraId="29C21FE5">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6BE2E593">
        <w:tblPrEx>
          <w:tblCellMar>
            <w:top w:w="0" w:type="dxa"/>
            <w:left w:w="108" w:type="dxa"/>
            <w:bottom w:w="0" w:type="dxa"/>
            <w:right w:w="108" w:type="dxa"/>
          </w:tblCellMar>
        </w:tblPrEx>
        <w:trPr>
          <w:jc w:val="center"/>
        </w:trPr>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32708DAA">
            <w:pPr>
              <w:widowControl/>
              <w:autoSpaceDE w:val="0"/>
              <w:autoSpaceDN w:val="0"/>
              <w:adjustRightInd w:val="0"/>
              <w:spacing w:line="276" w:lineRule="auto"/>
              <w:jc w:val="left"/>
              <w:rPr>
                <w:rFonts w:ascii="宋体" w:eastAsia="宋体" w:cs="宋体"/>
                <w:color w:val="000000"/>
                <w:kern w:val="0"/>
                <w:szCs w:val="21"/>
              </w:rPr>
            </w:pPr>
          </w:p>
        </w:tc>
        <w:tc>
          <w:tcPr>
            <w:tcW w:w="1276"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22F77658">
            <w:pPr>
              <w:widowControl/>
              <w:autoSpaceDE w:val="0"/>
              <w:autoSpaceDN w:val="0"/>
              <w:adjustRightInd w:val="0"/>
              <w:spacing w:line="276" w:lineRule="auto"/>
              <w:jc w:val="left"/>
              <w:rPr>
                <w:rFonts w:ascii="宋体" w:hAnsi="Times Roman" w:eastAsia="宋体" w:cs="宋体"/>
                <w:color w:val="000000"/>
                <w:kern w:val="0"/>
                <w:szCs w:val="21"/>
              </w:rPr>
            </w:pP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83E1A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培训人数</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750C7B">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≥5人</w:t>
            </w:r>
          </w:p>
        </w:tc>
        <w:tc>
          <w:tcPr>
            <w:tcW w:w="1668"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256C765E">
            <w:pPr>
              <w:widowControl/>
              <w:autoSpaceDE w:val="0"/>
              <w:autoSpaceDN w:val="0"/>
              <w:adjustRightInd w:val="0"/>
              <w:spacing w:line="276" w:lineRule="auto"/>
              <w:jc w:val="left"/>
              <w:rPr>
                <w:rFonts w:ascii="宋体" w:hAnsi="Times Roman" w:eastAsia="宋体" w:cs="宋体"/>
                <w:color w:val="000000"/>
                <w:kern w:val="0"/>
                <w:szCs w:val="21"/>
              </w:rPr>
            </w:pPr>
          </w:p>
        </w:tc>
        <w:tc>
          <w:tcPr>
            <w:tcW w:w="850"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4D05CA04">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223E6EF">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65F617F">
            <w:pPr>
              <w:widowControl/>
              <w:autoSpaceDE w:val="0"/>
              <w:autoSpaceDN w:val="0"/>
              <w:adjustRightInd w:val="0"/>
              <w:spacing w:line="276" w:lineRule="auto"/>
              <w:jc w:val="left"/>
              <w:rPr>
                <w:rFonts w:ascii="宋体" w:hAnsi="Times Roman" w:eastAsia="宋体" w:cs="宋体"/>
                <w:color w:val="000000"/>
                <w:kern w:val="0"/>
                <w:szCs w:val="21"/>
              </w:rPr>
            </w:pPr>
          </w:p>
        </w:tc>
        <w:tc>
          <w:tcPr>
            <w:tcW w:w="851"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742C3CF2">
            <w:pPr>
              <w:widowControl/>
              <w:autoSpaceDE w:val="0"/>
              <w:autoSpaceDN w:val="0"/>
              <w:adjustRightInd w:val="0"/>
              <w:spacing w:line="276" w:lineRule="auto"/>
              <w:jc w:val="left"/>
              <w:rPr>
                <w:rFonts w:ascii="宋体" w:hAnsi="Times Roman" w:eastAsia="宋体" w:cs="宋体"/>
                <w:color w:val="000000"/>
                <w:kern w:val="0"/>
                <w:szCs w:val="21"/>
              </w:rPr>
            </w:pPr>
          </w:p>
        </w:tc>
        <w:tc>
          <w:tcPr>
            <w:tcW w:w="567" w:type="dxa"/>
            <w:vMerge w:val="continue"/>
            <w:tcBorders>
              <w:left w:val="single" w:color="000000" w:sz="4" w:space="0"/>
              <w:bottom w:val="single" w:color="000000" w:sz="4" w:space="0"/>
              <w:right w:val="single" w:color="000000" w:sz="4" w:space="0"/>
            </w:tcBorders>
            <w:tcMar>
              <w:top w:w="0" w:type="dxa"/>
              <w:left w:w="0" w:type="dxa"/>
              <w:bottom w:w="0" w:type="dxa"/>
              <w:right w:w="0" w:type="dxa"/>
            </w:tcMar>
            <w:vAlign w:val="center"/>
          </w:tcPr>
          <w:p w14:paraId="602AFAC3">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4590B984">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7A8E3754">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服务支持管理</w:t>
            </w:r>
          </w:p>
        </w:tc>
        <w:tc>
          <w:tcPr>
            <w:tcW w:w="1276"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3CED865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服务级别类型</w:t>
            </w:r>
          </w:p>
        </w:tc>
        <w:tc>
          <w:tcPr>
            <w:tcW w:w="1451"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7F47253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服务级别指标</w:t>
            </w:r>
          </w:p>
        </w:tc>
        <w:tc>
          <w:tcPr>
            <w:tcW w:w="850"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676CCED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合格</w:t>
            </w:r>
          </w:p>
        </w:tc>
        <w:tc>
          <w:tcPr>
            <w:tcW w:w="1668"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54479F6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定义</w:t>
            </w:r>
          </w:p>
        </w:tc>
        <w:tc>
          <w:tcPr>
            <w:tcW w:w="850"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5ABB7DC6">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数据来源</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65D4EDB8">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周期</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34B08F0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类型</w:t>
            </w:r>
          </w:p>
        </w:tc>
        <w:tc>
          <w:tcPr>
            <w:tcW w:w="851"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746CAC1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必选指标</w:t>
            </w:r>
          </w:p>
        </w:tc>
        <w:tc>
          <w:tcPr>
            <w:tcW w:w="567" w:type="dxa"/>
            <w:tcBorders>
              <w:top w:val="single" w:color="000000" w:sz="4" w:space="0"/>
              <w:left w:val="single" w:color="000000" w:sz="4" w:space="0"/>
              <w:bottom w:val="single" w:color="000000" w:sz="4" w:space="0"/>
              <w:right w:val="single" w:color="000000" w:sz="4" w:space="0"/>
            </w:tcBorders>
            <w:shd w:val="clear" w:color="auto" w:fill="C0C0C0"/>
            <w:tcMar>
              <w:top w:w="0" w:type="dxa"/>
              <w:left w:w="0" w:type="dxa"/>
              <w:bottom w:w="0" w:type="dxa"/>
              <w:right w:w="0" w:type="dxa"/>
            </w:tcMar>
            <w:vAlign w:val="center"/>
          </w:tcPr>
          <w:p w14:paraId="08126A9D">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备注</w:t>
            </w:r>
          </w:p>
        </w:tc>
      </w:tr>
      <w:tr w14:paraId="0212E699">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29C46F">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工作记录</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61BB1A">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运维服务记录</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53BA0C">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对每次运维事件进行记录</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1543E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每次运维事件均有记录</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DA3A0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对每次运维事件进行记录并出具书面服务报告单</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F0DAD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服务报告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090C3A">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Times Roman" w:hAnsi="Times Roman" w:eastAsia="宋体" w:cs="Times Roman"/>
                <w:color w:val="000000"/>
                <w:kern w:val="0"/>
                <w:szCs w:val="21"/>
              </w:rPr>
              <w:t>每次</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26F2E5">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关键</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4135A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B30D52">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0940ACD4">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252CF6">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文档规范性</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3AA7B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差错次数</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4214B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差错发生次数目标为</w:t>
            </w:r>
            <w:r>
              <w:rPr>
                <w:rFonts w:ascii="宋体" w:hAnsi="Times Roman" w:eastAsia="宋体" w:cs="宋体"/>
                <w:color w:val="000000"/>
                <w:kern w:val="0"/>
                <w:szCs w:val="21"/>
              </w:rPr>
              <w:t>0</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219183">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=0</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D8310B">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关键文档丢失每次算一次差错，文档中有错误，每发现</w:t>
            </w:r>
            <w:r>
              <w:rPr>
                <w:rFonts w:ascii="宋体" w:hAnsi="Times Roman" w:eastAsia="宋体" w:cs="宋体"/>
                <w:color w:val="000000"/>
                <w:kern w:val="0"/>
                <w:szCs w:val="21"/>
              </w:rPr>
              <w:t>5</w:t>
            </w:r>
            <w:r>
              <w:rPr>
                <w:rFonts w:hint="eastAsia" w:ascii="宋体" w:hAnsi="Times Roman" w:eastAsia="宋体" w:cs="宋体"/>
                <w:color w:val="000000"/>
                <w:kern w:val="0"/>
                <w:szCs w:val="21"/>
              </w:rPr>
              <w:t>处算一次差错</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DE66C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1912AA">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EDFD11">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1251EF">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DE3916">
            <w:pPr>
              <w:widowControl/>
              <w:autoSpaceDE w:val="0"/>
              <w:autoSpaceDN w:val="0"/>
              <w:adjustRightInd w:val="0"/>
              <w:spacing w:line="276" w:lineRule="auto"/>
              <w:jc w:val="left"/>
              <w:rPr>
                <w:rFonts w:ascii="Times Roman" w:hAnsi="Times Roman" w:eastAsia="宋体" w:cs="Times Roman"/>
                <w:color w:val="000000"/>
                <w:kern w:val="0"/>
                <w:szCs w:val="21"/>
              </w:rPr>
            </w:pPr>
          </w:p>
        </w:tc>
      </w:tr>
      <w:tr w14:paraId="793F83EB">
        <w:tblPrEx>
          <w:tblCellMar>
            <w:top w:w="0" w:type="dxa"/>
            <w:left w:w="108" w:type="dxa"/>
            <w:bottom w:w="0" w:type="dxa"/>
            <w:right w:w="108" w:type="dxa"/>
          </w:tblCellMar>
        </w:tblPrEx>
        <w:trPr>
          <w:jc w:val="center"/>
        </w:trPr>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32FE76">
            <w:pPr>
              <w:widowControl/>
              <w:autoSpaceDE w:val="0"/>
              <w:autoSpaceDN w:val="0"/>
              <w:adjustRightInd w:val="0"/>
              <w:spacing w:line="276" w:lineRule="auto"/>
              <w:jc w:val="left"/>
              <w:rPr>
                <w:rFonts w:ascii="宋体" w:eastAsia="宋体" w:cs="宋体"/>
                <w:color w:val="000000"/>
                <w:kern w:val="0"/>
                <w:szCs w:val="21"/>
              </w:rPr>
            </w:pPr>
            <w:r>
              <w:rPr>
                <w:rFonts w:hint="eastAsia" w:ascii="宋体" w:eastAsia="宋体" w:cs="宋体"/>
                <w:color w:val="000000"/>
                <w:kern w:val="0"/>
                <w:szCs w:val="21"/>
              </w:rPr>
              <w:t>文档交付及时性</w:t>
            </w:r>
          </w:p>
        </w:tc>
        <w:tc>
          <w:tcPr>
            <w:tcW w:w="12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58A63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延迟天数</w:t>
            </w:r>
          </w:p>
        </w:tc>
        <w:tc>
          <w:tcPr>
            <w:tcW w:w="14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EE8D44">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延迟次数不多于</w:t>
            </w:r>
            <w:r>
              <w:rPr>
                <w:rFonts w:ascii="宋体" w:hAnsi="Times Roman" w:eastAsia="宋体" w:cs="宋体"/>
                <w:color w:val="000000"/>
                <w:kern w:val="0"/>
                <w:szCs w:val="21"/>
              </w:rPr>
              <w:t>1</w:t>
            </w:r>
            <w:r>
              <w:rPr>
                <w:rFonts w:hint="eastAsia" w:ascii="宋体" w:hAnsi="Times Roman" w:eastAsia="宋体" w:cs="宋体"/>
                <w:color w:val="000000"/>
                <w:kern w:val="0"/>
                <w:szCs w:val="21"/>
              </w:rPr>
              <w:t>次</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AE1D2E">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≤1</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A23F62">
            <w:pPr>
              <w:widowControl/>
              <w:autoSpaceDE w:val="0"/>
              <w:autoSpaceDN w:val="0"/>
              <w:adjustRightInd w:val="0"/>
              <w:spacing w:line="276" w:lineRule="auto"/>
              <w:jc w:val="left"/>
              <w:rPr>
                <w:rFonts w:ascii="Times Roman" w:hAnsi="Times Roman" w:eastAsia="宋体" w:cs="Times Roman"/>
                <w:color w:val="000000"/>
                <w:kern w:val="0"/>
                <w:szCs w:val="21"/>
              </w:rPr>
            </w:pPr>
            <w:r>
              <w:rPr>
                <w:rFonts w:hint="eastAsia" w:ascii="宋体" w:hAnsi="Times Roman" w:eastAsia="宋体" w:cs="宋体"/>
                <w:color w:val="000000"/>
                <w:kern w:val="0"/>
                <w:szCs w:val="21"/>
              </w:rPr>
              <w:t>每份文档每延迟</w:t>
            </w:r>
            <w:r>
              <w:rPr>
                <w:rFonts w:ascii="宋体" w:hAnsi="Times Roman" w:eastAsia="宋体" w:cs="宋体"/>
                <w:color w:val="000000"/>
                <w:kern w:val="0"/>
                <w:szCs w:val="21"/>
              </w:rPr>
              <w:t>1</w:t>
            </w:r>
            <w:r>
              <w:rPr>
                <w:rFonts w:hint="eastAsia" w:ascii="宋体" w:hAnsi="Times Roman" w:eastAsia="宋体" w:cs="宋体"/>
                <w:color w:val="000000"/>
                <w:kern w:val="0"/>
                <w:szCs w:val="21"/>
              </w:rPr>
              <w:t>天，记</w:t>
            </w:r>
            <w:r>
              <w:rPr>
                <w:rFonts w:ascii="宋体" w:hAnsi="Times Roman" w:eastAsia="宋体" w:cs="宋体"/>
                <w:color w:val="000000"/>
                <w:kern w:val="0"/>
                <w:szCs w:val="21"/>
              </w:rPr>
              <w:t>1</w:t>
            </w:r>
            <w:r>
              <w:rPr>
                <w:rFonts w:hint="eastAsia" w:ascii="宋体" w:hAnsi="Times Roman" w:eastAsia="宋体" w:cs="宋体"/>
                <w:color w:val="000000"/>
                <w:kern w:val="0"/>
                <w:szCs w:val="21"/>
              </w:rPr>
              <w:t>次差错。</w:t>
            </w:r>
          </w:p>
        </w:tc>
        <w:tc>
          <w:tcPr>
            <w:tcW w:w="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666BFD">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系统报告</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49BD80">
            <w:pPr>
              <w:widowControl/>
              <w:autoSpaceDE w:val="0"/>
              <w:autoSpaceDN w:val="0"/>
              <w:adjustRightInd w:val="0"/>
              <w:spacing w:line="276" w:lineRule="auto"/>
              <w:jc w:val="left"/>
              <w:rPr>
                <w:rFonts w:ascii="Times Roman" w:hAnsi="Times Roman" w:eastAsia="宋体" w:cs="Times Roman"/>
                <w:color w:val="000000"/>
                <w:kern w:val="0"/>
                <w:szCs w:val="21"/>
              </w:rPr>
            </w:pP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F7A340">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一般</w:t>
            </w:r>
          </w:p>
        </w:tc>
        <w:tc>
          <w:tcPr>
            <w:tcW w:w="8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3EC097">
            <w:pPr>
              <w:widowControl/>
              <w:autoSpaceDE w:val="0"/>
              <w:autoSpaceDN w:val="0"/>
              <w:adjustRightInd w:val="0"/>
              <w:spacing w:line="276" w:lineRule="auto"/>
              <w:jc w:val="left"/>
              <w:rPr>
                <w:rFonts w:ascii="宋体" w:hAnsi="Times Roman" w:eastAsia="宋体" w:cs="宋体"/>
                <w:color w:val="000000"/>
                <w:kern w:val="0"/>
                <w:szCs w:val="21"/>
              </w:rPr>
            </w:pPr>
            <w:r>
              <w:rPr>
                <w:rFonts w:hint="eastAsia" w:ascii="宋体" w:hAnsi="Times Roman" w:eastAsia="宋体" w:cs="宋体"/>
                <w:color w:val="000000"/>
                <w:kern w:val="0"/>
                <w:szCs w:val="21"/>
              </w:rPr>
              <w:t>必选</w:t>
            </w:r>
          </w:p>
        </w:tc>
        <w:tc>
          <w:tcPr>
            <w:tcW w:w="5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6F41E3">
            <w:pPr>
              <w:widowControl/>
              <w:autoSpaceDE w:val="0"/>
              <w:autoSpaceDN w:val="0"/>
              <w:adjustRightInd w:val="0"/>
              <w:spacing w:line="276" w:lineRule="auto"/>
              <w:jc w:val="left"/>
              <w:rPr>
                <w:rFonts w:ascii="Times Roman" w:hAnsi="Times Roman" w:eastAsia="宋体" w:cs="Times Roman"/>
                <w:color w:val="000000"/>
                <w:kern w:val="0"/>
                <w:szCs w:val="21"/>
              </w:rPr>
            </w:pPr>
          </w:p>
        </w:tc>
      </w:tr>
    </w:tbl>
    <w:p w14:paraId="14B4C223"/>
    <w:p w14:paraId="7588849D"/>
    <w:p w14:paraId="11547B51">
      <w:pPr>
        <w:pStyle w:val="5"/>
        <w:spacing w:before="260" w:after="260"/>
        <w:jc w:val="both"/>
        <w:rPr>
          <w:rFonts w:hint="eastAsia" w:ascii="宋体" w:hAnsi="宋体"/>
          <w:szCs w:val="28"/>
        </w:rPr>
      </w:pPr>
      <w:bookmarkStart w:id="401" w:name="_Toc180265744"/>
      <w:r>
        <w:rPr>
          <w:rFonts w:hint="eastAsia" w:ascii="宋体" w:hAnsi="宋体"/>
          <w:szCs w:val="28"/>
        </w:rPr>
        <w:t>组织架构方案</w:t>
      </w:r>
      <w:bookmarkEnd w:id="401"/>
    </w:p>
    <w:p w14:paraId="710B84B3">
      <w:pPr>
        <w:pStyle w:val="6"/>
        <w:spacing w:before="260" w:after="260" w:line="416" w:lineRule="auto"/>
        <w:jc w:val="both"/>
        <w:rPr>
          <w:rFonts w:hint="eastAsia" w:ascii="宋体" w:hAnsi="宋体" w:cstheme="majorBidi"/>
          <w:szCs w:val="24"/>
        </w:rPr>
      </w:pPr>
      <w:bookmarkStart w:id="402" w:name="_Toc180265745"/>
      <w:r>
        <w:rPr>
          <w:rFonts w:ascii="宋体" w:hAnsi="宋体" w:cstheme="majorBidi"/>
          <w:szCs w:val="24"/>
        </w:rPr>
        <w:t>团队成员组成</w:t>
      </w:r>
      <w:bookmarkEnd w:id="402"/>
    </w:p>
    <w:p w14:paraId="61EEC2A8">
      <w:r>
        <w:rPr>
          <w:rFonts w:hint="eastAsia"/>
        </w:rPr>
        <w:drawing>
          <wp:inline distT="0" distB="0" distL="0" distR="0">
            <wp:extent cx="5274310" cy="3076575"/>
            <wp:effectExtent l="0" t="0" r="0" b="0"/>
            <wp:docPr id="8" name="图表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4" r:lo="rId155" r:qs="rId156" r:cs="rId157"/>
              </a:graphicData>
            </a:graphic>
          </wp:inline>
        </w:drawing>
      </w:r>
    </w:p>
    <w:p w14:paraId="1FAE9C2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团队成员由运营经理、技术保障人员、应用系统管理人员、CA运营服务人员（如需）、注册审核人员、技术支持人员、客服人员组成、运维经理、系统管理员、安全管理员、应用管理员组成。</w:t>
      </w:r>
    </w:p>
    <w:p w14:paraId="08A90D9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承诺运营运维团队人员配置将不少于10人，为保障系统正常运营，将根据系统运营过程中各项工作开展进度、业务规模需要和招标人要求，随时增加运营团队成员配置，包括且不限于客服人员、应用系统管理人员、技术保障人员、技术支持人员、CA运营服务人员、系统管理员、安全管理员、应用管理员等。</w:t>
      </w:r>
    </w:p>
    <w:p w14:paraId="587BEF2A">
      <w:pPr>
        <w:pStyle w:val="6"/>
        <w:spacing w:before="260" w:after="260" w:line="416" w:lineRule="auto"/>
        <w:jc w:val="both"/>
        <w:rPr>
          <w:rFonts w:hint="eastAsia" w:ascii="宋体" w:hAnsi="宋体" w:cstheme="majorBidi"/>
          <w:szCs w:val="24"/>
        </w:rPr>
      </w:pPr>
      <w:bookmarkStart w:id="403" w:name="_Toc180265746"/>
      <w:r>
        <w:rPr>
          <w:rFonts w:hint="eastAsia" w:ascii="宋体" w:hAnsi="宋体" w:cstheme="majorBidi"/>
          <w:szCs w:val="24"/>
        </w:rPr>
        <w:t>团队成员职责</w:t>
      </w:r>
      <w:bookmarkEnd w:id="403"/>
    </w:p>
    <w:tbl>
      <w:tblPr>
        <w:tblStyle w:val="1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843"/>
        <w:gridCol w:w="5295"/>
      </w:tblGrid>
      <w:tr w14:paraId="35EF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259301C4">
            <w:pPr>
              <w:spacing w:line="276" w:lineRule="auto"/>
              <w:jc w:val="center"/>
              <w:rPr>
                <w:szCs w:val="21"/>
              </w:rPr>
            </w:pPr>
            <w:r>
              <w:rPr>
                <w:rFonts w:hint="eastAsia"/>
                <w:szCs w:val="21"/>
              </w:rPr>
              <w:t>类别</w:t>
            </w:r>
          </w:p>
        </w:tc>
        <w:tc>
          <w:tcPr>
            <w:tcW w:w="1843" w:type="dxa"/>
            <w:vAlign w:val="center"/>
          </w:tcPr>
          <w:p w14:paraId="13B77813">
            <w:pPr>
              <w:spacing w:line="276" w:lineRule="auto"/>
              <w:jc w:val="center"/>
              <w:rPr>
                <w:szCs w:val="21"/>
              </w:rPr>
            </w:pPr>
            <w:r>
              <w:rPr>
                <w:rFonts w:hint="eastAsia"/>
                <w:szCs w:val="21"/>
              </w:rPr>
              <w:t>角色</w:t>
            </w:r>
          </w:p>
        </w:tc>
        <w:tc>
          <w:tcPr>
            <w:tcW w:w="5295" w:type="dxa"/>
            <w:vAlign w:val="center"/>
          </w:tcPr>
          <w:p w14:paraId="00862967">
            <w:pPr>
              <w:spacing w:line="276" w:lineRule="auto"/>
              <w:jc w:val="center"/>
              <w:rPr>
                <w:szCs w:val="21"/>
              </w:rPr>
            </w:pPr>
            <w:r>
              <w:rPr>
                <w:rFonts w:hint="eastAsia"/>
                <w:szCs w:val="21"/>
              </w:rPr>
              <w:t>主要职责</w:t>
            </w:r>
          </w:p>
        </w:tc>
      </w:tr>
      <w:tr w14:paraId="1209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vAlign w:val="center"/>
          </w:tcPr>
          <w:p w14:paraId="2DCF70B6">
            <w:pPr>
              <w:spacing w:line="276" w:lineRule="auto"/>
              <w:jc w:val="center"/>
              <w:rPr>
                <w:szCs w:val="21"/>
              </w:rPr>
            </w:pPr>
            <w:r>
              <w:rPr>
                <w:rFonts w:hint="eastAsia"/>
                <w:szCs w:val="21"/>
              </w:rPr>
              <w:t>运营</w:t>
            </w:r>
          </w:p>
        </w:tc>
        <w:tc>
          <w:tcPr>
            <w:tcW w:w="1843" w:type="dxa"/>
            <w:vAlign w:val="center"/>
          </w:tcPr>
          <w:p w14:paraId="0A23C28C">
            <w:pPr>
              <w:spacing w:line="276" w:lineRule="auto"/>
              <w:jc w:val="center"/>
              <w:rPr>
                <w:szCs w:val="21"/>
              </w:rPr>
            </w:pPr>
            <w:r>
              <w:rPr>
                <w:rFonts w:hint="eastAsia"/>
                <w:szCs w:val="21"/>
              </w:rPr>
              <w:t>运营经理</w:t>
            </w:r>
          </w:p>
        </w:tc>
        <w:tc>
          <w:tcPr>
            <w:tcW w:w="5295" w:type="dxa"/>
            <w:vAlign w:val="center"/>
          </w:tcPr>
          <w:p w14:paraId="18EB32D4">
            <w:pPr>
              <w:spacing w:line="276" w:lineRule="auto"/>
              <w:jc w:val="left"/>
              <w:rPr>
                <w:szCs w:val="21"/>
              </w:rPr>
            </w:pPr>
            <w:r>
              <w:rPr>
                <w:szCs w:val="21"/>
              </w:rPr>
              <w:t>负责</w:t>
            </w:r>
            <w:r>
              <w:rPr>
                <w:rFonts w:hint="eastAsia"/>
                <w:szCs w:val="21"/>
              </w:rPr>
              <w:t>运营</w:t>
            </w:r>
            <w:r>
              <w:rPr>
                <w:szCs w:val="21"/>
              </w:rPr>
              <w:t>服务的整体管理和协调</w:t>
            </w:r>
            <w:r>
              <w:rPr>
                <w:rFonts w:hint="eastAsia"/>
                <w:szCs w:val="21"/>
              </w:rPr>
              <w:t>；</w:t>
            </w:r>
            <w:r>
              <w:rPr>
                <w:szCs w:val="21"/>
              </w:rPr>
              <w:t>制定</w:t>
            </w:r>
            <w:r>
              <w:rPr>
                <w:rFonts w:hint="eastAsia"/>
                <w:szCs w:val="21"/>
              </w:rPr>
              <w:t>运营服务工作</w:t>
            </w:r>
            <w:r>
              <w:rPr>
                <w:szCs w:val="21"/>
              </w:rPr>
              <w:t>计划</w:t>
            </w:r>
            <w:r>
              <w:rPr>
                <w:rFonts w:hint="eastAsia"/>
                <w:szCs w:val="21"/>
              </w:rPr>
              <w:t>和相关制度；</w:t>
            </w:r>
            <w:r>
              <w:rPr>
                <w:szCs w:val="21"/>
              </w:rPr>
              <w:t>监督</w:t>
            </w:r>
            <w:r>
              <w:rPr>
                <w:rFonts w:hint="eastAsia"/>
                <w:szCs w:val="21"/>
              </w:rPr>
              <w:t>运营</w:t>
            </w:r>
            <w:r>
              <w:rPr>
                <w:szCs w:val="21"/>
              </w:rPr>
              <w:t>工作的</w:t>
            </w:r>
            <w:r>
              <w:rPr>
                <w:rFonts w:hint="eastAsia"/>
                <w:szCs w:val="21"/>
              </w:rPr>
              <w:t>服务</w:t>
            </w:r>
            <w:r>
              <w:rPr>
                <w:szCs w:val="21"/>
              </w:rPr>
              <w:t>情况</w:t>
            </w:r>
            <w:r>
              <w:rPr>
                <w:rFonts w:hint="eastAsia"/>
                <w:szCs w:val="21"/>
              </w:rPr>
              <w:t>。</w:t>
            </w:r>
          </w:p>
        </w:tc>
      </w:tr>
      <w:tr w14:paraId="7910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17EA9F18">
            <w:pPr>
              <w:spacing w:line="276" w:lineRule="auto"/>
              <w:jc w:val="center"/>
              <w:rPr>
                <w:szCs w:val="21"/>
              </w:rPr>
            </w:pPr>
          </w:p>
        </w:tc>
        <w:tc>
          <w:tcPr>
            <w:tcW w:w="1843" w:type="dxa"/>
            <w:vAlign w:val="center"/>
          </w:tcPr>
          <w:p w14:paraId="1EE611AB">
            <w:pPr>
              <w:spacing w:line="276" w:lineRule="auto"/>
              <w:jc w:val="center"/>
              <w:rPr>
                <w:szCs w:val="21"/>
              </w:rPr>
            </w:pPr>
            <w:r>
              <w:rPr>
                <w:rFonts w:hint="eastAsia"/>
                <w:szCs w:val="21"/>
              </w:rPr>
              <w:t>技术保障人员</w:t>
            </w:r>
          </w:p>
        </w:tc>
        <w:tc>
          <w:tcPr>
            <w:tcW w:w="5295" w:type="dxa"/>
            <w:vAlign w:val="center"/>
          </w:tcPr>
          <w:p w14:paraId="7B409E91">
            <w:pPr>
              <w:spacing w:line="276" w:lineRule="auto"/>
              <w:jc w:val="left"/>
              <w:rPr>
                <w:szCs w:val="21"/>
              </w:rPr>
            </w:pPr>
            <w:r>
              <w:rPr>
                <w:rFonts w:hint="eastAsia"/>
                <w:szCs w:val="21"/>
              </w:rPr>
              <w:t>结合招标人要求协调并保障系统交付；协调并保障系统运营过程中的系统集成、持续优化及检测认证等服务顺利完成；</w:t>
            </w:r>
          </w:p>
        </w:tc>
      </w:tr>
      <w:tr w14:paraId="2C2B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7796EE6A">
            <w:pPr>
              <w:spacing w:line="276" w:lineRule="auto"/>
              <w:jc w:val="center"/>
              <w:rPr>
                <w:szCs w:val="21"/>
              </w:rPr>
            </w:pPr>
          </w:p>
        </w:tc>
        <w:tc>
          <w:tcPr>
            <w:tcW w:w="1843" w:type="dxa"/>
            <w:vAlign w:val="center"/>
          </w:tcPr>
          <w:p w14:paraId="74455782">
            <w:pPr>
              <w:spacing w:line="276" w:lineRule="auto"/>
              <w:jc w:val="center"/>
              <w:rPr>
                <w:szCs w:val="21"/>
              </w:rPr>
            </w:pPr>
            <w:r>
              <w:rPr>
                <w:rFonts w:hint="eastAsia"/>
                <w:szCs w:val="21"/>
              </w:rPr>
              <w:t>应用系统管理员</w:t>
            </w:r>
          </w:p>
        </w:tc>
        <w:tc>
          <w:tcPr>
            <w:tcW w:w="5295" w:type="dxa"/>
            <w:vAlign w:val="center"/>
          </w:tcPr>
          <w:p w14:paraId="233B11EF">
            <w:pPr>
              <w:spacing w:line="276" w:lineRule="auto"/>
              <w:jc w:val="left"/>
              <w:rPr>
                <w:szCs w:val="21"/>
              </w:rPr>
            </w:pPr>
            <w:r>
              <w:rPr>
                <w:rFonts w:hint="eastAsia"/>
                <w:szCs w:val="21"/>
              </w:rPr>
              <w:t>负责交易信息库主数据管理、系统日常配置管理相关服务，确保系统管理运营稳定、高效，保障招标人采购业务开展顺利。</w:t>
            </w:r>
          </w:p>
        </w:tc>
      </w:tr>
      <w:tr w14:paraId="1AF5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285C6DAC">
            <w:pPr>
              <w:spacing w:line="276" w:lineRule="auto"/>
              <w:jc w:val="center"/>
              <w:rPr>
                <w:szCs w:val="21"/>
              </w:rPr>
            </w:pPr>
          </w:p>
        </w:tc>
        <w:tc>
          <w:tcPr>
            <w:tcW w:w="1843" w:type="dxa"/>
            <w:vAlign w:val="center"/>
          </w:tcPr>
          <w:p w14:paraId="7CE83978">
            <w:pPr>
              <w:spacing w:line="276" w:lineRule="auto"/>
              <w:jc w:val="center"/>
              <w:rPr>
                <w:szCs w:val="21"/>
              </w:rPr>
            </w:pPr>
            <w:r>
              <w:rPr>
                <w:rFonts w:hint="eastAsia"/>
                <w:szCs w:val="21"/>
              </w:rPr>
              <w:t>CA运营服务人员（如需）</w:t>
            </w:r>
          </w:p>
        </w:tc>
        <w:tc>
          <w:tcPr>
            <w:tcW w:w="5295" w:type="dxa"/>
            <w:vAlign w:val="center"/>
          </w:tcPr>
          <w:p w14:paraId="73F1B690">
            <w:pPr>
              <w:spacing w:line="276" w:lineRule="auto"/>
              <w:jc w:val="left"/>
              <w:rPr>
                <w:szCs w:val="21"/>
              </w:rPr>
            </w:pPr>
            <w:r>
              <w:rPr>
                <w:rFonts w:hint="eastAsia"/>
                <w:szCs w:val="21"/>
              </w:rPr>
              <w:t>响应CA数字认证证书办理申请，审核办理材料，按照招标人要求及时办理CA证书，确保不因CA办理环节影响业务开展。</w:t>
            </w:r>
          </w:p>
        </w:tc>
      </w:tr>
      <w:tr w14:paraId="72A8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5D80D2B3">
            <w:pPr>
              <w:spacing w:line="276" w:lineRule="auto"/>
              <w:jc w:val="center"/>
              <w:rPr>
                <w:szCs w:val="21"/>
              </w:rPr>
            </w:pPr>
          </w:p>
        </w:tc>
        <w:tc>
          <w:tcPr>
            <w:tcW w:w="1843" w:type="dxa"/>
            <w:vAlign w:val="center"/>
          </w:tcPr>
          <w:p w14:paraId="32200F12">
            <w:pPr>
              <w:spacing w:line="276" w:lineRule="auto"/>
              <w:jc w:val="center"/>
              <w:rPr>
                <w:szCs w:val="21"/>
              </w:rPr>
            </w:pPr>
            <w:r>
              <w:rPr>
                <w:rFonts w:hint="eastAsia"/>
                <w:szCs w:val="21"/>
              </w:rPr>
              <w:t>注册审核人员</w:t>
            </w:r>
          </w:p>
        </w:tc>
        <w:tc>
          <w:tcPr>
            <w:tcW w:w="5295" w:type="dxa"/>
            <w:vAlign w:val="center"/>
          </w:tcPr>
          <w:p w14:paraId="12EEEA8D">
            <w:pPr>
              <w:spacing w:line="276" w:lineRule="auto"/>
              <w:jc w:val="left"/>
              <w:rPr>
                <w:szCs w:val="21"/>
              </w:rPr>
            </w:pPr>
            <w:r>
              <w:rPr>
                <w:rFonts w:hint="eastAsia"/>
                <w:szCs w:val="21"/>
              </w:rPr>
              <w:t>响应各类系统用户注册申请，审核注册信息及材料，按照招标人要求及时审核注册申请，确保不因用户注册环节影响业务开展。</w:t>
            </w:r>
          </w:p>
        </w:tc>
      </w:tr>
      <w:tr w14:paraId="6C51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53EDAF6E">
            <w:pPr>
              <w:spacing w:line="276" w:lineRule="auto"/>
              <w:jc w:val="center"/>
              <w:rPr>
                <w:szCs w:val="21"/>
              </w:rPr>
            </w:pPr>
          </w:p>
        </w:tc>
        <w:tc>
          <w:tcPr>
            <w:tcW w:w="1843" w:type="dxa"/>
            <w:vAlign w:val="center"/>
          </w:tcPr>
          <w:p w14:paraId="606FE833">
            <w:pPr>
              <w:spacing w:line="276" w:lineRule="auto"/>
              <w:jc w:val="center"/>
              <w:rPr>
                <w:szCs w:val="21"/>
              </w:rPr>
            </w:pPr>
            <w:r>
              <w:rPr>
                <w:rFonts w:hint="eastAsia"/>
                <w:szCs w:val="21"/>
              </w:rPr>
              <w:t>技术支持人员</w:t>
            </w:r>
          </w:p>
        </w:tc>
        <w:tc>
          <w:tcPr>
            <w:tcW w:w="5295" w:type="dxa"/>
            <w:vAlign w:val="center"/>
          </w:tcPr>
          <w:p w14:paraId="402BD32E">
            <w:pPr>
              <w:spacing w:line="276" w:lineRule="auto"/>
              <w:jc w:val="left"/>
              <w:rPr>
                <w:szCs w:val="21"/>
              </w:rPr>
            </w:pPr>
            <w:r>
              <w:rPr>
                <w:rFonts w:hint="eastAsia"/>
                <w:szCs w:val="21"/>
              </w:rPr>
              <w:t>在系统运营期间，就系统技术相关专业问题协调技术专家进行技术解答，协调处理数据改动申请需求，协调处理专项调档申请需求，协调处理数据统计分析申请需求，负责驻场服务，远程异地评标支持服务，工作稳定整理及工作定期汇报及其他招标人要求的临时性、突击性工作。</w:t>
            </w:r>
          </w:p>
        </w:tc>
      </w:tr>
      <w:tr w14:paraId="79C2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08D16DFC">
            <w:pPr>
              <w:spacing w:line="276" w:lineRule="auto"/>
              <w:jc w:val="center"/>
              <w:rPr>
                <w:szCs w:val="21"/>
              </w:rPr>
            </w:pPr>
          </w:p>
        </w:tc>
        <w:tc>
          <w:tcPr>
            <w:tcW w:w="1843" w:type="dxa"/>
            <w:vAlign w:val="center"/>
          </w:tcPr>
          <w:p w14:paraId="65751E1B">
            <w:pPr>
              <w:spacing w:line="276" w:lineRule="auto"/>
              <w:jc w:val="center"/>
              <w:rPr>
                <w:szCs w:val="21"/>
              </w:rPr>
            </w:pPr>
            <w:r>
              <w:rPr>
                <w:rFonts w:hint="eastAsia"/>
                <w:szCs w:val="21"/>
              </w:rPr>
              <w:t>客服人员</w:t>
            </w:r>
          </w:p>
        </w:tc>
        <w:tc>
          <w:tcPr>
            <w:tcW w:w="5295" w:type="dxa"/>
            <w:vAlign w:val="center"/>
          </w:tcPr>
          <w:p w14:paraId="5910EF89">
            <w:pPr>
              <w:spacing w:line="276" w:lineRule="auto"/>
              <w:jc w:val="left"/>
              <w:rPr>
                <w:szCs w:val="21"/>
              </w:rPr>
            </w:pPr>
            <w:r>
              <w:rPr>
                <w:rFonts w:hint="eastAsia"/>
                <w:szCs w:val="21"/>
              </w:rPr>
              <w:t>负责接听客户服务热线和及时处理企业在线客服咨询，及时响应用户的事项</w:t>
            </w:r>
            <w:r>
              <w:rPr>
                <w:szCs w:val="21"/>
              </w:rPr>
              <w:t>咨询和</w:t>
            </w:r>
            <w:r>
              <w:rPr>
                <w:rFonts w:hint="eastAsia"/>
                <w:szCs w:val="21"/>
              </w:rPr>
              <w:t>问题</w:t>
            </w:r>
            <w:r>
              <w:rPr>
                <w:szCs w:val="21"/>
              </w:rPr>
              <w:t>反馈</w:t>
            </w:r>
            <w:r>
              <w:rPr>
                <w:rFonts w:hint="eastAsia"/>
                <w:szCs w:val="21"/>
              </w:rPr>
              <w:t>。</w:t>
            </w:r>
          </w:p>
        </w:tc>
      </w:tr>
      <w:tr w14:paraId="2FA1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vAlign w:val="center"/>
          </w:tcPr>
          <w:p w14:paraId="2EF821D7">
            <w:pPr>
              <w:spacing w:line="276" w:lineRule="auto"/>
              <w:jc w:val="center"/>
              <w:rPr>
                <w:szCs w:val="21"/>
              </w:rPr>
            </w:pPr>
            <w:r>
              <w:rPr>
                <w:rFonts w:hint="eastAsia"/>
                <w:szCs w:val="21"/>
              </w:rPr>
              <w:t>运维</w:t>
            </w:r>
          </w:p>
        </w:tc>
        <w:tc>
          <w:tcPr>
            <w:tcW w:w="1843" w:type="dxa"/>
            <w:vAlign w:val="center"/>
          </w:tcPr>
          <w:p w14:paraId="0036F6F9">
            <w:pPr>
              <w:spacing w:line="276" w:lineRule="auto"/>
              <w:jc w:val="center"/>
              <w:rPr>
                <w:szCs w:val="21"/>
              </w:rPr>
            </w:pPr>
            <w:r>
              <w:rPr>
                <w:szCs w:val="21"/>
              </w:rPr>
              <w:t>运维经理</w:t>
            </w:r>
          </w:p>
        </w:tc>
        <w:tc>
          <w:tcPr>
            <w:tcW w:w="5295" w:type="dxa"/>
            <w:vAlign w:val="center"/>
          </w:tcPr>
          <w:p w14:paraId="57AD54F8">
            <w:pPr>
              <w:spacing w:line="276" w:lineRule="auto"/>
              <w:jc w:val="left"/>
              <w:rPr>
                <w:szCs w:val="21"/>
              </w:rPr>
            </w:pPr>
            <w:r>
              <w:rPr>
                <w:szCs w:val="21"/>
              </w:rPr>
              <w:t>负责运维服务的整体管理和协调，制定运维策略和计划，监督运维工作的执行情况。</w:t>
            </w:r>
          </w:p>
        </w:tc>
      </w:tr>
      <w:tr w14:paraId="285E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64FF63D3">
            <w:pPr>
              <w:spacing w:line="276" w:lineRule="auto"/>
              <w:jc w:val="center"/>
              <w:rPr>
                <w:szCs w:val="21"/>
              </w:rPr>
            </w:pPr>
          </w:p>
        </w:tc>
        <w:tc>
          <w:tcPr>
            <w:tcW w:w="1843" w:type="dxa"/>
            <w:vAlign w:val="center"/>
          </w:tcPr>
          <w:p w14:paraId="34A5915C">
            <w:pPr>
              <w:spacing w:line="276" w:lineRule="auto"/>
              <w:jc w:val="center"/>
              <w:rPr>
                <w:szCs w:val="21"/>
              </w:rPr>
            </w:pPr>
            <w:r>
              <w:rPr>
                <w:szCs w:val="21"/>
              </w:rPr>
              <w:t>系统管理员</w:t>
            </w:r>
          </w:p>
        </w:tc>
        <w:tc>
          <w:tcPr>
            <w:tcW w:w="5295" w:type="dxa"/>
            <w:vAlign w:val="center"/>
          </w:tcPr>
          <w:p w14:paraId="4EC64BFD">
            <w:pPr>
              <w:spacing w:line="276" w:lineRule="auto"/>
              <w:jc w:val="left"/>
              <w:rPr>
                <w:szCs w:val="21"/>
              </w:rPr>
            </w:pPr>
            <w:r>
              <w:rPr>
                <w:szCs w:val="21"/>
              </w:rPr>
              <w:t>负责服务器、操作系统、数据库等系统的安装、配置、维护和优化，确保系统的稳定运行。</w:t>
            </w:r>
          </w:p>
        </w:tc>
      </w:tr>
      <w:tr w14:paraId="5FAA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3C1A74B6">
            <w:pPr>
              <w:spacing w:line="276" w:lineRule="auto"/>
              <w:jc w:val="center"/>
              <w:rPr>
                <w:szCs w:val="21"/>
              </w:rPr>
            </w:pPr>
          </w:p>
        </w:tc>
        <w:tc>
          <w:tcPr>
            <w:tcW w:w="1843" w:type="dxa"/>
            <w:vAlign w:val="center"/>
          </w:tcPr>
          <w:p w14:paraId="5DFC4959">
            <w:pPr>
              <w:spacing w:line="276" w:lineRule="auto"/>
              <w:jc w:val="center"/>
              <w:rPr>
                <w:szCs w:val="21"/>
              </w:rPr>
            </w:pPr>
            <w:r>
              <w:rPr>
                <w:szCs w:val="21"/>
              </w:rPr>
              <w:t>安全管理员</w:t>
            </w:r>
          </w:p>
        </w:tc>
        <w:tc>
          <w:tcPr>
            <w:tcW w:w="5295" w:type="dxa"/>
            <w:vAlign w:val="center"/>
          </w:tcPr>
          <w:p w14:paraId="3296D65E">
            <w:pPr>
              <w:spacing w:line="276" w:lineRule="auto"/>
              <w:jc w:val="left"/>
              <w:rPr>
                <w:szCs w:val="21"/>
              </w:rPr>
            </w:pPr>
            <w:r>
              <w:rPr>
                <w:szCs w:val="21"/>
              </w:rPr>
              <w:t>负责系统的安全管理，制定安全策略和措施，防范安全风险和事件。</w:t>
            </w:r>
          </w:p>
        </w:tc>
      </w:tr>
      <w:tr w14:paraId="78CB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2D9785FC">
            <w:pPr>
              <w:spacing w:line="276" w:lineRule="auto"/>
              <w:jc w:val="center"/>
              <w:rPr>
                <w:szCs w:val="21"/>
              </w:rPr>
            </w:pPr>
          </w:p>
        </w:tc>
        <w:tc>
          <w:tcPr>
            <w:tcW w:w="1843" w:type="dxa"/>
            <w:vAlign w:val="center"/>
          </w:tcPr>
          <w:p w14:paraId="28FBEF49">
            <w:pPr>
              <w:spacing w:line="276" w:lineRule="auto"/>
              <w:jc w:val="center"/>
              <w:rPr>
                <w:szCs w:val="21"/>
              </w:rPr>
            </w:pPr>
            <w:r>
              <w:rPr>
                <w:szCs w:val="21"/>
              </w:rPr>
              <w:t>应用管理员</w:t>
            </w:r>
          </w:p>
        </w:tc>
        <w:tc>
          <w:tcPr>
            <w:tcW w:w="5295" w:type="dxa"/>
            <w:vAlign w:val="center"/>
          </w:tcPr>
          <w:p w14:paraId="64179C15">
            <w:pPr>
              <w:spacing w:line="276" w:lineRule="auto"/>
              <w:jc w:val="left"/>
              <w:rPr>
                <w:szCs w:val="21"/>
              </w:rPr>
            </w:pPr>
            <w:r>
              <w:rPr>
                <w:szCs w:val="21"/>
              </w:rPr>
              <w:t>负责应用系统的安装、配置、维护和优化，确保应用系统的正常运行。</w:t>
            </w:r>
          </w:p>
        </w:tc>
      </w:tr>
      <w:tr w14:paraId="6085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vAlign w:val="center"/>
          </w:tcPr>
          <w:p w14:paraId="3C82FDF8">
            <w:pPr>
              <w:spacing w:line="276" w:lineRule="auto"/>
              <w:jc w:val="center"/>
              <w:rPr>
                <w:szCs w:val="21"/>
              </w:rPr>
            </w:pPr>
          </w:p>
        </w:tc>
        <w:tc>
          <w:tcPr>
            <w:tcW w:w="1843" w:type="dxa"/>
            <w:vAlign w:val="center"/>
          </w:tcPr>
          <w:p w14:paraId="0855DAF4">
            <w:pPr>
              <w:spacing w:line="276" w:lineRule="auto"/>
              <w:jc w:val="center"/>
              <w:rPr>
                <w:szCs w:val="21"/>
              </w:rPr>
            </w:pPr>
            <w:r>
              <w:rPr>
                <w:szCs w:val="21"/>
              </w:rPr>
              <w:t>技术支持人员</w:t>
            </w:r>
          </w:p>
        </w:tc>
        <w:tc>
          <w:tcPr>
            <w:tcW w:w="5295" w:type="dxa"/>
            <w:vAlign w:val="center"/>
          </w:tcPr>
          <w:p w14:paraId="60BD7D88">
            <w:pPr>
              <w:spacing w:line="276" w:lineRule="auto"/>
              <w:jc w:val="left"/>
              <w:rPr>
                <w:szCs w:val="21"/>
              </w:rPr>
            </w:pPr>
            <w:r>
              <w:rPr>
                <w:szCs w:val="21"/>
              </w:rPr>
              <w:t>负责为用户提供技术支持服务，解决用户在使用系统过程中遇到的问题。</w:t>
            </w:r>
          </w:p>
        </w:tc>
      </w:tr>
    </w:tbl>
    <w:p w14:paraId="0667639C"/>
    <w:p w14:paraId="4764FE43">
      <w:pPr>
        <w:pStyle w:val="6"/>
        <w:spacing w:before="260" w:after="260" w:line="416" w:lineRule="auto"/>
        <w:jc w:val="both"/>
        <w:rPr>
          <w:rFonts w:hint="eastAsia" w:ascii="宋体" w:hAnsi="宋体" w:cstheme="majorBidi"/>
          <w:szCs w:val="24"/>
        </w:rPr>
      </w:pPr>
      <w:bookmarkStart w:id="404" w:name="_Toc180265747"/>
      <w:r>
        <w:rPr>
          <w:rFonts w:ascii="宋体" w:hAnsi="宋体" w:cstheme="majorBidi"/>
          <w:szCs w:val="24"/>
        </w:rPr>
        <w:t>运维团队成员技能要求</w:t>
      </w:r>
      <w:bookmarkEnd w:id="404"/>
    </w:p>
    <w:p w14:paraId="087B18B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专业知识：具备扎实的计算机基础知识，熟悉服务器、操作系统、数据库、网络等技术领域的专业知识。</w:t>
      </w:r>
    </w:p>
    <w:p w14:paraId="7570368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技术能力：掌握系统安装、配置、维护和优化的技能，能够熟练使用各种运维工具和技术，解决系统故障和问题。</w:t>
      </w:r>
    </w:p>
    <w:p w14:paraId="6CE84077">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沟通能力：具备良好的沟通能力和团队合作精神，能够与用户和其他部门进行有效的沟通和协作。</w:t>
      </w:r>
    </w:p>
    <w:p w14:paraId="24FDFF4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服务意识：具备强烈的服务意识和责任心，能够为用户提供优质的运维服务，满足用户的需求和期望。</w:t>
      </w:r>
    </w:p>
    <w:p w14:paraId="3F363B5A">
      <w:pPr>
        <w:pStyle w:val="6"/>
        <w:spacing w:before="260" w:after="260" w:line="416" w:lineRule="auto"/>
        <w:jc w:val="both"/>
        <w:rPr>
          <w:rFonts w:hint="eastAsia" w:ascii="宋体" w:hAnsi="宋体" w:cstheme="majorBidi"/>
          <w:szCs w:val="24"/>
        </w:rPr>
      </w:pPr>
      <w:bookmarkStart w:id="405" w:name="_Toc180265748"/>
      <w:r>
        <w:rPr>
          <w:rFonts w:ascii="宋体" w:hAnsi="宋体" w:cstheme="majorBidi"/>
          <w:szCs w:val="24"/>
        </w:rPr>
        <w:t>运维团队培训与发展</w:t>
      </w:r>
      <w:bookmarkEnd w:id="405"/>
    </w:p>
    <w:p w14:paraId="1E8FC44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培训计划：制定运维团队的培训计划，定期组织培训课程和学习活动，提高运维团队的技术水平和服务能力。</w:t>
      </w:r>
    </w:p>
    <w:p w14:paraId="0C690CA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技术交流：鼓励运维团队成员之间进行技术交流和分享，促进团队成员的共同成长和进步。</w:t>
      </w:r>
    </w:p>
    <w:p w14:paraId="3516C24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职业发展：为运维团队成员提供职业发展规划和晋升机会，激励团队成员不断提升自己的能力和素质。</w:t>
      </w:r>
    </w:p>
    <w:p w14:paraId="4528CBD4">
      <w:pPr>
        <w:pStyle w:val="5"/>
        <w:spacing w:before="260" w:after="260"/>
        <w:jc w:val="both"/>
        <w:rPr>
          <w:rFonts w:hint="eastAsia" w:ascii="宋体" w:hAnsi="宋体"/>
          <w:szCs w:val="28"/>
        </w:rPr>
      </w:pPr>
      <w:bookmarkStart w:id="406" w:name="_Toc179751572"/>
      <w:bookmarkStart w:id="407" w:name="_Toc180265749"/>
      <w:r>
        <w:rPr>
          <w:rFonts w:hint="eastAsia" w:ascii="宋体" w:hAnsi="宋体"/>
          <w:szCs w:val="28"/>
        </w:rPr>
        <w:t>培训措施</w:t>
      </w:r>
      <w:bookmarkEnd w:id="406"/>
      <w:bookmarkEnd w:id="407"/>
    </w:p>
    <w:p w14:paraId="49206546">
      <w:pPr>
        <w:pStyle w:val="6"/>
        <w:spacing w:before="260" w:after="260" w:line="416" w:lineRule="auto"/>
        <w:jc w:val="both"/>
        <w:rPr>
          <w:rFonts w:hint="eastAsia" w:ascii="宋体" w:hAnsi="宋体" w:cstheme="majorBidi"/>
          <w:szCs w:val="24"/>
        </w:rPr>
      </w:pPr>
      <w:bookmarkStart w:id="408" w:name="_Toc180265750"/>
      <w:r>
        <w:rPr>
          <w:rFonts w:hint="eastAsia" w:ascii="宋体" w:hAnsi="宋体" w:cstheme="majorBidi"/>
          <w:szCs w:val="24"/>
        </w:rPr>
        <w:t>培训要求</w:t>
      </w:r>
      <w:bookmarkEnd w:id="408"/>
    </w:p>
    <w:p w14:paraId="7AD9FF6D">
      <w:pPr>
        <w:spacing w:line="360" w:lineRule="auto"/>
        <w:ind w:firstLine="420"/>
        <w:rPr>
          <w:rFonts w:hint="eastAsia" w:ascii="宋体" w:hAnsi="宋体" w:eastAsia="宋体" w:cs="宋体"/>
          <w:szCs w:val="21"/>
        </w:rPr>
      </w:pPr>
      <w:r>
        <w:rPr>
          <w:rFonts w:hint="eastAsia" w:ascii="宋体" w:hAnsi="宋体" w:eastAsia="宋体" w:cs="宋体"/>
          <w:szCs w:val="21"/>
        </w:rPr>
        <w:t>培训分为理论培训和现场培训，针对不同培训角色，包括且不限于领导、运营管理人员、系统管理人员、最终用户及各类技术运营运维人员等，分别制定培训课程并按照招标文件要求和项目开展过程中采购人的相关要求，组织进行针对性的培训。培训内容包括且不限于运营管理培训、系统知识培训、运营运维技术培训、用户使用培训、对外客服培训等。</w:t>
      </w:r>
    </w:p>
    <w:p w14:paraId="1828E000">
      <w:pPr>
        <w:spacing w:line="360" w:lineRule="auto"/>
        <w:ind w:firstLine="420"/>
        <w:rPr>
          <w:rFonts w:hint="eastAsia" w:ascii="宋体" w:hAnsi="宋体" w:eastAsia="宋体" w:cs="宋体"/>
          <w:szCs w:val="21"/>
        </w:rPr>
      </w:pPr>
      <w:r>
        <w:rPr>
          <w:rFonts w:hint="eastAsia" w:ascii="宋体" w:hAnsi="宋体" w:eastAsia="宋体" w:cs="宋体"/>
          <w:szCs w:val="21"/>
        </w:rPr>
        <w:t>所有培训教员需具备丰富的培训经验，所有培训以中文授课方式进行。在开展单次具体培训前，需按照培训方案要求和具体培训事项要求明确并细化培训目标、培训内容、预计培训课时，编制培训所需文字材料或讲义等培训必须材料，与采购人明确培训效果保障方式和要求。</w:t>
      </w:r>
    </w:p>
    <w:p w14:paraId="73262CF3">
      <w:pPr>
        <w:pStyle w:val="6"/>
        <w:spacing w:before="260" w:after="260" w:line="416" w:lineRule="auto"/>
        <w:jc w:val="both"/>
        <w:rPr>
          <w:rFonts w:hint="eastAsia" w:ascii="宋体" w:hAnsi="宋体" w:cstheme="majorBidi"/>
          <w:szCs w:val="24"/>
        </w:rPr>
      </w:pPr>
      <w:bookmarkStart w:id="409" w:name="_Toc180265751"/>
      <w:r>
        <w:rPr>
          <w:rFonts w:hint="eastAsia" w:ascii="宋体" w:hAnsi="宋体" w:cstheme="majorBidi"/>
          <w:szCs w:val="24"/>
        </w:rPr>
        <w:t>培训方式</w:t>
      </w:r>
      <w:bookmarkEnd w:id="409"/>
    </w:p>
    <w:p w14:paraId="1A975506">
      <w:pPr>
        <w:spacing w:line="360" w:lineRule="auto"/>
        <w:ind w:firstLine="420"/>
        <w:rPr>
          <w:rFonts w:hint="eastAsia" w:ascii="宋体" w:hAnsi="宋体" w:eastAsia="宋体" w:cs="宋体"/>
          <w:szCs w:val="21"/>
        </w:rPr>
      </w:pPr>
      <w:r>
        <w:rPr>
          <w:rFonts w:hint="eastAsia" w:ascii="宋体" w:hAnsi="宋体" w:eastAsia="宋体" w:cs="宋体"/>
          <w:szCs w:val="21"/>
        </w:rPr>
        <w:t>培训方式包括且不限于下述几种方式：</w:t>
      </w:r>
    </w:p>
    <w:p w14:paraId="3AA58CA4">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现场集中授课培训</w:t>
      </w:r>
    </w:p>
    <w:p w14:paraId="7C1131A9">
      <w:pPr>
        <w:spacing w:line="360" w:lineRule="auto"/>
        <w:ind w:firstLine="420"/>
        <w:rPr>
          <w:rFonts w:hint="eastAsia" w:ascii="宋体" w:hAnsi="宋体" w:eastAsia="宋体" w:cs="宋体"/>
          <w:szCs w:val="21"/>
        </w:rPr>
      </w:pPr>
      <w:r>
        <w:rPr>
          <w:rFonts w:hint="eastAsia" w:ascii="宋体" w:hAnsi="宋体" w:eastAsia="宋体" w:cs="宋体"/>
          <w:szCs w:val="21"/>
        </w:rPr>
        <w:t>针对各种培训专题，集中组织受训人员集中在制定场地，通过PPT讲义、操作演示等形式开设培训。</w:t>
      </w:r>
    </w:p>
    <w:p w14:paraId="3AAB288A">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现场集中演练</w:t>
      </w:r>
    </w:p>
    <w:p w14:paraId="533F119F">
      <w:pPr>
        <w:spacing w:line="360" w:lineRule="auto"/>
        <w:ind w:firstLine="420"/>
        <w:rPr>
          <w:rFonts w:hint="eastAsia" w:ascii="宋体" w:hAnsi="宋体" w:eastAsia="宋体" w:cs="宋体"/>
          <w:szCs w:val="21"/>
        </w:rPr>
      </w:pPr>
      <w:r>
        <w:rPr>
          <w:rFonts w:hint="eastAsia" w:ascii="宋体" w:hAnsi="宋体" w:eastAsia="宋体" w:cs="宋体"/>
          <w:szCs w:val="21"/>
        </w:rPr>
        <w:t>集中组织受训人员，基于测试环境进行模拟演练操作，以便受训人员快速掌握系统操作方法，明确业务操作流程，发现细节问题并现场答疑。</w:t>
      </w:r>
    </w:p>
    <w:p w14:paraId="3593D249">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模拟操作</w:t>
      </w:r>
    </w:p>
    <w:p w14:paraId="02F705FA">
      <w:pPr>
        <w:spacing w:line="360" w:lineRule="auto"/>
        <w:ind w:firstLine="420"/>
        <w:rPr>
          <w:rFonts w:hint="eastAsia" w:ascii="宋体" w:hAnsi="宋体" w:eastAsia="宋体" w:cs="宋体"/>
          <w:szCs w:val="21"/>
        </w:rPr>
      </w:pPr>
      <w:r>
        <w:rPr>
          <w:rFonts w:hint="eastAsia" w:ascii="宋体" w:hAnsi="宋体" w:eastAsia="宋体" w:cs="宋体"/>
          <w:szCs w:val="21"/>
        </w:rPr>
        <w:t>在测试环境和操作手册等条件都具备时，可以组织系统终端用户人员自行模拟联系操作。</w:t>
      </w:r>
    </w:p>
    <w:p w14:paraId="59ACF7EC">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分批次培训或演练</w:t>
      </w:r>
    </w:p>
    <w:p w14:paraId="5BB00A1A">
      <w:pPr>
        <w:spacing w:line="360" w:lineRule="auto"/>
        <w:ind w:firstLine="420"/>
        <w:rPr>
          <w:rFonts w:hint="eastAsia" w:ascii="宋体" w:hAnsi="宋体" w:eastAsia="宋体" w:cs="宋体"/>
          <w:szCs w:val="21"/>
        </w:rPr>
      </w:pPr>
      <w:r>
        <w:rPr>
          <w:rFonts w:hint="eastAsia" w:ascii="宋体" w:hAnsi="宋体" w:eastAsia="宋体" w:cs="宋体"/>
          <w:szCs w:val="21"/>
        </w:rPr>
        <w:t>当计划受训人员较多时，为保障培训质量，可采取分批培训方式。</w:t>
      </w:r>
    </w:p>
    <w:p w14:paraId="0B807179">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线上培训</w:t>
      </w:r>
    </w:p>
    <w:p w14:paraId="598DE341">
      <w:pPr>
        <w:spacing w:line="360" w:lineRule="auto"/>
        <w:ind w:firstLine="420"/>
        <w:rPr>
          <w:rFonts w:hint="eastAsia" w:ascii="宋体" w:hAnsi="宋体" w:eastAsia="宋体" w:cs="宋体"/>
          <w:szCs w:val="21"/>
        </w:rPr>
      </w:pPr>
      <w:r>
        <w:rPr>
          <w:rFonts w:hint="eastAsia" w:ascii="宋体" w:hAnsi="宋体" w:eastAsia="宋体" w:cs="宋体"/>
          <w:szCs w:val="21"/>
        </w:rPr>
        <w:t>在开展具体培训时，如受训人员不便集中，也可借助腾讯会议等信息化方式，采取线下培训与线上培训同步开展的方式，并可将培训内容录制便于后续人员自主学习使用。</w:t>
      </w:r>
    </w:p>
    <w:p w14:paraId="33542C93">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中招学院在线学习与考核</w:t>
      </w:r>
    </w:p>
    <w:p w14:paraId="3F3ED5D3">
      <w:pPr>
        <w:spacing w:line="360" w:lineRule="auto"/>
        <w:ind w:firstLine="420"/>
        <w:rPr>
          <w:rFonts w:hint="eastAsia" w:ascii="宋体" w:hAnsi="宋体" w:eastAsia="宋体" w:cs="宋体"/>
          <w:szCs w:val="21"/>
        </w:rPr>
      </w:pPr>
      <w:r>
        <w:rPr>
          <w:rFonts w:hint="eastAsia" w:ascii="宋体" w:hAnsi="宋体" w:eastAsia="宋体" w:cs="宋体"/>
          <w:szCs w:val="21"/>
        </w:rPr>
        <w:t>对于已录制培训课程，可使用中招学院在线学习。通过中招学院专题课程，为项目受训人员开通专属账号，将已录制的培训课程定制为对应账号下的课程，并配套设置在线学习课程要求或在线考核。</w:t>
      </w:r>
    </w:p>
    <w:p w14:paraId="689DD1FF">
      <w:pPr>
        <w:numPr>
          <w:ilvl w:val="0"/>
          <w:numId w:val="87"/>
        </w:numPr>
        <w:spacing w:line="360" w:lineRule="auto"/>
        <w:rPr>
          <w:rFonts w:hint="eastAsia" w:ascii="宋体" w:hAnsi="宋体" w:eastAsia="宋体" w:cs="宋体"/>
          <w:szCs w:val="21"/>
        </w:rPr>
      </w:pPr>
      <w:r>
        <w:rPr>
          <w:rFonts w:hint="eastAsia" w:ascii="宋体" w:hAnsi="宋体" w:eastAsia="宋体" w:cs="宋体"/>
          <w:szCs w:val="21"/>
        </w:rPr>
        <w:t>点对点培训或办公室培训</w:t>
      </w:r>
    </w:p>
    <w:p w14:paraId="098E1562">
      <w:pPr>
        <w:spacing w:line="360" w:lineRule="auto"/>
        <w:ind w:firstLine="420"/>
        <w:rPr>
          <w:rFonts w:hint="eastAsia" w:ascii="宋体" w:hAnsi="宋体" w:eastAsia="宋体" w:cs="宋体"/>
          <w:szCs w:val="21"/>
        </w:rPr>
      </w:pPr>
      <w:r>
        <w:rPr>
          <w:rFonts w:hint="eastAsia" w:ascii="宋体" w:hAnsi="宋体" w:eastAsia="宋体" w:cs="宋体"/>
          <w:szCs w:val="21"/>
        </w:rPr>
        <w:t>对于核心内容或知识转移关键人员，也可根据需要开展点对点培训或办公室培训的方式进行专属培训。</w:t>
      </w:r>
    </w:p>
    <w:p w14:paraId="2AD6F9BD">
      <w:pPr>
        <w:pStyle w:val="6"/>
        <w:spacing w:before="260" w:after="260" w:line="416" w:lineRule="auto"/>
        <w:jc w:val="both"/>
        <w:rPr>
          <w:rFonts w:hint="eastAsia" w:ascii="宋体" w:hAnsi="宋体" w:cstheme="majorBidi"/>
          <w:szCs w:val="24"/>
        </w:rPr>
      </w:pPr>
      <w:bookmarkStart w:id="410" w:name="_Toc180265752"/>
      <w:r>
        <w:rPr>
          <w:rFonts w:hint="eastAsia" w:ascii="宋体" w:hAnsi="宋体" w:cstheme="majorBidi"/>
          <w:szCs w:val="24"/>
        </w:rPr>
        <w:t>培训前需沟通内容</w:t>
      </w:r>
      <w:bookmarkEnd w:id="410"/>
    </w:p>
    <w:p w14:paraId="143796CA">
      <w:pPr>
        <w:spacing w:line="360" w:lineRule="auto"/>
        <w:ind w:firstLine="420"/>
        <w:rPr>
          <w:rFonts w:hint="eastAsia" w:ascii="宋体" w:hAnsi="宋体" w:eastAsia="宋体" w:cs="宋体"/>
          <w:szCs w:val="21"/>
        </w:rPr>
      </w:pPr>
      <w:r>
        <w:rPr>
          <w:rFonts w:hint="eastAsia" w:ascii="宋体" w:hAnsi="宋体" w:eastAsia="宋体" w:cs="宋体"/>
          <w:szCs w:val="21"/>
        </w:rPr>
        <w:t>在组织开展具体培训前，培训负责人需与采购人负责人沟通并明确下述内容：</w:t>
      </w:r>
    </w:p>
    <w:p w14:paraId="33A06FAB">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培训方式:按照培训</w:t>
      </w:r>
      <w:r>
        <w:rPr>
          <w:rFonts w:hint="eastAsia" w:ascii="宋体" w:hAnsi="宋体" w:eastAsia="宋体" w:cs="宋体"/>
          <w:szCs w:val="21"/>
        </w:rPr>
        <w:t>角色</w:t>
      </w:r>
      <w:r>
        <w:rPr>
          <w:rFonts w:hint="eastAsia" w:ascii="宋体" w:hAnsi="宋体" w:eastAsia="宋体" w:cs="宋体"/>
          <w:szCs w:val="21"/>
          <w:lang w:val="zh-CN"/>
        </w:rPr>
        <w:t>及培训</w:t>
      </w:r>
      <w:r>
        <w:rPr>
          <w:rFonts w:hint="eastAsia" w:ascii="宋体" w:hAnsi="宋体" w:eastAsia="宋体" w:cs="宋体"/>
          <w:szCs w:val="21"/>
        </w:rPr>
        <w:t>内容</w:t>
      </w:r>
      <w:r>
        <w:rPr>
          <w:rFonts w:hint="eastAsia" w:ascii="宋体" w:hAnsi="宋体" w:eastAsia="宋体" w:cs="宋体"/>
          <w:szCs w:val="21"/>
          <w:lang w:val="zh-CN"/>
        </w:rPr>
        <w:t>的不同，</w:t>
      </w:r>
      <w:r>
        <w:rPr>
          <w:rFonts w:hint="eastAsia" w:ascii="宋体" w:hAnsi="宋体" w:eastAsia="宋体" w:cs="宋体"/>
          <w:szCs w:val="21"/>
        </w:rPr>
        <w:t>在运营运维服务过程中</w:t>
      </w:r>
      <w:r>
        <w:rPr>
          <w:rFonts w:hint="eastAsia" w:ascii="宋体" w:hAnsi="宋体" w:eastAsia="宋体" w:cs="宋体"/>
          <w:szCs w:val="21"/>
          <w:lang w:val="zh-CN"/>
        </w:rPr>
        <w:t>将为所有</w:t>
      </w:r>
      <w:r>
        <w:rPr>
          <w:rFonts w:hint="eastAsia" w:ascii="宋体" w:hAnsi="宋体" w:eastAsia="宋体" w:cs="宋体"/>
          <w:szCs w:val="21"/>
        </w:rPr>
        <w:t>项目及</w:t>
      </w:r>
      <w:r>
        <w:rPr>
          <w:rFonts w:hint="eastAsia" w:ascii="宋体" w:hAnsi="宋体" w:eastAsia="宋体" w:cs="宋体"/>
          <w:szCs w:val="21"/>
          <w:lang w:val="zh-CN"/>
        </w:rPr>
        <w:t>系统使用</w:t>
      </w:r>
      <w:r>
        <w:rPr>
          <w:rFonts w:hint="eastAsia" w:ascii="宋体" w:hAnsi="宋体" w:eastAsia="宋体" w:cs="宋体"/>
          <w:szCs w:val="21"/>
        </w:rPr>
        <w:t>相关</w:t>
      </w:r>
      <w:r>
        <w:rPr>
          <w:rFonts w:hint="eastAsia" w:ascii="宋体" w:hAnsi="宋体" w:eastAsia="宋体" w:cs="宋体"/>
          <w:szCs w:val="21"/>
          <w:lang w:val="zh-CN"/>
        </w:rPr>
        <w:t>人员组织培训。</w:t>
      </w:r>
      <w:r>
        <w:rPr>
          <w:rFonts w:hint="eastAsia" w:ascii="宋体" w:hAnsi="宋体" w:eastAsia="宋体" w:cs="宋体"/>
          <w:szCs w:val="21"/>
        </w:rPr>
        <w:t>具体培训方式可从“18.4.2培训方式”章节中选择一种或多种组合，如有其他培训方式需求也可在培训开展前进行沟通确认。</w:t>
      </w:r>
    </w:p>
    <w:p w14:paraId="2CE8B403">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培训对象:</w:t>
      </w:r>
      <w:r>
        <w:rPr>
          <w:rFonts w:hint="eastAsia" w:ascii="宋体" w:hAnsi="宋体" w:eastAsia="宋体" w:cs="宋体"/>
          <w:szCs w:val="21"/>
        </w:rPr>
        <w:t>运营运维相关领导、运营运维服务人员（注册审核、CA服务、客户服务等）、系统管理人员、技术支持人员、最终用户、相关技术保障人员等</w:t>
      </w:r>
      <w:r>
        <w:rPr>
          <w:rFonts w:hint="eastAsia" w:ascii="宋体" w:hAnsi="宋体" w:eastAsia="宋体" w:cs="宋体"/>
          <w:szCs w:val="21"/>
          <w:lang w:val="zh-CN"/>
        </w:rPr>
        <w:t>；</w:t>
      </w:r>
    </w:p>
    <w:p w14:paraId="764E961A">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rPr>
        <w:t>培训规模：一对一、大范围集中培训、小范围组织培训等</w:t>
      </w:r>
    </w:p>
    <w:p w14:paraId="3FE15A6F">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培训场地：</w:t>
      </w:r>
      <w:r>
        <w:rPr>
          <w:rFonts w:hint="eastAsia" w:ascii="宋体" w:hAnsi="宋体" w:eastAsia="宋体" w:cs="宋体"/>
          <w:szCs w:val="21"/>
        </w:rPr>
        <w:t>办公室、</w:t>
      </w:r>
      <w:r>
        <w:rPr>
          <w:rFonts w:hint="eastAsia" w:ascii="宋体" w:hAnsi="宋体" w:eastAsia="宋体" w:cs="宋体"/>
          <w:szCs w:val="21"/>
          <w:lang w:val="zh-CN"/>
        </w:rPr>
        <w:t>会议室、</w:t>
      </w:r>
      <w:r>
        <w:rPr>
          <w:rFonts w:hint="eastAsia" w:ascii="宋体" w:hAnsi="宋体" w:eastAsia="宋体" w:cs="宋体"/>
          <w:szCs w:val="21"/>
        </w:rPr>
        <w:t>大型会讲堂等，投影设备等培训所需环境因素情况、网络情况、</w:t>
      </w:r>
      <w:r>
        <w:rPr>
          <w:rFonts w:hint="eastAsia" w:ascii="宋体" w:hAnsi="宋体" w:eastAsia="宋体" w:cs="宋体"/>
          <w:szCs w:val="21"/>
          <w:lang w:val="zh-CN"/>
        </w:rPr>
        <w:t>线上培训</w:t>
      </w:r>
      <w:r>
        <w:rPr>
          <w:rFonts w:hint="eastAsia" w:ascii="宋体" w:hAnsi="宋体" w:eastAsia="宋体" w:cs="宋体"/>
          <w:szCs w:val="21"/>
        </w:rPr>
        <w:t>所需</w:t>
      </w:r>
      <w:r>
        <w:rPr>
          <w:rFonts w:hint="eastAsia" w:ascii="宋体" w:hAnsi="宋体" w:eastAsia="宋体" w:cs="宋体"/>
          <w:szCs w:val="21"/>
          <w:lang w:val="zh-CN"/>
        </w:rPr>
        <w:t>会议</w:t>
      </w:r>
      <w:r>
        <w:rPr>
          <w:rFonts w:hint="eastAsia" w:ascii="宋体" w:hAnsi="宋体" w:eastAsia="宋体" w:cs="宋体"/>
          <w:szCs w:val="21"/>
        </w:rPr>
        <w:t>系统</w:t>
      </w:r>
      <w:r>
        <w:rPr>
          <w:rFonts w:hint="eastAsia" w:ascii="宋体" w:hAnsi="宋体" w:eastAsia="宋体" w:cs="宋体"/>
          <w:szCs w:val="21"/>
          <w:lang w:val="zh-CN"/>
        </w:rPr>
        <w:t>或</w:t>
      </w:r>
      <w:r>
        <w:rPr>
          <w:rFonts w:hint="eastAsia" w:ascii="宋体" w:hAnsi="宋体" w:eastAsia="宋体" w:cs="宋体"/>
          <w:szCs w:val="21"/>
        </w:rPr>
        <w:t>其他</w:t>
      </w:r>
      <w:r>
        <w:rPr>
          <w:rFonts w:hint="eastAsia" w:ascii="宋体" w:hAnsi="宋体" w:eastAsia="宋体" w:cs="宋体"/>
          <w:szCs w:val="21"/>
          <w:lang w:val="zh-CN"/>
        </w:rPr>
        <w:t>渠道信息</w:t>
      </w:r>
      <w:r>
        <w:rPr>
          <w:rFonts w:hint="eastAsia" w:ascii="宋体" w:hAnsi="宋体" w:eastAsia="宋体" w:cs="宋体"/>
          <w:szCs w:val="21"/>
        </w:rPr>
        <w:t>等</w:t>
      </w:r>
      <w:r>
        <w:rPr>
          <w:rFonts w:hint="eastAsia" w:ascii="宋体" w:hAnsi="宋体" w:eastAsia="宋体" w:cs="宋体"/>
          <w:szCs w:val="21"/>
          <w:lang w:val="zh-CN"/>
        </w:rPr>
        <w:t>。</w:t>
      </w:r>
    </w:p>
    <w:p w14:paraId="435718E2">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培训内容:</w:t>
      </w:r>
      <w:r>
        <w:rPr>
          <w:rFonts w:hint="eastAsia" w:ascii="宋体" w:hAnsi="宋体" w:eastAsia="宋体" w:cs="宋体"/>
          <w:szCs w:val="21"/>
        </w:rPr>
        <w:t>项目管理、系统知识及使用、开发技术、安装部署、系统集成、用户使用、业务流转等系统相关内容均可开展培训</w:t>
      </w:r>
      <w:r>
        <w:rPr>
          <w:rFonts w:hint="eastAsia" w:ascii="宋体" w:hAnsi="宋体" w:eastAsia="宋体" w:cs="宋体"/>
          <w:szCs w:val="21"/>
          <w:lang w:val="zh-CN"/>
        </w:rPr>
        <w:t>。</w:t>
      </w:r>
    </w:p>
    <w:p w14:paraId="7F6277A8">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培训资料:电子文档、打印纸质文档、免费提供:</w:t>
      </w:r>
    </w:p>
    <w:p w14:paraId="7F9554E6">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培训日程:大规模培训需要</w:t>
      </w:r>
      <w:r>
        <w:rPr>
          <w:rFonts w:hint="eastAsia" w:ascii="宋体" w:hAnsi="宋体" w:eastAsia="宋体" w:cs="宋体"/>
          <w:szCs w:val="21"/>
        </w:rPr>
        <w:t>另行</w:t>
      </w:r>
      <w:r>
        <w:rPr>
          <w:rFonts w:hint="eastAsia" w:ascii="宋体" w:hAnsi="宋体" w:eastAsia="宋体" w:cs="宋体"/>
          <w:szCs w:val="21"/>
          <w:lang w:val="zh-CN"/>
        </w:rPr>
        <w:t>制定培训日程</w:t>
      </w:r>
      <w:r>
        <w:rPr>
          <w:rFonts w:hint="eastAsia" w:ascii="宋体" w:hAnsi="宋体" w:eastAsia="宋体" w:cs="宋体"/>
          <w:szCs w:val="21"/>
        </w:rPr>
        <w:t>安排</w:t>
      </w:r>
      <w:r>
        <w:rPr>
          <w:rFonts w:hint="eastAsia" w:ascii="宋体" w:hAnsi="宋体" w:eastAsia="宋体" w:cs="宋体"/>
          <w:szCs w:val="21"/>
          <w:lang w:val="zh-CN"/>
        </w:rPr>
        <w:t>;</w:t>
      </w:r>
    </w:p>
    <w:p w14:paraId="1EE6F8E9">
      <w:pPr>
        <w:numPr>
          <w:ilvl w:val="0"/>
          <w:numId w:val="87"/>
        </w:numPr>
        <w:spacing w:line="360" w:lineRule="auto"/>
        <w:rPr>
          <w:rFonts w:hint="eastAsia" w:ascii="宋体" w:hAnsi="宋体" w:eastAsia="宋体" w:cs="宋体"/>
          <w:szCs w:val="21"/>
          <w:lang w:val="zh-CN"/>
        </w:rPr>
      </w:pPr>
      <w:r>
        <w:rPr>
          <w:rFonts w:hint="eastAsia" w:ascii="宋体" w:hAnsi="宋体" w:eastAsia="宋体" w:cs="宋体"/>
          <w:szCs w:val="21"/>
          <w:lang w:val="zh-CN"/>
        </w:rPr>
        <w:t>培训系统环境:模拟系统</w:t>
      </w:r>
      <w:r>
        <w:rPr>
          <w:rFonts w:hint="eastAsia" w:ascii="宋体" w:hAnsi="宋体" w:eastAsia="宋体" w:cs="宋体"/>
          <w:szCs w:val="21"/>
        </w:rPr>
        <w:t>等</w:t>
      </w:r>
      <w:r>
        <w:rPr>
          <w:rFonts w:hint="eastAsia" w:ascii="宋体" w:hAnsi="宋体" w:eastAsia="宋体" w:cs="宋体"/>
          <w:szCs w:val="21"/>
          <w:lang w:val="zh-CN"/>
        </w:rPr>
        <w:t>；</w:t>
      </w:r>
    </w:p>
    <w:p w14:paraId="1DE7D824">
      <w:pPr>
        <w:pStyle w:val="6"/>
        <w:spacing w:before="260" w:after="260" w:line="416" w:lineRule="auto"/>
        <w:jc w:val="both"/>
        <w:rPr>
          <w:rFonts w:hint="eastAsia" w:ascii="宋体" w:hAnsi="宋体" w:cstheme="majorBidi"/>
          <w:szCs w:val="24"/>
        </w:rPr>
      </w:pPr>
      <w:bookmarkStart w:id="411" w:name="_Toc180265753"/>
      <w:r>
        <w:rPr>
          <w:rFonts w:hint="eastAsia" w:ascii="宋体" w:hAnsi="宋体" w:cstheme="majorBidi"/>
          <w:szCs w:val="24"/>
        </w:rPr>
        <w:t>培训安排</w:t>
      </w:r>
      <w:bookmarkEnd w:id="411"/>
    </w:p>
    <w:p w14:paraId="625B9A38">
      <w:pPr>
        <w:spacing w:line="360" w:lineRule="auto"/>
        <w:ind w:firstLine="420"/>
        <w:rPr>
          <w:rFonts w:hint="eastAsia" w:ascii="宋体" w:hAnsi="宋体" w:eastAsia="宋体" w:cs="宋体"/>
          <w:szCs w:val="21"/>
        </w:rPr>
      </w:pPr>
      <w:r>
        <w:rPr>
          <w:rFonts w:hint="eastAsia" w:ascii="宋体" w:hAnsi="宋体" w:eastAsia="宋体" w:cs="宋体"/>
          <w:szCs w:val="21"/>
        </w:rPr>
        <w:t>针对不同角色的培训内容和计划包括且不限于下述安排。</w:t>
      </w:r>
    </w:p>
    <w:p w14:paraId="6F383892">
      <w:pPr>
        <w:numPr>
          <w:ilvl w:val="0"/>
          <w:numId w:val="158"/>
        </w:numPr>
        <w:spacing w:line="360" w:lineRule="auto"/>
        <w:rPr>
          <w:rFonts w:hint="eastAsia" w:ascii="宋体" w:hAnsi="宋体" w:eastAsia="宋体" w:cs="宋体"/>
          <w:szCs w:val="21"/>
        </w:rPr>
      </w:pPr>
      <w:r>
        <w:rPr>
          <w:rFonts w:hint="eastAsia" w:ascii="宋体" w:hAnsi="宋体" w:eastAsia="宋体" w:cs="宋体"/>
          <w:szCs w:val="21"/>
        </w:rPr>
        <w:t>领导、项目管理人员</w:t>
      </w:r>
    </w:p>
    <w:p w14:paraId="5ADF3E43">
      <w:pPr>
        <w:spacing w:line="360" w:lineRule="auto"/>
        <w:ind w:firstLine="420"/>
        <w:rPr>
          <w:rFonts w:hint="eastAsia" w:ascii="宋体" w:hAnsi="宋体" w:eastAsia="宋体" w:cs="宋体"/>
          <w:szCs w:val="21"/>
        </w:rPr>
      </w:pPr>
      <w:r>
        <w:rPr>
          <w:rFonts w:hint="eastAsia" w:ascii="宋体" w:hAnsi="宋体" w:eastAsia="宋体" w:cs="宋体"/>
          <w:szCs w:val="21"/>
        </w:rPr>
        <w:t>培训目标：向领导、项目管理、项目参与人员培训和汇报系统整体规划、项目实施成果、业务流程情况、系统整体框架等。</w:t>
      </w:r>
    </w:p>
    <w:p w14:paraId="416468AE">
      <w:pPr>
        <w:spacing w:line="360" w:lineRule="auto"/>
        <w:ind w:firstLine="420"/>
        <w:rPr>
          <w:rFonts w:hint="eastAsia" w:ascii="宋体" w:hAnsi="宋体" w:eastAsia="宋体" w:cs="宋体"/>
          <w:szCs w:val="21"/>
        </w:rPr>
      </w:pPr>
      <w:r>
        <w:rPr>
          <w:rFonts w:hint="eastAsia" w:ascii="宋体" w:hAnsi="宋体" w:eastAsia="宋体" w:cs="宋体"/>
          <w:szCs w:val="21"/>
        </w:rPr>
        <w:t>培训方式：集中组织，PPT汇报和介绍方式。</w:t>
      </w:r>
    </w:p>
    <w:p w14:paraId="4410BAF8">
      <w:pPr>
        <w:spacing w:line="360" w:lineRule="auto"/>
        <w:ind w:firstLine="420"/>
        <w:rPr>
          <w:rFonts w:hint="eastAsia" w:ascii="宋体" w:hAnsi="宋体" w:eastAsia="宋体" w:cs="宋体"/>
          <w:szCs w:val="21"/>
        </w:rPr>
      </w:pPr>
      <w:r>
        <w:rPr>
          <w:rFonts w:hint="eastAsia" w:ascii="宋体" w:hAnsi="宋体" w:eastAsia="宋体" w:cs="宋体"/>
          <w:szCs w:val="21"/>
        </w:rPr>
        <w:t>培训时间：项目启动前期及项目实施阶段成果后</w:t>
      </w:r>
    </w:p>
    <w:p w14:paraId="50E19B2D">
      <w:pPr>
        <w:spacing w:line="360" w:lineRule="auto"/>
        <w:ind w:firstLine="420"/>
        <w:rPr>
          <w:rFonts w:hint="eastAsia" w:ascii="宋体" w:hAnsi="宋体" w:eastAsia="宋体" w:cs="宋体"/>
          <w:szCs w:val="21"/>
        </w:rPr>
      </w:pPr>
      <w:r>
        <w:rPr>
          <w:rFonts w:hint="eastAsia" w:ascii="宋体" w:hAnsi="宋体" w:eastAsia="宋体" w:cs="宋体"/>
          <w:szCs w:val="21"/>
        </w:rPr>
        <w:t>培训时长：0.5-1天/次</w:t>
      </w:r>
    </w:p>
    <w:p w14:paraId="7A0AFA71">
      <w:pPr>
        <w:spacing w:line="360" w:lineRule="auto"/>
        <w:ind w:firstLine="420"/>
        <w:rPr>
          <w:rFonts w:hint="eastAsia" w:ascii="宋体" w:hAnsi="宋体" w:eastAsia="宋体" w:cs="宋体"/>
          <w:szCs w:val="21"/>
        </w:rPr>
      </w:pPr>
      <w:r>
        <w:rPr>
          <w:rFonts w:hint="eastAsia" w:ascii="宋体" w:hAnsi="宋体" w:eastAsia="宋体" w:cs="宋体"/>
          <w:szCs w:val="21"/>
        </w:rPr>
        <w:t>培训人员：1-2人（项目经理、技术负责人）</w:t>
      </w:r>
    </w:p>
    <w:p w14:paraId="1236ACE0">
      <w:pPr>
        <w:spacing w:line="360" w:lineRule="auto"/>
        <w:ind w:firstLine="420"/>
        <w:rPr>
          <w:rFonts w:hint="eastAsia" w:ascii="宋体" w:hAnsi="宋体" w:eastAsia="宋体" w:cs="宋体"/>
          <w:szCs w:val="21"/>
        </w:rPr>
      </w:pPr>
      <w:r>
        <w:rPr>
          <w:rFonts w:hint="eastAsia" w:ascii="宋体" w:hAnsi="宋体" w:eastAsia="宋体" w:cs="宋体"/>
          <w:szCs w:val="21"/>
        </w:rPr>
        <w:t>日程安排：待定</w:t>
      </w:r>
    </w:p>
    <w:p w14:paraId="5692CF89">
      <w:pPr>
        <w:spacing w:line="360" w:lineRule="auto"/>
        <w:ind w:firstLine="420"/>
        <w:rPr>
          <w:rFonts w:hint="eastAsia" w:ascii="宋体" w:hAnsi="宋体" w:eastAsia="宋体" w:cs="宋体"/>
          <w:szCs w:val="21"/>
        </w:rPr>
      </w:pPr>
      <w:r>
        <w:rPr>
          <w:rFonts w:hint="eastAsia" w:ascii="宋体" w:hAnsi="宋体" w:eastAsia="宋体" w:cs="宋体"/>
          <w:szCs w:val="21"/>
        </w:rPr>
        <w:t>培训地点：待定</w:t>
      </w:r>
    </w:p>
    <w:p w14:paraId="5930A385">
      <w:pPr>
        <w:spacing w:line="360" w:lineRule="auto"/>
        <w:ind w:firstLine="420"/>
        <w:rPr>
          <w:rFonts w:hint="eastAsia" w:ascii="宋体" w:hAnsi="宋体" w:eastAsia="宋体" w:cs="宋体"/>
          <w:szCs w:val="21"/>
        </w:rPr>
      </w:pPr>
      <w:r>
        <w:rPr>
          <w:rFonts w:hint="eastAsia" w:ascii="宋体" w:hAnsi="宋体" w:eastAsia="宋体" w:cs="宋体"/>
          <w:szCs w:val="21"/>
        </w:rPr>
        <w:t>培训资料：系统实施方案、系统设计方案、阶段性实施报告等</w:t>
      </w:r>
    </w:p>
    <w:p w14:paraId="39FDFC9C">
      <w:pPr>
        <w:spacing w:line="360" w:lineRule="auto"/>
        <w:ind w:firstLine="420"/>
        <w:rPr>
          <w:rFonts w:hint="eastAsia" w:ascii="宋体" w:hAnsi="宋体" w:eastAsia="宋体" w:cs="宋体"/>
          <w:szCs w:val="21"/>
        </w:rPr>
      </w:pPr>
      <w:r>
        <w:rPr>
          <w:rFonts w:hint="eastAsia" w:ascii="宋体" w:hAnsi="宋体" w:eastAsia="宋体" w:cs="宋体"/>
          <w:szCs w:val="21"/>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254F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FD0B799">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65205AFF">
            <w:pPr>
              <w:spacing w:line="360" w:lineRule="auto"/>
              <w:ind w:firstLine="420"/>
              <w:rPr>
                <w:rFonts w:hint="eastAsia" w:ascii="宋体" w:hAnsi="宋体" w:eastAsia="宋体" w:cs="宋体"/>
                <w:szCs w:val="21"/>
              </w:rPr>
            </w:pPr>
            <w:r>
              <w:rPr>
                <w:rFonts w:hint="eastAsia" w:ascii="宋体" w:hAnsi="宋体" w:eastAsia="宋体" w:cs="宋体"/>
                <w:szCs w:val="21"/>
              </w:rPr>
              <w:t>根据项目工作计划初步确定培训时间；高层参加培训的人员确定；培训内容的准备；培训老师的准备；</w:t>
            </w:r>
          </w:p>
        </w:tc>
      </w:tr>
      <w:tr w14:paraId="016E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01FE1BD0">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0C7DAA38">
            <w:pPr>
              <w:spacing w:line="360" w:lineRule="auto"/>
              <w:ind w:firstLine="420"/>
              <w:rPr>
                <w:rFonts w:hint="eastAsia" w:ascii="宋体" w:hAnsi="宋体" w:eastAsia="宋体" w:cs="宋体"/>
                <w:szCs w:val="21"/>
              </w:rPr>
            </w:pPr>
            <w:r>
              <w:rPr>
                <w:rFonts w:hint="eastAsia" w:ascii="宋体" w:hAnsi="宋体" w:eastAsia="宋体" w:cs="宋体"/>
                <w:szCs w:val="21"/>
              </w:rPr>
              <w:t>培训内容可以包括系统整体规划、项目实施成果、业务流程情况、系统整体框架等；</w:t>
            </w:r>
          </w:p>
          <w:p w14:paraId="4BF7EDE7">
            <w:pPr>
              <w:spacing w:line="360" w:lineRule="auto"/>
              <w:ind w:firstLine="420"/>
              <w:rPr>
                <w:rFonts w:hint="eastAsia" w:ascii="宋体" w:hAnsi="宋体" w:eastAsia="宋体" w:cs="宋体"/>
                <w:szCs w:val="21"/>
              </w:rPr>
            </w:pPr>
            <w:r>
              <w:rPr>
                <w:rFonts w:hint="eastAsia" w:ascii="宋体" w:hAnsi="宋体" w:eastAsia="宋体" w:cs="宋体"/>
                <w:szCs w:val="21"/>
              </w:rPr>
              <w:t>培训人员应对项目整体有较高理解和认识。</w:t>
            </w:r>
          </w:p>
        </w:tc>
      </w:tr>
    </w:tbl>
    <w:p w14:paraId="0A1593BE">
      <w:pPr>
        <w:spacing w:line="360" w:lineRule="auto"/>
        <w:ind w:firstLine="420"/>
        <w:rPr>
          <w:rFonts w:hint="eastAsia" w:ascii="宋体" w:hAnsi="宋体" w:eastAsia="宋体" w:cs="宋体"/>
          <w:szCs w:val="21"/>
        </w:rPr>
      </w:pPr>
      <w:r>
        <w:rPr>
          <w:rFonts w:hint="eastAsia" w:ascii="宋体" w:hAnsi="宋体" w:eastAsia="宋体" w:cs="宋体"/>
          <w:szCs w:val="21"/>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021B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8D19E49">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1CB2600E">
            <w:pPr>
              <w:spacing w:line="360" w:lineRule="auto"/>
              <w:ind w:firstLine="420"/>
              <w:rPr>
                <w:rFonts w:hint="eastAsia" w:ascii="宋体" w:hAnsi="宋体" w:eastAsia="宋体" w:cs="宋体"/>
                <w:szCs w:val="21"/>
              </w:rPr>
            </w:pPr>
            <w:r>
              <w:rPr>
                <w:rFonts w:hint="eastAsia" w:ascii="宋体" w:hAnsi="宋体" w:eastAsia="宋体" w:cs="宋体"/>
                <w:szCs w:val="21"/>
              </w:rPr>
              <w:t>开展培训工作。</w:t>
            </w:r>
          </w:p>
        </w:tc>
      </w:tr>
      <w:tr w14:paraId="5550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A282873">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71A4AB67">
            <w:pPr>
              <w:spacing w:line="360" w:lineRule="auto"/>
              <w:ind w:firstLine="420"/>
              <w:rPr>
                <w:rFonts w:hint="eastAsia" w:ascii="宋体" w:hAnsi="宋体" w:eastAsia="宋体" w:cs="宋体"/>
                <w:szCs w:val="21"/>
              </w:rPr>
            </w:pPr>
            <w:r>
              <w:rPr>
                <w:rFonts w:hint="eastAsia" w:ascii="宋体" w:hAnsi="宋体" w:eastAsia="宋体" w:cs="宋体"/>
                <w:szCs w:val="21"/>
              </w:rPr>
              <w:t>培训工作由客户方负责人主持，由相关领导明确培训要求。</w:t>
            </w:r>
          </w:p>
        </w:tc>
      </w:tr>
    </w:tbl>
    <w:p w14:paraId="0D628830">
      <w:pPr>
        <w:spacing w:line="360" w:lineRule="auto"/>
        <w:ind w:firstLine="420"/>
        <w:rPr>
          <w:rFonts w:hint="eastAsia" w:ascii="宋体" w:hAnsi="宋体" w:eastAsia="宋体" w:cs="宋体"/>
          <w:szCs w:val="21"/>
        </w:rPr>
      </w:pPr>
      <w:r>
        <w:rPr>
          <w:rFonts w:hint="eastAsia" w:ascii="宋体" w:hAnsi="宋体" w:eastAsia="宋体" w:cs="宋体"/>
          <w:szCs w:val="21"/>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3594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80F414D">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1C48F2BA">
            <w:pPr>
              <w:spacing w:line="360" w:lineRule="auto"/>
              <w:ind w:firstLine="420"/>
              <w:rPr>
                <w:rFonts w:hint="eastAsia" w:ascii="宋体" w:hAnsi="宋体" w:eastAsia="宋体" w:cs="宋体"/>
                <w:szCs w:val="21"/>
              </w:rPr>
            </w:pPr>
            <w:r>
              <w:rPr>
                <w:rFonts w:hint="eastAsia" w:ascii="宋体" w:hAnsi="宋体" w:eastAsia="宋体" w:cs="宋体"/>
                <w:szCs w:val="21"/>
              </w:rPr>
              <w:t>培训工作完成后，对培训效果进行评估。</w:t>
            </w:r>
          </w:p>
        </w:tc>
      </w:tr>
      <w:tr w14:paraId="3B23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039FCBE">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6BA1D98A">
            <w:pPr>
              <w:spacing w:line="360" w:lineRule="auto"/>
              <w:ind w:firstLine="420"/>
              <w:rPr>
                <w:rFonts w:hint="eastAsia" w:ascii="宋体" w:hAnsi="宋体" w:eastAsia="宋体" w:cs="宋体"/>
                <w:szCs w:val="21"/>
              </w:rPr>
            </w:pPr>
            <w:r>
              <w:rPr>
                <w:rFonts w:hint="eastAsia" w:ascii="宋体" w:hAnsi="宋体" w:eastAsia="宋体" w:cs="宋体"/>
                <w:szCs w:val="21"/>
              </w:rPr>
              <w:t>由客户方负责人对培训现场进行直接评估，也可以培训完成后，单独了解。</w:t>
            </w:r>
          </w:p>
        </w:tc>
      </w:tr>
    </w:tbl>
    <w:p w14:paraId="5BD1533B">
      <w:pPr>
        <w:numPr>
          <w:ilvl w:val="0"/>
          <w:numId w:val="158"/>
        </w:numPr>
        <w:spacing w:line="360" w:lineRule="auto"/>
        <w:rPr>
          <w:rFonts w:hint="eastAsia" w:ascii="宋体" w:hAnsi="宋体" w:eastAsia="宋体" w:cs="宋体"/>
          <w:szCs w:val="21"/>
        </w:rPr>
      </w:pPr>
      <w:r>
        <w:rPr>
          <w:rFonts w:hint="eastAsia" w:ascii="宋体" w:hAnsi="宋体" w:eastAsia="宋体" w:cs="宋体"/>
          <w:szCs w:val="21"/>
        </w:rPr>
        <w:t>各类技术人员和技术负责人</w:t>
      </w:r>
    </w:p>
    <w:p w14:paraId="0872DF65">
      <w:pPr>
        <w:spacing w:line="360" w:lineRule="auto"/>
        <w:ind w:firstLine="420"/>
        <w:rPr>
          <w:rFonts w:hint="eastAsia" w:ascii="宋体" w:hAnsi="宋体" w:eastAsia="宋体" w:cs="宋体"/>
          <w:szCs w:val="21"/>
        </w:rPr>
      </w:pPr>
      <w:r>
        <w:rPr>
          <w:rFonts w:hint="eastAsia" w:ascii="宋体" w:hAnsi="宋体" w:eastAsia="宋体" w:cs="宋体"/>
          <w:szCs w:val="21"/>
        </w:rPr>
        <w:t>培训目标：系统知识及开发技术相关知识培训，使各类技术人员和技术负责人能够掌握所需的系统知识、代码开发知识、数据结构、业务流转与数据交互逻辑、接口设计及调用、技术中间件、系统部署运维知识等。</w:t>
      </w:r>
    </w:p>
    <w:p w14:paraId="39F0DAD1">
      <w:pPr>
        <w:spacing w:line="360" w:lineRule="auto"/>
        <w:ind w:firstLine="420"/>
        <w:rPr>
          <w:rFonts w:hint="eastAsia" w:ascii="宋体" w:hAnsi="宋体" w:eastAsia="宋体" w:cs="宋体"/>
          <w:szCs w:val="21"/>
        </w:rPr>
      </w:pPr>
      <w:r>
        <w:rPr>
          <w:rFonts w:hint="eastAsia" w:ascii="宋体" w:hAnsi="宋体" w:eastAsia="宋体" w:cs="宋体"/>
          <w:szCs w:val="21"/>
        </w:rPr>
        <w:t>培训方式：小范围分批次，一般需要针对技术环节由专业技术人员进行点对点培训。</w:t>
      </w:r>
    </w:p>
    <w:p w14:paraId="68075572">
      <w:pPr>
        <w:spacing w:line="360" w:lineRule="auto"/>
        <w:ind w:firstLine="420"/>
        <w:rPr>
          <w:rFonts w:hint="eastAsia" w:ascii="宋体" w:hAnsi="宋体" w:eastAsia="宋体" w:cs="宋体"/>
          <w:szCs w:val="21"/>
        </w:rPr>
      </w:pPr>
      <w:r>
        <w:rPr>
          <w:rFonts w:hint="eastAsia" w:ascii="宋体" w:hAnsi="宋体" w:eastAsia="宋体" w:cs="宋体"/>
          <w:szCs w:val="21"/>
        </w:rPr>
        <w:t>培训时间：项目实施后期，系统研发及部署工作基本完成后。</w:t>
      </w:r>
    </w:p>
    <w:p w14:paraId="7C65E83A">
      <w:pPr>
        <w:spacing w:line="360" w:lineRule="auto"/>
        <w:ind w:firstLine="420"/>
        <w:rPr>
          <w:rFonts w:hint="eastAsia" w:ascii="宋体" w:hAnsi="宋体" w:eastAsia="宋体" w:cs="宋体"/>
          <w:szCs w:val="21"/>
        </w:rPr>
      </w:pPr>
      <w:r>
        <w:rPr>
          <w:rFonts w:hint="eastAsia" w:ascii="宋体" w:hAnsi="宋体" w:eastAsia="宋体" w:cs="宋体"/>
          <w:szCs w:val="21"/>
        </w:rPr>
        <w:t>培训时长：2-4天</w:t>
      </w:r>
    </w:p>
    <w:p w14:paraId="6C8AF5E6">
      <w:pPr>
        <w:spacing w:line="360" w:lineRule="auto"/>
        <w:ind w:firstLine="420"/>
        <w:rPr>
          <w:rFonts w:hint="eastAsia" w:ascii="宋体" w:hAnsi="宋体" w:eastAsia="宋体" w:cs="宋体"/>
          <w:szCs w:val="21"/>
        </w:rPr>
      </w:pPr>
      <w:r>
        <w:rPr>
          <w:rFonts w:hint="eastAsia" w:ascii="宋体" w:hAnsi="宋体" w:eastAsia="宋体" w:cs="宋体"/>
          <w:szCs w:val="21"/>
        </w:rPr>
        <w:t>培训人员：2-3人（技术培训人员1-2人，运维人员1人）</w:t>
      </w:r>
    </w:p>
    <w:p w14:paraId="2A086A13">
      <w:pPr>
        <w:spacing w:line="360" w:lineRule="auto"/>
        <w:ind w:firstLine="420"/>
        <w:rPr>
          <w:rFonts w:hint="eastAsia" w:ascii="宋体" w:hAnsi="宋体" w:eastAsia="宋体" w:cs="宋体"/>
          <w:szCs w:val="21"/>
        </w:rPr>
      </w:pPr>
      <w:r>
        <w:rPr>
          <w:rFonts w:hint="eastAsia" w:ascii="宋体" w:hAnsi="宋体" w:eastAsia="宋体" w:cs="宋体"/>
          <w:szCs w:val="21"/>
        </w:rPr>
        <w:t>日程安排：待定</w:t>
      </w:r>
    </w:p>
    <w:p w14:paraId="1FDA1593">
      <w:pPr>
        <w:spacing w:line="360" w:lineRule="auto"/>
        <w:ind w:firstLine="420"/>
        <w:rPr>
          <w:rFonts w:hint="eastAsia" w:ascii="宋体" w:hAnsi="宋体" w:eastAsia="宋体" w:cs="宋体"/>
          <w:szCs w:val="21"/>
        </w:rPr>
      </w:pPr>
      <w:r>
        <w:rPr>
          <w:rFonts w:hint="eastAsia" w:ascii="宋体" w:hAnsi="宋体" w:eastAsia="宋体" w:cs="宋体"/>
          <w:szCs w:val="21"/>
        </w:rPr>
        <w:t>培训地点：待定，建议需满足代码或系统知识查看所需的环境要求</w:t>
      </w:r>
    </w:p>
    <w:p w14:paraId="0C7A6480">
      <w:pPr>
        <w:spacing w:line="360" w:lineRule="auto"/>
        <w:ind w:firstLine="420"/>
        <w:rPr>
          <w:rFonts w:hint="eastAsia" w:ascii="宋体" w:hAnsi="宋体" w:eastAsia="宋体" w:cs="宋体"/>
          <w:szCs w:val="21"/>
        </w:rPr>
      </w:pPr>
      <w:r>
        <w:rPr>
          <w:rFonts w:hint="eastAsia" w:ascii="宋体" w:hAnsi="宋体" w:eastAsia="宋体" w:cs="宋体"/>
          <w:szCs w:val="21"/>
        </w:rPr>
        <w:t>培训资料：系统设计方案、技术文档、系统部署手册等</w:t>
      </w:r>
    </w:p>
    <w:p w14:paraId="4E6E2989">
      <w:pPr>
        <w:spacing w:line="360" w:lineRule="auto"/>
        <w:ind w:firstLine="420"/>
        <w:rPr>
          <w:rFonts w:hint="eastAsia" w:ascii="宋体" w:hAnsi="宋体" w:eastAsia="宋体" w:cs="宋体"/>
          <w:szCs w:val="21"/>
        </w:rPr>
      </w:pPr>
      <w:r>
        <w:rPr>
          <w:rFonts w:hint="eastAsia" w:ascii="宋体" w:hAnsi="宋体" w:eastAsia="宋体" w:cs="宋体"/>
          <w:szCs w:val="21"/>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0A11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733C5EF5">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6E13D64F">
            <w:pPr>
              <w:spacing w:line="360" w:lineRule="auto"/>
              <w:ind w:firstLine="420"/>
              <w:rPr>
                <w:rFonts w:hint="eastAsia" w:ascii="宋体" w:hAnsi="宋体" w:eastAsia="宋体" w:cs="宋体"/>
                <w:szCs w:val="21"/>
              </w:rPr>
            </w:pPr>
            <w:r>
              <w:rPr>
                <w:rFonts w:hint="eastAsia" w:ascii="宋体" w:hAnsi="宋体" w:eastAsia="宋体" w:cs="宋体"/>
                <w:szCs w:val="21"/>
              </w:rPr>
              <w:t>根据项目工作计划初步确定培训时间；参加培训的技术人员确定；培训内容及培训材料的准备；培训老师的准备；</w:t>
            </w:r>
          </w:p>
        </w:tc>
      </w:tr>
      <w:tr w14:paraId="4571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FFD2E7D">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0EED6CBF">
            <w:pPr>
              <w:spacing w:line="360" w:lineRule="auto"/>
              <w:ind w:firstLine="420"/>
              <w:rPr>
                <w:rFonts w:hint="eastAsia" w:ascii="宋体" w:hAnsi="宋体" w:eastAsia="宋体" w:cs="宋体"/>
                <w:szCs w:val="21"/>
              </w:rPr>
            </w:pPr>
            <w:r>
              <w:rPr>
                <w:rFonts w:hint="eastAsia" w:ascii="宋体" w:hAnsi="宋体" w:eastAsia="宋体" w:cs="宋体"/>
                <w:szCs w:val="21"/>
              </w:rPr>
              <w:t>培训人员应对系统技术相关知识有足够理解，并具备培训经验。</w:t>
            </w:r>
          </w:p>
        </w:tc>
      </w:tr>
    </w:tbl>
    <w:p w14:paraId="3065C740">
      <w:pPr>
        <w:spacing w:line="360" w:lineRule="auto"/>
        <w:ind w:firstLine="420"/>
        <w:rPr>
          <w:rFonts w:hint="eastAsia" w:ascii="宋体" w:hAnsi="宋体" w:eastAsia="宋体" w:cs="宋体"/>
          <w:szCs w:val="21"/>
        </w:rPr>
      </w:pPr>
      <w:r>
        <w:rPr>
          <w:rFonts w:hint="eastAsia" w:ascii="宋体" w:hAnsi="宋体" w:eastAsia="宋体" w:cs="宋体"/>
          <w:szCs w:val="21"/>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425C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B99BE7D">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642D8BE3">
            <w:pPr>
              <w:spacing w:line="360" w:lineRule="auto"/>
              <w:ind w:firstLine="420"/>
              <w:rPr>
                <w:rFonts w:hint="eastAsia" w:ascii="宋体" w:hAnsi="宋体" w:eastAsia="宋体" w:cs="宋体"/>
                <w:szCs w:val="21"/>
              </w:rPr>
            </w:pPr>
            <w:r>
              <w:rPr>
                <w:rFonts w:hint="eastAsia" w:ascii="宋体" w:hAnsi="宋体" w:eastAsia="宋体" w:cs="宋体"/>
                <w:szCs w:val="21"/>
              </w:rPr>
              <w:t>开展培训工作。</w:t>
            </w:r>
          </w:p>
        </w:tc>
      </w:tr>
      <w:tr w14:paraId="7C3A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F9EE689">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3DFF0A49">
            <w:pPr>
              <w:spacing w:line="360" w:lineRule="auto"/>
              <w:ind w:firstLine="420"/>
              <w:rPr>
                <w:rFonts w:hint="eastAsia" w:ascii="宋体" w:hAnsi="宋体" w:eastAsia="宋体" w:cs="宋体"/>
                <w:szCs w:val="21"/>
              </w:rPr>
            </w:pPr>
            <w:r>
              <w:rPr>
                <w:rFonts w:hint="eastAsia" w:ascii="宋体" w:hAnsi="宋体" w:eastAsia="宋体" w:cs="宋体"/>
                <w:szCs w:val="21"/>
              </w:rPr>
              <w:t>需提前下发相关培训资料，预留足够的技术答疑时间安排</w:t>
            </w:r>
          </w:p>
        </w:tc>
      </w:tr>
    </w:tbl>
    <w:p w14:paraId="6536FB4E">
      <w:pPr>
        <w:spacing w:line="360" w:lineRule="auto"/>
        <w:ind w:firstLine="420"/>
        <w:rPr>
          <w:rFonts w:hint="eastAsia" w:ascii="宋体" w:hAnsi="宋体" w:eastAsia="宋体" w:cs="宋体"/>
          <w:szCs w:val="21"/>
        </w:rPr>
      </w:pPr>
      <w:r>
        <w:rPr>
          <w:rFonts w:hint="eastAsia" w:ascii="宋体" w:hAnsi="宋体" w:eastAsia="宋体" w:cs="宋体"/>
          <w:szCs w:val="21"/>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03C1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0953BBE0">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6C5B405D">
            <w:pPr>
              <w:spacing w:line="360" w:lineRule="auto"/>
              <w:ind w:firstLine="420"/>
              <w:rPr>
                <w:rFonts w:hint="eastAsia" w:ascii="宋体" w:hAnsi="宋体" w:eastAsia="宋体" w:cs="宋体"/>
                <w:szCs w:val="21"/>
              </w:rPr>
            </w:pPr>
            <w:r>
              <w:rPr>
                <w:rFonts w:hint="eastAsia" w:ascii="宋体" w:hAnsi="宋体" w:eastAsia="宋体" w:cs="宋体"/>
                <w:szCs w:val="21"/>
              </w:rPr>
              <w:t>培训工作完成后，对培训效果进行评估。</w:t>
            </w:r>
          </w:p>
        </w:tc>
      </w:tr>
      <w:tr w14:paraId="6219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04D48DB">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4FF0C097">
            <w:pPr>
              <w:spacing w:line="360" w:lineRule="auto"/>
              <w:ind w:firstLine="420"/>
              <w:rPr>
                <w:rFonts w:hint="eastAsia" w:ascii="宋体" w:hAnsi="宋体" w:eastAsia="宋体" w:cs="宋体"/>
                <w:szCs w:val="21"/>
              </w:rPr>
            </w:pPr>
            <w:r>
              <w:rPr>
                <w:rFonts w:hint="eastAsia" w:ascii="宋体" w:hAnsi="宋体" w:eastAsia="宋体" w:cs="宋体"/>
                <w:szCs w:val="21"/>
              </w:rPr>
              <w:t>由客户方技术负责人对培训现场进行直接评估。培训完成后，也需了解技术人员受训情况。</w:t>
            </w:r>
          </w:p>
        </w:tc>
      </w:tr>
    </w:tbl>
    <w:p w14:paraId="7E0D0366">
      <w:pPr>
        <w:numPr>
          <w:ilvl w:val="0"/>
          <w:numId w:val="158"/>
        </w:numPr>
        <w:spacing w:line="360" w:lineRule="auto"/>
        <w:rPr>
          <w:rFonts w:hint="eastAsia" w:ascii="宋体" w:hAnsi="宋体" w:eastAsia="宋体" w:cs="宋体"/>
          <w:szCs w:val="21"/>
        </w:rPr>
      </w:pPr>
      <w:r>
        <w:rPr>
          <w:rFonts w:hint="eastAsia" w:ascii="宋体" w:hAnsi="宋体" w:eastAsia="宋体" w:cs="宋体"/>
          <w:szCs w:val="21"/>
        </w:rPr>
        <w:t>系统管理人员</w:t>
      </w:r>
    </w:p>
    <w:p w14:paraId="544869B2">
      <w:pPr>
        <w:spacing w:line="360" w:lineRule="auto"/>
        <w:ind w:firstLine="420"/>
        <w:rPr>
          <w:rFonts w:hint="eastAsia" w:ascii="宋体" w:hAnsi="宋体" w:eastAsia="宋体" w:cs="宋体"/>
          <w:szCs w:val="21"/>
        </w:rPr>
      </w:pPr>
      <w:r>
        <w:rPr>
          <w:rFonts w:hint="eastAsia" w:ascii="宋体" w:hAnsi="宋体" w:eastAsia="宋体" w:cs="宋体"/>
          <w:szCs w:val="21"/>
        </w:rPr>
        <w:t>培训目标：使系统管理员掌握系统管理所需知识，能够对系统运营过程中所需的系统管理相关操作足够了解，能够完成相关管理或配置工作。</w:t>
      </w:r>
    </w:p>
    <w:p w14:paraId="790BC56D">
      <w:pPr>
        <w:spacing w:line="360" w:lineRule="auto"/>
        <w:ind w:firstLine="420"/>
        <w:rPr>
          <w:rFonts w:hint="eastAsia" w:ascii="宋体" w:hAnsi="宋体" w:eastAsia="宋体" w:cs="宋体"/>
          <w:szCs w:val="21"/>
        </w:rPr>
      </w:pPr>
      <w:r>
        <w:rPr>
          <w:rFonts w:hint="eastAsia" w:ascii="宋体" w:hAnsi="宋体" w:eastAsia="宋体" w:cs="宋体"/>
          <w:szCs w:val="21"/>
        </w:rPr>
        <w:t>培训方式：集中点对点培训或办公室培训。</w:t>
      </w:r>
    </w:p>
    <w:p w14:paraId="53A1D8CA">
      <w:pPr>
        <w:spacing w:line="360" w:lineRule="auto"/>
        <w:ind w:firstLine="420"/>
        <w:rPr>
          <w:rFonts w:hint="eastAsia" w:ascii="宋体" w:hAnsi="宋体" w:eastAsia="宋体" w:cs="宋体"/>
          <w:szCs w:val="21"/>
        </w:rPr>
      </w:pPr>
      <w:r>
        <w:rPr>
          <w:rFonts w:hint="eastAsia" w:ascii="宋体" w:hAnsi="宋体" w:eastAsia="宋体" w:cs="宋体"/>
          <w:szCs w:val="21"/>
        </w:rPr>
        <w:t>培训时间：项目运营启动前</w:t>
      </w:r>
    </w:p>
    <w:p w14:paraId="03069055">
      <w:pPr>
        <w:spacing w:line="360" w:lineRule="auto"/>
        <w:ind w:firstLine="420"/>
        <w:rPr>
          <w:rFonts w:hint="eastAsia" w:ascii="宋体" w:hAnsi="宋体" w:eastAsia="宋体" w:cs="宋体"/>
          <w:szCs w:val="21"/>
        </w:rPr>
      </w:pPr>
      <w:r>
        <w:rPr>
          <w:rFonts w:hint="eastAsia" w:ascii="宋体" w:hAnsi="宋体" w:eastAsia="宋体" w:cs="宋体"/>
          <w:szCs w:val="21"/>
        </w:rPr>
        <w:t>培训时长：1天</w:t>
      </w:r>
    </w:p>
    <w:p w14:paraId="2DDBC347">
      <w:pPr>
        <w:spacing w:line="360" w:lineRule="auto"/>
        <w:ind w:firstLine="420"/>
        <w:rPr>
          <w:rFonts w:hint="eastAsia" w:ascii="宋体" w:hAnsi="宋体" w:eastAsia="宋体" w:cs="宋体"/>
          <w:szCs w:val="21"/>
        </w:rPr>
      </w:pPr>
      <w:r>
        <w:rPr>
          <w:rFonts w:hint="eastAsia" w:ascii="宋体" w:hAnsi="宋体" w:eastAsia="宋体" w:cs="宋体"/>
          <w:szCs w:val="21"/>
        </w:rPr>
        <w:t>培训人员：1人（系统培训人员1人）</w:t>
      </w:r>
    </w:p>
    <w:p w14:paraId="62DF4FB0">
      <w:pPr>
        <w:spacing w:line="360" w:lineRule="auto"/>
        <w:ind w:firstLine="420"/>
        <w:rPr>
          <w:rFonts w:hint="eastAsia" w:ascii="宋体" w:hAnsi="宋体" w:eastAsia="宋体" w:cs="宋体"/>
          <w:szCs w:val="21"/>
        </w:rPr>
      </w:pPr>
      <w:r>
        <w:rPr>
          <w:rFonts w:hint="eastAsia" w:ascii="宋体" w:hAnsi="宋体" w:eastAsia="宋体" w:cs="宋体"/>
          <w:szCs w:val="21"/>
        </w:rPr>
        <w:t>日程安排：待定</w:t>
      </w:r>
    </w:p>
    <w:p w14:paraId="2C00FC10">
      <w:pPr>
        <w:spacing w:line="360" w:lineRule="auto"/>
        <w:ind w:firstLine="420"/>
        <w:rPr>
          <w:rFonts w:hint="eastAsia" w:ascii="宋体" w:hAnsi="宋体" w:eastAsia="宋体" w:cs="宋体"/>
          <w:szCs w:val="21"/>
        </w:rPr>
      </w:pPr>
      <w:r>
        <w:rPr>
          <w:rFonts w:hint="eastAsia" w:ascii="宋体" w:hAnsi="宋体" w:eastAsia="宋体" w:cs="宋体"/>
          <w:szCs w:val="21"/>
        </w:rPr>
        <w:t>培训地点：待定，需能够访问测试及正式系统</w:t>
      </w:r>
    </w:p>
    <w:p w14:paraId="3CD2C595">
      <w:pPr>
        <w:spacing w:line="360" w:lineRule="auto"/>
        <w:ind w:firstLine="420"/>
        <w:rPr>
          <w:rFonts w:hint="eastAsia" w:ascii="宋体" w:hAnsi="宋体" w:eastAsia="宋体" w:cs="宋体"/>
          <w:szCs w:val="21"/>
        </w:rPr>
      </w:pPr>
      <w:r>
        <w:rPr>
          <w:rFonts w:hint="eastAsia" w:ascii="宋体" w:hAnsi="宋体" w:eastAsia="宋体" w:cs="宋体"/>
          <w:szCs w:val="21"/>
        </w:rPr>
        <w:t>培训资料：系统管理员操作手册等</w:t>
      </w:r>
    </w:p>
    <w:p w14:paraId="7CF2C1D0">
      <w:pPr>
        <w:spacing w:line="360" w:lineRule="auto"/>
        <w:ind w:firstLine="420"/>
        <w:rPr>
          <w:rFonts w:hint="eastAsia" w:ascii="宋体" w:hAnsi="宋体" w:eastAsia="宋体" w:cs="宋体"/>
          <w:szCs w:val="21"/>
        </w:rPr>
      </w:pPr>
      <w:r>
        <w:rPr>
          <w:rFonts w:hint="eastAsia" w:ascii="宋体" w:hAnsi="宋体" w:eastAsia="宋体" w:cs="宋体"/>
          <w:szCs w:val="21"/>
        </w:rPr>
        <w:t>工作步骤1：培训准备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6FD8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08023CDB">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58E54D70">
            <w:pPr>
              <w:spacing w:line="360" w:lineRule="auto"/>
              <w:ind w:firstLine="420"/>
              <w:rPr>
                <w:rFonts w:hint="eastAsia" w:ascii="宋体" w:hAnsi="宋体" w:eastAsia="宋体" w:cs="宋体"/>
                <w:szCs w:val="21"/>
              </w:rPr>
            </w:pPr>
            <w:r>
              <w:rPr>
                <w:rFonts w:hint="eastAsia" w:ascii="宋体" w:hAnsi="宋体" w:eastAsia="宋体" w:cs="宋体"/>
                <w:szCs w:val="21"/>
              </w:rPr>
              <w:t>根据项目工作计划初步确定培训时间；参加培训系统管理人员确定；培训内容及培训材料的准备；培训老师的准备；准备测试环境；</w:t>
            </w:r>
          </w:p>
        </w:tc>
      </w:tr>
      <w:tr w14:paraId="36A0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437F730">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5212CF1E">
            <w:pPr>
              <w:spacing w:line="360" w:lineRule="auto"/>
              <w:ind w:firstLine="420"/>
              <w:rPr>
                <w:rFonts w:hint="eastAsia" w:ascii="宋体" w:hAnsi="宋体" w:eastAsia="宋体" w:cs="宋体"/>
                <w:szCs w:val="21"/>
              </w:rPr>
            </w:pPr>
            <w:r>
              <w:rPr>
                <w:rFonts w:hint="eastAsia" w:ascii="宋体" w:hAnsi="宋体" w:eastAsia="宋体" w:cs="宋体"/>
                <w:szCs w:val="21"/>
              </w:rPr>
              <w:t>培训人员除提前准备事项外，还应对系统运营后的系统管理相关业务流转规定有所了解，并具备丰富的系统配置操作经验和培训经验。</w:t>
            </w:r>
          </w:p>
        </w:tc>
      </w:tr>
    </w:tbl>
    <w:p w14:paraId="496274B8">
      <w:pPr>
        <w:spacing w:line="360" w:lineRule="auto"/>
        <w:ind w:firstLine="420"/>
        <w:rPr>
          <w:rFonts w:hint="eastAsia" w:ascii="宋体" w:hAnsi="宋体" w:eastAsia="宋体" w:cs="宋体"/>
          <w:szCs w:val="21"/>
        </w:rPr>
      </w:pPr>
      <w:r>
        <w:rPr>
          <w:rFonts w:hint="eastAsia" w:ascii="宋体" w:hAnsi="宋体" w:eastAsia="宋体" w:cs="宋体"/>
          <w:szCs w:val="21"/>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4CBE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1248AE9">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51F20534">
            <w:pPr>
              <w:spacing w:line="360" w:lineRule="auto"/>
              <w:ind w:firstLine="420"/>
              <w:rPr>
                <w:rFonts w:hint="eastAsia" w:ascii="宋体" w:hAnsi="宋体" w:eastAsia="宋体" w:cs="宋体"/>
                <w:szCs w:val="21"/>
              </w:rPr>
            </w:pPr>
            <w:r>
              <w:rPr>
                <w:rFonts w:hint="eastAsia" w:ascii="宋体" w:hAnsi="宋体" w:eastAsia="宋体" w:cs="宋体"/>
                <w:szCs w:val="21"/>
              </w:rPr>
              <w:t>开展培训工作。</w:t>
            </w:r>
          </w:p>
        </w:tc>
      </w:tr>
      <w:tr w14:paraId="25A6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335A768">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7C640F27">
            <w:pPr>
              <w:spacing w:line="360" w:lineRule="auto"/>
              <w:ind w:firstLine="420"/>
              <w:rPr>
                <w:rFonts w:hint="eastAsia" w:ascii="宋体" w:hAnsi="宋体" w:eastAsia="宋体" w:cs="宋体"/>
                <w:szCs w:val="21"/>
              </w:rPr>
            </w:pPr>
            <w:r>
              <w:rPr>
                <w:rFonts w:hint="eastAsia" w:ascii="宋体" w:hAnsi="宋体" w:eastAsia="宋体" w:cs="宋体"/>
                <w:szCs w:val="21"/>
              </w:rPr>
              <w:t>需积极开展测试环境的模拟配置操作。</w:t>
            </w:r>
          </w:p>
        </w:tc>
      </w:tr>
    </w:tbl>
    <w:p w14:paraId="77A08D84">
      <w:pPr>
        <w:spacing w:line="360" w:lineRule="auto"/>
        <w:ind w:firstLine="420"/>
        <w:rPr>
          <w:rFonts w:hint="eastAsia" w:ascii="宋体" w:hAnsi="宋体" w:eastAsia="宋体" w:cs="宋体"/>
          <w:szCs w:val="21"/>
        </w:rPr>
      </w:pPr>
      <w:r>
        <w:rPr>
          <w:rFonts w:hint="eastAsia" w:ascii="宋体" w:hAnsi="宋体" w:eastAsia="宋体" w:cs="宋体"/>
          <w:szCs w:val="21"/>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3ED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561E98D">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7849B5F0">
            <w:pPr>
              <w:spacing w:line="360" w:lineRule="auto"/>
              <w:ind w:firstLine="420"/>
              <w:rPr>
                <w:rFonts w:hint="eastAsia" w:ascii="宋体" w:hAnsi="宋体" w:eastAsia="宋体" w:cs="宋体"/>
                <w:szCs w:val="21"/>
              </w:rPr>
            </w:pPr>
            <w:r>
              <w:rPr>
                <w:rFonts w:hint="eastAsia" w:ascii="宋体" w:hAnsi="宋体" w:eastAsia="宋体" w:cs="宋体"/>
                <w:szCs w:val="21"/>
              </w:rPr>
              <w:t>培训工作完成后，对培训效果进行评估。</w:t>
            </w:r>
          </w:p>
        </w:tc>
      </w:tr>
      <w:tr w14:paraId="69D8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70FD1A9">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24EB16DD">
            <w:pPr>
              <w:spacing w:line="360" w:lineRule="auto"/>
              <w:ind w:firstLine="420"/>
              <w:rPr>
                <w:rFonts w:hint="eastAsia" w:ascii="宋体" w:hAnsi="宋体" w:eastAsia="宋体" w:cs="宋体"/>
                <w:szCs w:val="21"/>
              </w:rPr>
            </w:pPr>
            <w:r>
              <w:rPr>
                <w:rFonts w:hint="eastAsia" w:ascii="宋体" w:hAnsi="宋体" w:eastAsia="宋体" w:cs="宋体"/>
                <w:szCs w:val="21"/>
              </w:rPr>
              <w:t>针对不同场景，验证系统管理员能否独立完成相关操作或配置。</w:t>
            </w:r>
          </w:p>
        </w:tc>
      </w:tr>
    </w:tbl>
    <w:p w14:paraId="412DD4E7">
      <w:pPr>
        <w:numPr>
          <w:ilvl w:val="0"/>
          <w:numId w:val="158"/>
        </w:numPr>
        <w:spacing w:line="360" w:lineRule="auto"/>
        <w:rPr>
          <w:rFonts w:hint="eastAsia" w:ascii="宋体" w:hAnsi="宋体" w:eastAsia="宋体" w:cs="宋体"/>
          <w:szCs w:val="21"/>
        </w:rPr>
      </w:pPr>
      <w:r>
        <w:rPr>
          <w:rFonts w:hint="eastAsia" w:ascii="宋体" w:hAnsi="宋体" w:eastAsia="宋体" w:cs="宋体"/>
          <w:szCs w:val="21"/>
        </w:rPr>
        <w:t>最终用户</w:t>
      </w:r>
    </w:p>
    <w:p w14:paraId="164D85A7">
      <w:pPr>
        <w:spacing w:line="360" w:lineRule="auto"/>
        <w:ind w:firstLine="420"/>
        <w:rPr>
          <w:rFonts w:hint="eastAsia" w:ascii="宋体" w:hAnsi="宋体" w:eastAsia="宋体" w:cs="宋体"/>
          <w:szCs w:val="21"/>
        </w:rPr>
      </w:pPr>
      <w:r>
        <w:rPr>
          <w:rFonts w:hint="eastAsia" w:ascii="宋体" w:hAnsi="宋体" w:eastAsia="宋体" w:cs="宋体"/>
          <w:szCs w:val="21"/>
        </w:rPr>
        <w:t>培训目标：使系统终端用户能够完成系统常规操作，理解业务流转相关要求，了解问题咨询渠道。</w:t>
      </w:r>
    </w:p>
    <w:p w14:paraId="370D0214">
      <w:pPr>
        <w:spacing w:line="360" w:lineRule="auto"/>
        <w:ind w:firstLine="420"/>
        <w:rPr>
          <w:rFonts w:hint="eastAsia" w:ascii="宋体" w:hAnsi="宋体" w:eastAsia="宋体" w:cs="宋体"/>
          <w:szCs w:val="21"/>
        </w:rPr>
      </w:pPr>
      <w:r>
        <w:rPr>
          <w:rFonts w:hint="eastAsia" w:ascii="宋体" w:hAnsi="宋体" w:eastAsia="宋体" w:cs="宋体"/>
          <w:szCs w:val="21"/>
        </w:rPr>
        <w:t>培训方式：按最终使用人员角色不同分批组织培训，相同角色人员集中组织培训、线上培训、自主网络课堂学习、模拟演练等。</w:t>
      </w:r>
    </w:p>
    <w:p w14:paraId="09158BC4">
      <w:pPr>
        <w:spacing w:line="360" w:lineRule="auto"/>
        <w:ind w:firstLine="420"/>
        <w:rPr>
          <w:rFonts w:hint="eastAsia" w:ascii="宋体" w:hAnsi="宋体" w:eastAsia="宋体" w:cs="宋体"/>
          <w:szCs w:val="21"/>
        </w:rPr>
      </w:pPr>
      <w:r>
        <w:rPr>
          <w:rFonts w:hint="eastAsia" w:ascii="宋体" w:hAnsi="宋体" w:eastAsia="宋体" w:cs="宋体"/>
          <w:szCs w:val="21"/>
        </w:rPr>
        <w:t>培训时间：项目运营启动前</w:t>
      </w:r>
    </w:p>
    <w:p w14:paraId="1A9F9128">
      <w:pPr>
        <w:spacing w:line="360" w:lineRule="auto"/>
        <w:ind w:firstLine="420"/>
        <w:rPr>
          <w:rFonts w:hint="eastAsia" w:ascii="宋体" w:hAnsi="宋体" w:eastAsia="宋体" w:cs="宋体"/>
          <w:szCs w:val="21"/>
        </w:rPr>
      </w:pPr>
      <w:r>
        <w:rPr>
          <w:rFonts w:hint="eastAsia" w:ascii="宋体" w:hAnsi="宋体" w:eastAsia="宋体" w:cs="宋体"/>
          <w:szCs w:val="21"/>
        </w:rPr>
        <w:t>培训时长：1-2天</w:t>
      </w:r>
    </w:p>
    <w:p w14:paraId="769072C9">
      <w:pPr>
        <w:spacing w:line="360" w:lineRule="auto"/>
        <w:ind w:firstLine="420"/>
        <w:rPr>
          <w:rFonts w:hint="eastAsia" w:ascii="宋体" w:hAnsi="宋体" w:eastAsia="宋体" w:cs="宋体"/>
          <w:szCs w:val="21"/>
        </w:rPr>
      </w:pPr>
      <w:r>
        <w:rPr>
          <w:rFonts w:hint="eastAsia" w:ascii="宋体" w:hAnsi="宋体" w:eastAsia="宋体" w:cs="宋体"/>
          <w:szCs w:val="21"/>
        </w:rPr>
        <w:t>培训人员：1-2人（系统培训人员1-2人）</w:t>
      </w:r>
    </w:p>
    <w:p w14:paraId="1E907F42">
      <w:pPr>
        <w:spacing w:line="360" w:lineRule="auto"/>
        <w:ind w:firstLine="420"/>
        <w:rPr>
          <w:rFonts w:hint="eastAsia" w:ascii="宋体" w:hAnsi="宋体" w:eastAsia="宋体" w:cs="宋体"/>
          <w:szCs w:val="21"/>
        </w:rPr>
      </w:pPr>
      <w:r>
        <w:rPr>
          <w:rFonts w:hint="eastAsia" w:ascii="宋体" w:hAnsi="宋体" w:eastAsia="宋体" w:cs="宋体"/>
          <w:szCs w:val="21"/>
        </w:rPr>
        <w:t>日程安排：待定</w:t>
      </w:r>
    </w:p>
    <w:p w14:paraId="286ED2BB">
      <w:pPr>
        <w:spacing w:line="360" w:lineRule="auto"/>
        <w:ind w:firstLine="420"/>
        <w:rPr>
          <w:rFonts w:hint="eastAsia" w:ascii="宋体" w:hAnsi="宋体" w:eastAsia="宋体" w:cs="宋体"/>
          <w:szCs w:val="21"/>
        </w:rPr>
      </w:pPr>
      <w:r>
        <w:rPr>
          <w:rFonts w:hint="eastAsia" w:ascii="宋体" w:hAnsi="宋体" w:eastAsia="宋体" w:cs="宋体"/>
          <w:szCs w:val="21"/>
        </w:rPr>
        <w:t>培训地点：待定</w:t>
      </w:r>
    </w:p>
    <w:p w14:paraId="3E971BE9">
      <w:pPr>
        <w:spacing w:line="360" w:lineRule="auto"/>
        <w:ind w:firstLine="420"/>
        <w:rPr>
          <w:rFonts w:hint="eastAsia" w:ascii="宋体" w:hAnsi="宋体" w:eastAsia="宋体" w:cs="宋体"/>
          <w:szCs w:val="21"/>
        </w:rPr>
      </w:pPr>
      <w:r>
        <w:rPr>
          <w:rFonts w:hint="eastAsia" w:ascii="宋体" w:hAnsi="宋体" w:eastAsia="宋体" w:cs="宋体"/>
          <w:szCs w:val="21"/>
        </w:rPr>
        <w:t>培训资料：系统操作手册等</w:t>
      </w:r>
    </w:p>
    <w:p w14:paraId="46169A87">
      <w:pPr>
        <w:spacing w:line="360" w:lineRule="auto"/>
        <w:ind w:firstLine="420"/>
        <w:rPr>
          <w:rFonts w:hint="eastAsia" w:ascii="宋体" w:hAnsi="宋体" w:eastAsia="宋体" w:cs="宋体"/>
          <w:szCs w:val="21"/>
        </w:rPr>
      </w:pPr>
      <w:r>
        <w:rPr>
          <w:rFonts w:hint="eastAsia" w:ascii="宋体" w:hAnsi="宋体" w:eastAsia="宋体" w:cs="宋体"/>
          <w:szCs w:val="21"/>
        </w:rPr>
        <w:t>培训步骤1：培训准备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6D10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6C33018F">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7BCFC6F4">
            <w:pPr>
              <w:spacing w:line="360" w:lineRule="auto"/>
              <w:ind w:firstLine="420"/>
              <w:rPr>
                <w:rFonts w:hint="eastAsia" w:ascii="宋体" w:hAnsi="宋体" w:eastAsia="宋体" w:cs="宋体"/>
                <w:szCs w:val="21"/>
              </w:rPr>
            </w:pPr>
            <w:r>
              <w:rPr>
                <w:rFonts w:hint="eastAsia" w:ascii="宋体" w:hAnsi="宋体" w:eastAsia="宋体" w:cs="宋体"/>
                <w:szCs w:val="21"/>
              </w:rPr>
              <w:t>根据项目工作计划初步确定培训时间；组织参训人员参训；培训内容及培训材料的准备；培训老师的准备；准备测试环境；</w:t>
            </w:r>
          </w:p>
        </w:tc>
      </w:tr>
      <w:tr w14:paraId="6E7C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2AAB8F91">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12AF69D9">
            <w:pPr>
              <w:spacing w:line="360" w:lineRule="auto"/>
              <w:ind w:firstLine="420"/>
              <w:rPr>
                <w:rFonts w:hint="eastAsia" w:ascii="宋体" w:hAnsi="宋体" w:eastAsia="宋体" w:cs="宋体"/>
                <w:szCs w:val="21"/>
              </w:rPr>
            </w:pPr>
            <w:r>
              <w:rPr>
                <w:rFonts w:hint="eastAsia" w:ascii="宋体" w:hAnsi="宋体" w:eastAsia="宋体" w:cs="宋体"/>
                <w:szCs w:val="21"/>
              </w:rPr>
              <w:t>提前组织人员，具体使用人员角色分类整理培训材料和培训内容。</w:t>
            </w:r>
          </w:p>
        </w:tc>
      </w:tr>
    </w:tbl>
    <w:p w14:paraId="33429AD0">
      <w:pPr>
        <w:spacing w:line="360" w:lineRule="auto"/>
        <w:ind w:firstLine="420"/>
        <w:rPr>
          <w:rFonts w:hint="eastAsia" w:ascii="宋体" w:hAnsi="宋体" w:eastAsia="宋体" w:cs="宋体"/>
          <w:szCs w:val="21"/>
        </w:rPr>
      </w:pPr>
      <w:r>
        <w:rPr>
          <w:rFonts w:hint="eastAsia" w:ascii="宋体" w:hAnsi="宋体" w:eastAsia="宋体" w:cs="宋体"/>
          <w:szCs w:val="21"/>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2130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D39F0F6">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52DDC736">
            <w:pPr>
              <w:spacing w:line="360" w:lineRule="auto"/>
              <w:ind w:firstLine="420"/>
              <w:rPr>
                <w:rFonts w:hint="eastAsia" w:ascii="宋体" w:hAnsi="宋体" w:eastAsia="宋体" w:cs="宋体"/>
                <w:szCs w:val="21"/>
              </w:rPr>
            </w:pPr>
            <w:r>
              <w:rPr>
                <w:rFonts w:hint="eastAsia" w:ascii="宋体" w:hAnsi="宋体" w:eastAsia="宋体" w:cs="宋体"/>
                <w:szCs w:val="21"/>
              </w:rPr>
              <w:t>开展培训工作。</w:t>
            </w:r>
          </w:p>
        </w:tc>
      </w:tr>
      <w:tr w14:paraId="7A5D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3D9972C">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5D89610D">
            <w:pPr>
              <w:spacing w:line="360" w:lineRule="auto"/>
              <w:ind w:firstLine="420"/>
              <w:rPr>
                <w:rFonts w:hint="eastAsia" w:ascii="宋体" w:hAnsi="宋体" w:eastAsia="宋体" w:cs="宋体"/>
                <w:szCs w:val="21"/>
              </w:rPr>
            </w:pPr>
            <w:r>
              <w:rPr>
                <w:rFonts w:hint="eastAsia" w:ascii="宋体" w:hAnsi="宋体" w:eastAsia="宋体" w:cs="宋体"/>
                <w:szCs w:val="21"/>
              </w:rPr>
              <w:t>建议采用线上线下并行的方式开展培训，利用网络培训、视频会议、直播等方式同步开展培训。为潜在投标人，评标专家等无法集中组织培训的系统用户提供便捷的线上学习渠道和操作要点梳理。</w:t>
            </w:r>
          </w:p>
        </w:tc>
      </w:tr>
    </w:tbl>
    <w:p w14:paraId="630A5405">
      <w:pPr>
        <w:spacing w:line="360" w:lineRule="auto"/>
        <w:ind w:firstLine="420"/>
        <w:rPr>
          <w:rFonts w:hint="eastAsia" w:ascii="宋体" w:hAnsi="宋体" w:eastAsia="宋体" w:cs="宋体"/>
          <w:szCs w:val="21"/>
        </w:rPr>
      </w:pPr>
      <w:r>
        <w:rPr>
          <w:rFonts w:hint="eastAsia" w:ascii="宋体" w:hAnsi="宋体" w:eastAsia="宋体" w:cs="宋体"/>
          <w:szCs w:val="21"/>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5E6E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E462A8C">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04DAF177">
            <w:pPr>
              <w:spacing w:line="360" w:lineRule="auto"/>
              <w:ind w:firstLine="420"/>
              <w:rPr>
                <w:rFonts w:hint="eastAsia" w:ascii="宋体" w:hAnsi="宋体" w:eastAsia="宋体" w:cs="宋体"/>
                <w:szCs w:val="21"/>
              </w:rPr>
            </w:pPr>
            <w:r>
              <w:rPr>
                <w:rFonts w:hint="eastAsia" w:ascii="宋体" w:hAnsi="宋体" w:eastAsia="宋体" w:cs="宋体"/>
                <w:szCs w:val="21"/>
              </w:rPr>
              <w:t>培训工作完成后，对培训效果进行评估。</w:t>
            </w:r>
          </w:p>
        </w:tc>
      </w:tr>
      <w:tr w14:paraId="56F1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3D74F2C2">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4A91D052">
            <w:pPr>
              <w:spacing w:line="360" w:lineRule="auto"/>
              <w:ind w:firstLine="420"/>
              <w:rPr>
                <w:rFonts w:hint="eastAsia" w:ascii="宋体" w:hAnsi="宋体" w:eastAsia="宋体" w:cs="宋体"/>
                <w:szCs w:val="21"/>
              </w:rPr>
            </w:pPr>
            <w:r>
              <w:rPr>
                <w:rFonts w:hint="eastAsia" w:ascii="宋体" w:hAnsi="宋体" w:eastAsia="宋体" w:cs="宋体"/>
                <w:szCs w:val="21"/>
              </w:rPr>
              <w:t>及时调整培训方式和安排，对培训效果进行持续跟踪</w:t>
            </w:r>
          </w:p>
        </w:tc>
      </w:tr>
    </w:tbl>
    <w:p w14:paraId="12FD8839">
      <w:pPr>
        <w:spacing w:line="360" w:lineRule="auto"/>
        <w:rPr>
          <w:rFonts w:hint="eastAsia" w:ascii="宋体" w:hAnsi="宋体" w:eastAsia="宋体" w:cs="宋体"/>
          <w:szCs w:val="21"/>
        </w:rPr>
      </w:pPr>
    </w:p>
    <w:p w14:paraId="235FA2F7">
      <w:pPr>
        <w:numPr>
          <w:ilvl w:val="0"/>
          <w:numId w:val="158"/>
        </w:numPr>
        <w:spacing w:line="360" w:lineRule="auto"/>
        <w:rPr>
          <w:rFonts w:hint="eastAsia" w:ascii="宋体" w:hAnsi="宋体" w:eastAsia="宋体" w:cs="宋体"/>
          <w:szCs w:val="21"/>
        </w:rPr>
      </w:pPr>
      <w:r>
        <w:rPr>
          <w:rFonts w:hint="eastAsia" w:ascii="宋体" w:hAnsi="宋体" w:eastAsia="宋体" w:cs="宋体"/>
          <w:szCs w:val="21"/>
        </w:rPr>
        <w:t>客服人员</w:t>
      </w:r>
    </w:p>
    <w:p w14:paraId="26FB904F">
      <w:pPr>
        <w:spacing w:line="360" w:lineRule="auto"/>
        <w:ind w:firstLine="420"/>
        <w:rPr>
          <w:rFonts w:hint="eastAsia" w:ascii="宋体" w:hAnsi="宋体" w:eastAsia="宋体" w:cs="宋体"/>
          <w:szCs w:val="21"/>
        </w:rPr>
      </w:pPr>
      <w:r>
        <w:rPr>
          <w:rFonts w:hint="eastAsia" w:ascii="宋体" w:hAnsi="宋体" w:eastAsia="宋体" w:cs="宋体"/>
          <w:szCs w:val="21"/>
        </w:rPr>
        <w:t>培训目标：使客服人员能够快速掌握日常电话客户服务所需各项技能，明确工作标准，理解业务流程和相关工作职责。</w:t>
      </w:r>
    </w:p>
    <w:p w14:paraId="1BDBF17B">
      <w:pPr>
        <w:spacing w:line="360" w:lineRule="auto"/>
        <w:ind w:firstLine="420"/>
        <w:rPr>
          <w:rFonts w:hint="eastAsia" w:ascii="宋体" w:hAnsi="宋体" w:eastAsia="宋体" w:cs="宋体"/>
          <w:szCs w:val="21"/>
        </w:rPr>
      </w:pPr>
      <w:r>
        <w:rPr>
          <w:rFonts w:hint="eastAsia" w:ascii="宋体" w:hAnsi="宋体" w:eastAsia="宋体" w:cs="宋体"/>
          <w:szCs w:val="21"/>
        </w:rPr>
        <w:t>培训方式：集中组织培训、一对一培训考核等。</w:t>
      </w:r>
    </w:p>
    <w:p w14:paraId="5FCBB9CC">
      <w:pPr>
        <w:spacing w:line="360" w:lineRule="auto"/>
        <w:ind w:firstLine="420"/>
        <w:rPr>
          <w:rFonts w:hint="eastAsia" w:ascii="宋体" w:hAnsi="宋体" w:eastAsia="宋体" w:cs="宋体"/>
          <w:szCs w:val="21"/>
        </w:rPr>
      </w:pPr>
      <w:r>
        <w:rPr>
          <w:rFonts w:hint="eastAsia" w:ascii="宋体" w:hAnsi="宋体" w:eastAsia="宋体" w:cs="宋体"/>
          <w:szCs w:val="21"/>
        </w:rPr>
        <w:t>培训时间：客服人员接线前</w:t>
      </w:r>
    </w:p>
    <w:p w14:paraId="25A3B734">
      <w:pPr>
        <w:spacing w:line="360" w:lineRule="auto"/>
        <w:ind w:firstLine="420"/>
        <w:rPr>
          <w:rFonts w:hint="eastAsia" w:ascii="宋体" w:hAnsi="宋体" w:eastAsia="宋体" w:cs="宋体"/>
          <w:szCs w:val="21"/>
        </w:rPr>
      </w:pPr>
      <w:r>
        <w:rPr>
          <w:rFonts w:hint="eastAsia" w:ascii="宋体" w:hAnsi="宋体" w:eastAsia="宋体" w:cs="宋体"/>
          <w:szCs w:val="21"/>
        </w:rPr>
        <w:t>培训时长：2天</w:t>
      </w:r>
    </w:p>
    <w:p w14:paraId="14B8158B">
      <w:pPr>
        <w:spacing w:line="360" w:lineRule="auto"/>
        <w:ind w:firstLine="420"/>
        <w:rPr>
          <w:rFonts w:hint="eastAsia" w:ascii="宋体" w:hAnsi="宋体" w:eastAsia="宋体" w:cs="宋体"/>
          <w:szCs w:val="21"/>
        </w:rPr>
      </w:pPr>
      <w:r>
        <w:rPr>
          <w:rFonts w:hint="eastAsia" w:ascii="宋体" w:hAnsi="宋体" w:eastAsia="宋体" w:cs="宋体"/>
          <w:szCs w:val="21"/>
        </w:rPr>
        <w:t>培训人员：1人</w:t>
      </w:r>
    </w:p>
    <w:p w14:paraId="751F2C31">
      <w:pPr>
        <w:spacing w:line="360" w:lineRule="auto"/>
        <w:ind w:firstLine="420"/>
        <w:rPr>
          <w:rFonts w:hint="eastAsia" w:ascii="宋体" w:hAnsi="宋体" w:eastAsia="宋体" w:cs="宋体"/>
          <w:szCs w:val="21"/>
        </w:rPr>
      </w:pPr>
      <w:r>
        <w:rPr>
          <w:rFonts w:hint="eastAsia" w:ascii="宋体" w:hAnsi="宋体" w:eastAsia="宋体" w:cs="宋体"/>
          <w:szCs w:val="21"/>
        </w:rPr>
        <w:t>日程安排：待定</w:t>
      </w:r>
    </w:p>
    <w:p w14:paraId="47EF4491">
      <w:pPr>
        <w:spacing w:line="360" w:lineRule="auto"/>
        <w:ind w:firstLine="420"/>
        <w:rPr>
          <w:rFonts w:hint="eastAsia" w:ascii="宋体" w:hAnsi="宋体" w:eastAsia="宋体" w:cs="宋体"/>
          <w:szCs w:val="21"/>
        </w:rPr>
      </w:pPr>
      <w:r>
        <w:rPr>
          <w:rFonts w:hint="eastAsia" w:ascii="宋体" w:hAnsi="宋体" w:eastAsia="宋体" w:cs="宋体"/>
          <w:szCs w:val="21"/>
        </w:rPr>
        <w:t>培训地点：待定</w:t>
      </w:r>
    </w:p>
    <w:p w14:paraId="412656C0">
      <w:pPr>
        <w:spacing w:line="360" w:lineRule="auto"/>
        <w:ind w:firstLine="420"/>
        <w:rPr>
          <w:rFonts w:hint="eastAsia" w:ascii="宋体" w:hAnsi="宋体" w:eastAsia="宋体" w:cs="宋体"/>
          <w:szCs w:val="21"/>
        </w:rPr>
      </w:pPr>
      <w:r>
        <w:rPr>
          <w:rFonts w:hint="eastAsia" w:ascii="宋体" w:hAnsi="宋体" w:eastAsia="宋体" w:cs="宋体"/>
          <w:szCs w:val="21"/>
        </w:rPr>
        <w:t>培训资料：系统操作手册、客服规章制度与考核标准等</w:t>
      </w:r>
    </w:p>
    <w:p w14:paraId="76DAE90D">
      <w:pPr>
        <w:spacing w:line="360" w:lineRule="auto"/>
        <w:ind w:firstLine="420"/>
        <w:rPr>
          <w:rFonts w:hint="eastAsia" w:ascii="宋体" w:hAnsi="宋体" w:eastAsia="宋体" w:cs="宋体"/>
          <w:szCs w:val="21"/>
        </w:rPr>
      </w:pPr>
      <w:r>
        <w:rPr>
          <w:rFonts w:hint="eastAsia" w:ascii="宋体" w:hAnsi="宋体" w:eastAsia="宋体" w:cs="宋体"/>
          <w:szCs w:val="21"/>
        </w:rPr>
        <w:t>培训步骤1：培训准备</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55A5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472B87BE">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6C034CC7">
            <w:pPr>
              <w:spacing w:line="360" w:lineRule="auto"/>
              <w:ind w:firstLine="420"/>
              <w:rPr>
                <w:rFonts w:hint="eastAsia" w:ascii="宋体" w:hAnsi="宋体" w:eastAsia="宋体" w:cs="宋体"/>
                <w:szCs w:val="21"/>
              </w:rPr>
            </w:pPr>
            <w:r>
              <w:rPr>
                <w:rFonts w:hint="eastAsia" w:ascii="宋体" w:hAnsi="宋体" w:eastAsia="宋体" w:cs="宋体"/>
                <w:szCs w:val="21"/>
              </w:rPr>
              <w:t>根据项目工作计划初步确定培训时间；组织参训人员参训；培训内容及培训材料的准备；培训老师的准备；准备测试环境；</w:t>
            </w:r>
          </w:p>
        </w:tc>
      </w:tr>
      <w:tr w14:paraId="0144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42F21979">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5CC80A6D">
            <w:pPr>
              <w:spacing w:line="360" w:lineRule="auto"/>
              <w:ind w:firstLine="420"/>
              <w:rPr>
                <w:rFonts w:hint="eastAsia" w:ascii="宋体" w:hAnsi="宋体" w:eastAsia="宋体" w:cs="宋体"/>
                <w:szCs w:val="21"/>
              </w:rPr>
            </w:pPr>
            <w:r>
              <w:rPr>
                <w:rFonts w:hint="eastAsia" w:ascii="宋体" w:hAnsi="宋体" w:eastAsia="宋体" w:cs="宋体"/>
                <w:szCs w:val="21"/>
              </w:rPr>
              <w:t>提前组织人员，具体使用人员角色分类整理培训材料和培训内容。</w:t>
            </w:r>
          </w:p>
        </w:tc>
      </w:tr>
    </w:tbl>
    <w:p w14:paraId="4A233057">
      <w:pPr>
        <w:spacing w:line="360" w:lineRule="auto"/>
        <w:ind w:firstLine="420"/>
        <w:rPr>
          <w:rFonts w:hint="eastAsia" w:ascii="宋体" w:hAnsi="宋体" w:eastAsia="宋体" w:cs="宋体"/>
          <w:szCs w:val="21"/>
        </w:rPr>
      </w:pPr>
      <w:r>
        <w:rPr>
          <w:rFonts w:hint="eastAsia" w:ascii="宋体" w:hAnsi="宋体" w:eastAsia="宋体" w:cs="宋体"/>
          <w:szCs w:val="21"/>
        </w:rPr>
        <w:t>工作步骤2：开展培训</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5D54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43024E5A">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4A84A258">
            <w:pPr>
              <w:spacing w:line="360" w:lineRule="auto"/>
              <w:ind w:firstLine="420"/>
              <w:rPr>
                <w:rFonts w:hint="eastAsia" w:ascii="宋体" w:hAnsi="宋体" w:eastAsia="宋体" w:cs="宋体"/>
                <w:szCs w:val="21"/>
              </w:rPr>
            </w:pPr>
            <w:r>
              <w:rPr>
                <w:rFonts w:hint="eastAsia" w:ascii="宋体" w:hAnsi="宋体" w:eastAsia="宋体" w:cs="宋体"/>
                <w:szCs w:val="21"/>
              </w:rPr>
              <w:t>开展培训工作。</w:t>
            </w:r>
          </w:p>
        </w:tc>
      </w:tr>
      <w:tr w14:paraId="003D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1D2FE850">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51F006B3">
            <w:pPr>
              <w:spacing w:line="360" w:lineRule="auto"/>
              <w:ind w:firstLine="420"/>
              <w:rPr>
                <w:rFonts w:hint="eastAsia" w:ascii="宋体" w:hAnsi="宋体" w:eastAsia="宋体" w:cs="宋体"/>
                <w:szCs w:val="21"/>
              </w:rPr>
            </w:pPr>
            <w:r>
              <w:rPr>
                <w:rFonts w:hint="eastAsia" w:ascii="宋体" w:hAnsi="宋体" w:eastAsia="宋体" w:cs="宋体"/>
                <w:szCs w:val="21"/>
              </w:rPr>
              <w:t>线下集中组织培训，加强模拟接线考核与服务意识培训</w:t>
            </w:r>
          </w:p>
        </w:tc>
      </w:tr>
    </w:tbl>
    <w:p w14:paraId="60AEC08F">
      <w:pPr>
        <w:spacing w:line="360" w:lineRule="auto"/>
        <w:ind w:firstLine="420"/>
        <w:rPr>
          <w:rFonts w:hint="eastAsia" w:ascii="宋体" w:hAnsi="宋体" w:eastAsia="宋体" w:cs="宋体"/>
          <w:szCs w:val="21"/>
        </w:rPr>
      </w:pPr>
      <w:r>
        <w:rPr>
          <w:rFonts w:hint="eastAsia" w:ascii="宋体" w:hAnsi="宋体" w:eastAsia="宋体" w:cs="宋体"/>
          <w:szCs w:val="21"/>
        </w:rPr>
        <w:t>工作步骤3：效果评估</w:t>
      </w:r>
    </w:p>
    <w:tbl>
      <w:tblPr>
        <w:tblStyle w:val="40"/>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287"/>
      </w:tblGrid>
      <w:tr w14:paraId="607D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shd w:val="clear" w:color="auto" w:fill="auto"/>
            <w:vAlign w:val="center"/>
          </w:tcPr>
          <w:p w14:paraId="2B1E1C9F">
            <w:pPr>
              <w:spacing w:line="360" w:lineRule="auto"/>
              <w:ind w:firstLine="420"/>
              <w:rPr>
                <w:rFonts w:hint="eastAsia" w:ascii="宋体" w:hAnsi="宋体" w:eastAsia="宋体" w:cs="宋体"/>
                <w:szCs w:val="21"/>
              </w:rPr>
            </w:pPr>
            <w:r>
              <w:rPr>
                <w:rFonts w:hint="eastAsia" w:ascii="宋体" w:hAnsi="宋体" w:eastAsia="宋体" w:cs="宋体"/>
                <w:szCs w:val="21"/>
              </w:rPr>
              <w:t>任务描述</w:t>
            </w:r>
          </w:p>
        </w:tc>
        <w:tc>
          <w:tcPr>
            <w:tcW w:w="6287" w:type="dxa"/>
          </w:tcPr>
          <w:p w14:paraId="3D3CCC7D">
            <w:pPr>
              <w:spacing w:line="360" w:lineRule="auto"/>
              <w:ind w:firstLine="420"/>
              <w:rPr>
                <w:rFonts w:hint="eastAsia" w:ascii="宋体" w:hAnsi="宋体" w:eastAsia="宋体" w:cs="宋体"/>
                <w:szCs w:val="21"/>
              </w:rPr>
            </w:pPr>
            <w:r>
              <w:rPr>
                <w:rFonts w:hint="eastAsia" w:ascii="宋体" w:hAnsi="宋体" w:eastAsia="宋体" w:cs="宋体"/>
                <w:szCs w:val="21"/>
              </w:rPr>
              <w:t>培训工作完成后，对培训效果进行评估。</w:t>
            </w:r>
          </w:p>
        </w:tc>
      </w:tr>
      <w:tr w14:paraId="02D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14:paraId="5105B5EC">
            <w:pPr>
              <w:spacing w:line="360" w:lineRule="auto"/>
              <w:ind w:firstLine="420"/>
              <w:rPr>
                <w:rFonts w:hint="eastAsia" w:ascii="宋体" w:hAnsi="宋体" w:eastAsia="宋体" w:cs="宋体"/>
                <w:szCs w:val="21"/>
              </w:rPr>
            </w:pPr>
            <w:r>
              <w:rPr>
                <w:rFonts w:hint="eastAsia" w:ascii="宋体" w:hAnsi="宋体" w:eastAsia="宋体" w:cs="宋体"/>
                <w:szCs w:val="21"/>
              </w:rPr>
              <w:t>对应策略</w:t>
            </w:r>
          </w:p>
        </w:tc>
        <w:tc>
          <w:tcPr>
            <w:tcW w:w="6287" w:type="dxa"/>
          </w:tcPr>
          <w:p w14:paraId="6320F81F">
            <w:pPr>
              <w:spacing w:line="360" w:lineRule="auto"/>
              <w:ind w:firstLine="420"/>
              <w:rPr>
                <w:rFonts w:hint="eastAsia" w:ascii="宋体" w:hAnsi="宋体" w:eastAsia="宋体" w:cs="宋体"/>
                <w:szCs w:val="21"/>
              </w:rPr>
            </w:pPr>
            <w:r>
              <w:rPr>
                <w:rFonts w:hint="eastAsia" w:ascii="宋体" w:hAnsi="宋体" w:eastAsia="宋体" w:cs="宋体"/>
                <w:szCs w:val="21"/>
              </w:rPr>
              <w:t>不定期抽查客服录音</w:t>
            </w:r>
          </w:p>
        </w:tc>
      </w:tr>
    </w:tbl>
    <w:p w14:paraId="4142C3F3">
      <w:pPr>
        <w:spacing w:line="360" w:lineRule="auto"/>
        <w:rPr>
          <w:szCs w:val="21"/>
          <w:lang w:val="zh-CN"/>
        </w:rPr>
      </w:pPr>
    </w:p>
    <w:p w14:paraId="39640D42">
      <w:pPr>
        <w:pStyle w:val="5"/>
        <w:spacing w:before="260" w:after="260"/>
        <w:jc w:val="both"/>
        <w:rPr>
          <w:rFonts w:hint="eastAsia" w:ascii="宋体" w:hAnsi="宋体"/>
          <w:szCs w:val="28"/>
        </w:rPr>
      </w:pPr>
      <w:bookmarkStart w:id="412" w:name="_Toc180265754"/>
      <w:r>
        <w:rPr>
          <w:rFonts w:hint="eastAsia" w:ascii="宋体" w:hAnsi="宋体"/>
          <w:szCs w:val="28"/>
        </w:rPr>
        <w:t>应急预案</w:t>
      </w:r>
      <w:bookmarkEnd w:id="412"/>
    </w:p>
    <w:p w14:paraId="4E5D6E7F">
      <w:pPr>
        <w:pStyle w:val="6"/>
        <w:spacing w:before="260" w:after="260" w:line="416" w:lineRule="auto"/>
        <w:jc w:val="both"/>
        <w:rPr>
          <w:rFonts w:hint="eastAsia" w:ascii="宋体" w:hAnsi="宋体" w:cstheme="majorBidi"/>
          <w:szCs w:val="24"/>
        </w:rPr>
      </w:pPr>
      <w:bookmarkStart w:id="413" w:name="_Toc180265755"/>
      <w:r>
        <w:rPr>
          <w:rFonts w:hint="eastAsia" w:ascii="宋体" w:hAnsi="宋体" w:cstheme="majorBidi"/>
          <w:szCs w:val="24"/>
        </w:rPr>
        <w:t>总则</w:t>
      </w:r>
      <w:bookmarkEnd w:id="413"/>
    </w:p>
    <w:p w14:paraId="7164EFF3">
      <w:pPr>
        <w:spacing w:line="360" w:lineRule="auto"/>
        <w:ind w:firstLine="420" w:firstLineChars="200"/>
        <w:rPr>
          <w:rFonts w:hint="eastAsia" w:ascii="宋体" w:hAnsi="宋体" w:eastAsia="宋体" w:cs="Times New Roman"/>
          <w:szCs w:val="21"/>
        </w:rPr>
      </w:pPr>
      <w:bookmarkStart w:id="414" w:name="_Toc165460427"/>
      <w:bookmarkStart w:id="415" w:name="_Toc184093596"/>
      <w:bookmarkStart w:id="416" w:name="_Toc184434254"/>
      <w:bookmarkStart w:id="417" w:name="_Toc193011130"/>
      <w:bookmarkStart w:id="418" w:name="_Toc164765493"/>
      <w:bookmarkStart w:id="419" w:name="_Toc165367912"/>
      <w:bookmarkStart w:id="420" w:name="_Toc229389882"/>
      <w:r>
        <w:rPr>
          <w:rFonts w:hint="eastAsia" w:ascii="宋体" w:hAnsi="宋体" w:eastAsia="宋体" w:cs="Times New Roman"/>
          <w:szCs w:val="21"/>
        </w:rPr>
        <w:t>信息技术运行达到绝对安全是根本不现实的。在信息系统运行环境中存在着各种风险，这种风险有些是可以控制的，但有些是不可控的</w:t>
      </w:r>
      <w:r>
        <w:rPr>
          <w:rFonts w:ascii="宋体" w:hAnsi="宋体" w:eastAsia="宋体" w:cs="Times New Roman"/>
          <w:szCs w:val="21"/>
        </w:rPr>
        <w:t>;</w:t>
      </w:r>
      <w:r>
        <w:rPr>
          <w:rFonts w:hint="eastAsia" w:ascii="宋体" w:hAnsi="宋体" w:eastAsia="宋体" w:cs="Times New Roman"/>
          <w:szCs w:val="21"/>
        </w:rPr>
        <w:t>我们需要做的是把风险程度降低到可以接受的范围内，能够将风险带来的损失降到最小。</w:t>
      </w:r>
    </w:p>
    <w:p w14:paraId="48563A1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由于业务系统的应急方案有着针对业务系统非常强的特点，因此中招联合将与客户一起了解客户业务需求和服务质量要求，确定应急恢复计划的范围与目标，设计提供应急恢复方案，以保证其业务的持续性和可用性。双方需共同讨论以完成应急恢复方案设计。</w:t>
      </w:r>
    </w:p>
    <w:p w14:paraId="2F000F5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应急恢复方案设计完成后，双方应共同参与，完成应急方案的测试预演，以确定其是否满足业务需要和达到设定的恢复目标。</w:t>
      </w:r>
      <w:bookmarkEnd w:id="414"/>
      <w:bookmarkEnd w:id="415"/>
      <w:bookmarkEnd w:id="416"/>
      <w:bookmarkEnd w:id="417"/>
      <w:bookmarkEnd w:id="418"/>
      <w:bookmarkEnd w:id="419"/>
      <w:bookmarkEnd w:id="420"/>
    </w:p>
    <w:p w14:paraId="3058C41C">
      <w:pPr>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1</w:t>
      </w:r>
      <w:r>
        <w:rPr>
          <w:rFonts w:ascii="宋体" w:hAnsi="宋体" w:eastAsia="宋体" w:cs="Times New Roman"/>
          <w:b/>
          <w:szCs w:val="21"/>
        </w:rPr>
        <w:t>.</w:t>
      </w:r>
      <w:r>
        <w:rPr>
          <w:rFonts w:hint="eastAsia" w:asciiTheme="majorHAnsi" w:hAnsiTheme="majorHAnsi" w:eastAsiaTheme="majorEastAsia" w:cstheme="majorBidi"/>
          <w:b/>
          <w:bCs/>
          <w:szCs w:val="28"/>
        </w:rPr>
        <w:t>适用范围</w:t>
      </w:r>
    </w:p>
    <w:p w14:paraId="586841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本预案适用于电子采购系统建设项目日常工作过程中发生的各类突发事件及在招标人启动网络安全重点保障机制（以下简称“重保”）期间，或参与国家、行业、地方政府组织的网络安全攻防演练期间。</w:t>
      </w:r>
    </w:p>
    <w:p w14:paraId="32ABC1EB">
      <w:pPr>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2</w:t>
      </w:r>
      <w:r>
        <w:rPr>
          <w:rFonts w:ascii="宋体" w:hAnsi="宋体" w:eastAsia="宋体" w:cs="Times New Roman"/>
          <w:b/>
          <w:szCs w:val="21"/>
        </w:rPr>
        <w:t>.</w:t>
      </w:r>
      <w:r>
        <w:rPr>
          <w:rFonts w:hint="eastAsia" w:asciiTheme="majorHAnsi" w:hAnsiTheme="majorHAnsi" w:eastAsiaTheme="majorEastAsia" w:cstheme="majorBidi"/>
          <w:b/>
          <w:bCs/>
          <w:szCs w:val="28"/>
        </w:rPr>
        <w:t>工作原则</w:t>
      </w:r>
    </w:p>
    <w:p w14:paraId="023B1FD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快速响应：在紧急情况发生后，立即启动应急预案，迅速组织人员进行处理，确保在最短时间内恢复系统的正常运行。</w:t>
      </w:r>
    </w:p>
    <w:p w14:paraId="3140B81F">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最小影响：在应急处理过程中，采取措施尽量减少对业务的影响，确保关键业务的连续性和稳定性。</w:t>
      </w:r>
    </w:p>
    <w:p w14:paraId="1AE4484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协同合作：各部门和人员应密切配合，协同作战，共同应对紧急情况。建立有效的沟通机制，确保信息的及时传递和共享。</w:t>
      </w:r>
    </w:p>
    <w:p w14:paraId="42B542B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持续改进：在应急事件处理后，及时总结经验教训，对应急预案进行修订和完善，不断提高应急处理能力。</w:t>
      </w:r>
    </w:p>
    <w:p w14:paraId="3ECDB43C">
      <w:pPr>
        <w:spacing w:line="360" w:lineRule="auto"/>
        <w:ind w:firstLine="422" w:firstLineChars="200"/>
        <w:rPr>
          <w:rFonts w:hint="eastAsia" w:ascii="宋体" w:hAnsi="宋体" w:eastAsia="宋体" w:cs="Times New Roman"/>
          <w:b/>
          <w:szCs w:val="21"/>
        </w:rPr>
      </w:pPr>
      <w:r>
        <w:rPr>
          <w:rFonts w:hint="eastAsia" w:ascii="宋体" w:hAnsi="宋体" w:eastAsia="宋体" w:cs="Times New Roman"/>
          <w:b/>
          <w:szCs w:val="21"/>
        </w:rPr>
        <w:t>3</w:t>
      </w:r>
      <w:r>
        <w:rPr>
          <w:rFonts w:ascii="宋体" w:hAnsi="宋体" w:eastAsia="宋体" w:cs="Times New Roman"/>
          <w:b/>
          <w:szCs w:val="21"/>
        </w:rPr>
        <w:t>.</w:t>
      </w:r>
      <w:r>
        <w:rPr>
          <w:rFonts w:hint="eastAsia" w:asciiTheme="majorHAnsi" w:hAnsiTheme="majorHAnsi" w:eastAsiaTheme="majorEastAsia" w:cstheme="majorBidi"/>
          <w:b/>
          <w:bCs/>
          <w:szCs w:val="28"/>
        </w:rPr>
        <w:t>编制依据</w:t>
      </w:r>
    </w:p>
    <w:p w14:paraId="7488336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以国家及地市有关法律、法规、规章、相关政策为依据，适用性法规标准主要有</w:t>
      </w:r>
      <w:r>
        <w:rPr>
          <w:rFonts w:ascii="宋体" w:hAnsi="宋体" w:eastAsia="宋体" w:cs="Times New Roman"/>
          <w:szCs w:val="21"/>
        </w:rPr>
        <w:t>:</w:t>
      </w:r>
    </w:p>
    <w:p w14:paraId="28287C1D">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《中华人民共和国突发事件应对法》</w:t>
      </w:r>
    </w:p>
    <w:p w14:paraId="342E36E2">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《国家突发公共事件总体应急预案》</w:t>
      </w:r>
    </w:p>
    <w:p w14:paraId="6BFC477A">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《北京市实施&lt;中华人民共和国突发事件应对法&gt;办法》</w:t>
      </w:r>
    </w:p>
    <w:p w14:paraId="484F092F">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《北京市突发公共事件总体应急预案》</w:t>
      </w:r>
    </w:p>
    <w:p w14:paraId="1B201F47">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《北京市突发公共事件信息管理暂行办法》</w:t>
      </w:r>
    </w:p>
    <w:p w14:paraId="3A5C9A0B">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《北京市网络与信息安全事件应急预案》</w:t>
      </w:r>
    </w:p>
    <w:p w14:paraId="0D8E7B21">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ISO/IEC24762:2008信息技术-安全技术-信息与通讯技术灾难恢复服务指南</w:t>
      </w:r>
    </w:p>
    <w:p w14:paraId="2E166061">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GB/T</w:t>
      </w:r>
      <w:r>
        <w:rPr>
          <w:rFonts w:ascii="宋体" w:hAnsi="宋体" w:eastAsia="宋体" w:cs="Times New Roman"/>
          <w:szCs w:val="21"/>
        </w:rPr>
        <w:t>20988-2007</w:t>
      </w:r>
      <w:r>
        <w:rPr>
          <w:rFonts w:hint="eastAsia" w:ascii="宋体" w:hAnsi="宋体" w:eastAsia="宋体" w:cs="Times New Roman"/>
          <w:szCs w:val="21"/>
        </w:rPr>
        <w:t>《信息系统灾难恢复规范》</w:t>
      </w:r>
    </w:p>
    <w:p w14:paraId="2B7C3657">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GB/T</w:t>
      </w:r>
      <w:r>
        <w:rPr>
          <w:rFonts w:ascii="宋体" w:hAnsi="宋体" w:eastAsia="宋体" w:cs="Times New Roman"/>
          <w:szCs w:val="21"/>
        </w:rPr>
        <w:t>22080-2008</w:t>
      </w:r>
      <w:r>
        <w:rPr>
          <w:rFonts w:hint="eastAsia" w:ascii="宋体" w:hAnsi="宋体" w:eastAsia="宋体" w:cs="Times New Roman"/>
          <w:szCs w:val="21"/>
        </w:rPr>
        <w:t>《信息技术安全技术信息安全管理体系要求》</w:t>
      </w:r>
    </w:p>
    <w:p w14:paraId="573D7DEC">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GB/T</w:t>
      </w:r>
      <w:r>
        <w:rPr>
          <w:rFonts w:ascii="宋体" w:hAnsi="宋体" w:eastAsia="宋体" w:cs="Times New Roman"/>
          <w:szCs w:val="21"/>
        </w:rPr>
        <w:t>22239-2008</w:t>
      </w:r>
      <w:r>
        <w:rPr>
          <w:rFonts w:hint="eastAsia" w:ascii="宋体" w:hAnsi="宋体" w:eastAsia="宋体" w:cs="Times New Roman"/>
          <w:szCs w:val="21"/>
        </w:rPr>
        <w:t>《信息安全技术信息系统安全等级保护基本要求》</w:t>
      </w:r>
    </w:p>
    <w:p w14:paraId="6D14AA29">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GB/T</w:t>
      </w:r>
      <w:r>
        <w:rPr>
          <w:rFonts w:ascii="宋体" w:hAnsi="宋体" w:eastAsia="宋体" w:cs="Times New Roman"/>
          <w:szCs w:val="21"/>
        </w:rPr>
        <w:t>24363-2009</w:t>
      </w:r>
      <w:r>
        <w:rPr>
          <w:rFonts w:hint="eastAsia" w:ascii="宋体" w:hAnsi="宋体" w:eastAsia="宋体" w:cs="Times New Roman"/>
          <w:szCs w:val="21"/>
        </w:rPr>
        <w:t>《信息安全技术信息安全应急响应计划规范》</w:t>
      </w:r>
    </w:p>
    <w:p w14:paraId="4CD0E885">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GB/Z20985-2007《信息技术安全技术信息安全事件管理指南》</w:t>
      </w:r>
    </w:p>
    <w:p w14:paraId="05751973">
      <w:pPr>
        <w:widowControl/>
        <w:numPr>
          <w:ilvl w:val="0"/>
          <w:numId w:val="159"/>
        </w:numPr>
        <w:tabs>
          <w:tab w:val="left" w:pos="220"/>
          <w:tab w:val="left" w:pos="720"/>
        </w:tabs>
        <w:autoSpaceDE w:val="0"/>
        <w:autoSpaceDN w:val="0"/>
        <w:adjustRightInd w:val="0"/>
        <w:spacing w:line="360" w:lineRule="auto"/>
        <w:ind w:left="964" w:hanging="482"/>
        <w:jc w:val="left"/>
        <w:rPr>
          <w:rFonts w:hint="eastAsia" w:ascii="宋体" w:hAnsi="宋体" w:eastAsia="宋体" w:cs="Times New Roman"/>
          <w:szCs w:val="21"/>
        </w:rPr>
      </w:pPr>
      <w:r>
        <w:rPr>
          <w:rFonts w:hint="eastAsia" w:ascii="宋体" w:hAnsi="宋体" w:eastAsia="宋体" w:cs="Times New Roman"/>
          <w:szCs w:val="21"/>
        </w:rPr>
        <w:t>GB/Z20986-2007《信息安全技术信息安全事件分类分级指南</w:t>
      </w:r>
    </w:p>
    <w:p w14:paraId="785E102A">
      <w:pPr>
        <w:pStyle w:val="6"/>
        <w:spacing w:before="260" w:after="260" w:line="416" w:lineRule="auto"/>
        <w:jc w:val="both"/>
        <w:rPr>
          <w:rFonts w:hint="eastAsia" w:ascii="宋体" w:hAnsi="宋体" w:cstheme="majorBidi"/>
          <w:szCs w:val="24"/>
        </w:rPr>
      </w:pPr>
      <w:bookmarkStart w:id="421" w:name="_Toc180265756"/>
      <w:r>
        <w:rPr>
          <w:rFonts w:hint="eastAsia" w:ascii="宋体" w:hAnsi="宋体" w:cstheme="majorBidi"/>
          <w:szCs w:val="24"/>
        </w:rPr>
        <w:t>应急组织机构及职责</w:t>
      </w:r>
      <w:bookmarkEnd w:id="421"/>
    </w:p>
    <w:p w14:paraId="4B9F0EB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应急领导小组</w:t>
      </w:r>
    </w:p>
    <w:p w14:paraId="3004A59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组成：由</w:t>
      </w:r>
      <w:r>
        <w:rPr>
          <w:rFonts w:hint="eastAsia" w:ascii="宋体" w:hAnsi="宋体" w:eastAsia="宋体" w:cs="Times New Roman"/>
          <w:szCs w:val="21"/>
        </w:rPr>
        <w:t>双方</w:t>
      </w:r>
      <w:r>
        <w:rPr>
          <w:rFonts w:ascii="宋体" w:hAnsi="宋体" w:eastAsia="宋体" w:cs="Times New Roman"/>
          <w:szCs w:val="21"/>
        </w:rPr>
        <w:t>高层领导、</w:t>
      </w:r>
      <w:r>
        <w:rPr>
          <w:rFonts w:hint="eastAsia" w:ascii="宋体" w:hAnsi="宋体" w:eastAsia="宋体" w:cs="Times New Roman"/>
          <w:szCs w:val="21"/>
        </w:rPr>
        <w:t>项目</w:t>
      </w:r>
      <w:r>
        <w:rPr>
          <w:rFonts w:ascii="宋体" w:hAnsi="宋体" w:eastAsia="宋体" w:cs="Times New Roman"/>
          <w:szCs w:val="21"/>
        </w:rPr>
        <w:t>负责人、相关业务部门负责人等组成。</w:t>
      </w:r>
    </w:p>
    <w:p w14:paraId="3D51C8FB">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职责：</w:t>
      </w:r>
    </w:p>
    <w:p w14:paraId="05981C54">
      <w:pPr>
        <w:numPr>
          <w:ilvl w:val="0"/>
          <w:numId w:val="160"/>
        </w:numPr>
        <w:spacing w:line="360" w:lineRule="auto"/>
        <w:rPr>
          <w:rFonts w:hint="eastAsia" w:ascii="宋体" w:hAnsi="宋体" w:eastAsia="宋体" w:cs="Times New Roman"/>
          <w:szCs w:val="21"/>
        </w:rPr>
      </w:pPr>
      <w:r>
        <w:rPr>
          <w:rFonts w:ascii="宋体" w:hAnsi="宋体" w:eastAsia="宋体" w:cs="Times New Roman"/>
          <w:szCs w:val="21"/>
        </w:rPr>
        <w:t>负责应急事件的决策和指挥，制定应急处理策略和方案。</w:t>
      </w:r>
    </w:p>
    <w:p w14:paraId="37837F82">
      <w:pPr>
        <w:numPr>
          <w:ilvl w:val="0"/>
          <w:numId w:val="160"/>
        </w:numPr>
        <w:spacing w:line="360" w:lineRule="auto"/>
        <w:rPr>
          <w:rFonts w:hint="eastAsia" w:ascii="宋体" w:hAnsi="宋体" w:eastAsia="宋体" w:cs="Times New Roman"/>
          <w:szCs w:val="21"/>
        </w:rPr>
      </w:pPr>
      <w:r>
        <w:rPr>
          <w:rFonts w:ascii="宋体" w:hAnsi="宋体" w:eastAsia="宋体" w:cs="Times New Roman"/>
          <w:szCs w:val="21"/>
        </w:rPr>
        <w:t>协调各部门的应急行动，确保资源的合理调配和使用。</w:t>
      </w:r>
    </w:p>
    <w:p w14:paraId="4ABF7285">
      <w:pPr>
        <w:numPr>
          <w:ilvl w:val="0"/>
          <w:numId w:val="160"/>
        </w:numPr>
        <w:spacing w:line="360" w:lineRule="auto"/>
        <w:rPr>
          <w:rFonts w:hint="eastAsia" w:ascii="宋体" w:hAnsi="宋体" w:eastAsia="宋体" w:cs="Times New Roman"/>
          <w:szCs w:val="21"/>
        </w:rPr>
      </w:pPr>
      <w:r>
        <w:rPr>
          <w:rFonts w:ascii="宋体" w:hAnsi="宋体" w:eastAsia="宋体" w:cs="Times New Roman"/>
          <w:szCs w:val="21"/>
        </w:rPr>
        <w:t>与外部相关单位进行沟通和协调，争取支持和帮助。</w:t>
      </w:r>
    </w:p>
    <w:p w14:paraId="2D993F6B">
      <w:pPr>
        <w:numPr>
          <w:ilvl w:val="0"/>
          <w:numId w:val="160"/>
        </w:numPr>
        <w:spacing w:line="360" w:lineRule="auto"/>
        <w:rPr>
          <w:rFonts w:hint="eastAsia" w:ascii="宋体" w:hAnsi="宋体" w:eastAsia="宋体" w:cs="Times New Roman"/>
          <w:szCs w:val="21"/>
        </w:rPr>
      </w:pPr>
      <w:r>
        <w:rPr>
          <w:rFonts w:ascii="宋体" w:hAnsi="宋体" w:eastAsia="宋体" w:cs="Times New Roman"/>
          <w:szCs w:val="21"/>
        </w:rPr>
        <w:t>对应急事件的处理结果进行评估和总结，提出改进措施。</w:t>
      </w:r>
    </w:p>
    <w:p w14:paraId="6B22C34F">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应急</w:t>
      </w:r>
      <w:r>
        <w:rPr>
          <w:rFonts w:hint="eastAsia" w:ascii="宋体" w:hAnsi="宋体" w:eastAsia="宋体" w:cs="Times New Roman"/>
          <w:szCs w:val="21"/>
        </w:rPr>
        <w:t>响应工作</w:t>
      </w:r>
      <w:r>
        <w:rPr>
          <w:rFonts w:ascii="宋体" w:hAnsi="宋体" w:eastAsia="宋体" w:cs="Times New Roman"/>
          <w:szCs w:val="21"/>
        </w:rPr>
        <w:t>小组</w:t>
      </w:r>
    </w:p>
    <w:p w14:paraId="2FABACE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组成：由系统管理员、安全管理员、应用管理员</w:t>
      </w:r>
      <w:r>
        <w:rPr>
          <w:rFonts w:hint="eastAsia" w:ascii="宋体" w:hAnsi="宋体" w:eastAsia="宋体" w:cs="Times New Roman"/>
          <w:szCs w:val="21"/>
        </w:rPr>
        <w:t>、技术保障人员、技术支持人员</w:t>
      </w:r>
      <w:r>
        <w:rPr>
          <w:rFonts w:ascii="宋体" w:hAnsi="宋体" w:eastAsia="宋体" w:cs="Times New Roman"/>
          <w:szCs w:val="21"/>
        </w:rPr>
        <w:t>等技术人员组成。</w:t>
      </w:r>
    </w:p>
    <w:p w14:paraId="6815EA6B">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职责：</w:t>
      </w:r>
    </w:p>
    <w:p w14:paraId="2BCF0169">
      <w:pPr>
        <w:numPr>
          <w:ilvl w:val="0"/>
          <w:numId w:val="161"/>
        </w:numPr>
        <w:spacing w:line="360" w:lineRule="auto"/>
        <w:rPr>
          <w:rFonts w:hint="eastAsia" w:ascii="宋体" w:hAnsi="宋体" w:eastAsia="宋体" w:cs="Times New Roman"/>
          <w:szCs w:val="21"/>
        </w:rPr>
      </w:pPr>
      <w:r>
        <w:rPr>
          <w:rFonts w:ascii="宋体" w:hAnsi="宋体" w:eastAsia="宋体" w:cs="Times New Roman"/>
          <w:szCs w:val="21"/>
        </w:rPr>
        <w:t>负责应急事件的技术处理，包括故障诊断、修复和系统恢复等。</w:t>
      </w:r>
    </w:p>
    <w:p w14:paraId="3F75DA42">
      <w:pPr>
        <w:numPr>
          <w:ilvl w:val="0"/>
          <w:numId w:val="161"/>
        </w:numPr>
        <w:spacing w:line="360" w:lineRule="auto"/>
        <w:rPr>
          <w:rFonts w:hint="eastAsia" w:ascii="宋体" w:hAnsi="宋体" w:eastAsia="宋体" w:cs="Times New Roman"/>
          <w:szCs w:val="21"/>
        </w:rPr>
      </w:pPr>
      <w:r>
        <w:rPr>
          <w:rFonts w:ascii="宋体" w:hAnsi="宋体" w:eastAsia="宋体" w:cs="Times New Roman"/>
          <w:szCs w:val="21"/>
        </w:rPr>
        <w:t>制定技术方案和措施，确保应急处理的有效性和安全性。</w:t>
      </w:r>
    </w:p>
    <w:p w14:paraId="2742E9E6">
      <w:pPr>
        <w:numPr>
          <w:ilvl w:val="0"/>
          <w:numId w:val="161"/>
        </w:numPr>
        <w:spacing w:line="360" w:lineRule="auto"/>
        <w:rPr>
          <w:rFonts w:hint="eastAsia" w:ascii="宋体" w:hAnsi="宋体" w:eastAsia="宋体" w:cs="Times New Roman"/>
          <w:szCs w:val="21"/>
        </w:rPr>
      </w:pPr>
      <w:r>
        <w:rPr>
          <w:rFonts w:ascii="宋体" w:hAnsi="宋体" w:eastAsia="宋体" w:cs="Times New Roman"/>
          <w:szCs w:val="21"/>
        </w:rPr>
        <w:t>对系统进行监控和分析，及时发现潜在的问题和风险。</w:t>
      </w:r>
    </w:p>
    <w:p w14:paraId="4D13E0D0">
      <w:pPr>
        <w:numPr>
          <w:ilvl w:val="0"/>
          <w:numId w:val="161"/>
        </w:numPr>
        <w:spacing w:line="360" w:lineRule="auto"/>
        <w:rPr>
          <w:rFonts w:hint="eastAsia" w:ascii="宋体" w:hAnsi="宋体" w:eastAsia="宋体" w:cs="Times New Roman"/>
          <w:szCs w:val="21"/>
        </w:rPr>
      </w:pPr>
      <w:r>
        <w:rPr>
          <w:rFonts w:ascii="宋体" w:hAnsi="宋体" w:eastAsia="宋体" w:cs="Times New Roman"/>
          <w:szCs w:val="21"/>
        </w:rPr>
        <w:t>提供技术支持和培训，提高用户的应急处理能力。</w:t>
      </w:r>
    </w:p>
    <w:p w14:paraId="0EA4779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应急协调小组</w:t>
      </w:r>
    </w:p>
    <w:p w14:paraId="568D72A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组成：由运</w:t>
      </w:r>
      <w:r>
        <w:rPr>
          <w:rFonts w:hint="eastAsia" w:ascii="宋体" w:hAnsi="宋体" w:eastAsia="宋体" w:cs="Times New Roman"/>
          <w:szCs w:val="21"/>
        </w:rPr>
        <w:t>营</w:t>
      </w:r>
      <w:r>
        <w:rPr>
          <w:rFonts w:ascii="宋体" w:hAnsi="宋体" w:eastAsia="宋体" w:cs="Times New Roman"/>
          <w:szCs w:val="21"/>
        </w:rPr>
        <w:t>部门的协调人员、客服人员、</w:t>
      </w:r>
      <w:r>
        <w:rPr>
          <w:rFonts w:hint="eastAsia" w:ascii="宋体" w:hAnsi="宋体" w:eastAsia="宋体" w:cs="Times New Roman"/>
          <w:szCs w:val="21"/>
        </w:rPr>
        <w:t>技术支持</w:t>
      </w:r>
      <w:r>
        <w:rPr>
          <w:rFonts w:ascii="宋体" w:hAnsi="宋体" w:eastAsia="宋体" w:cs="Times New Roman"/>
          <w:szCs w:val="21"/>
        </w:rPr>
        <w:t>人员等组成。</w:t>
      </w:r>
    </w:p>
    <w:p w14:paraId="0B74B92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职责：</w:t>
      </w:r>
    </w:p>
    <w:p w14:paraId="17F0CFE3">
      <w:pPr>
        <w:numPr>
          <w:ilvl w:val="0"/>
          <w:numId w:val="162"/>
        </w:numPr>
        <w:spacing w:line="360" w:lineRule="auto"/>
        <w:rPr>
          <w:rFonts w:hint="eastAsia" w:ascii="宋体" w:hAnsi="宋体" w:eastAsia="宋体" w:cs="Times New Roman"/>
          <w:szCs w:val="21"/>
        </w:rPr>
      </w:pPr>
      <w:r>
        <w:rPr>
          <w:rFonts w:ascii="宋体" w:hAnsi="宋体" w:eastAsia="宋体" w:cs="Times New Roman"/>
          <w:szCs w:val="21"/>
        </w:rPr>
        <w:t>负责与</w:t>
      </w:r>
      <w:r>
        <w:rPr>
          <w:rFonts w:hint="eastAsia" w:ascii="宋体" w:hAnsi="宋体" w:eastAsia="宋体" w:cs="Times New Roman"/>
          <w:szCs w:val="21"/>
        </w:rPr>
        <w:t>各项目组成员</w:t>
      </w:r>
      <w:r>
        <w:rPr>
          <w:rFonts w:ascii="宋体" w:hAnsi="宋体" w:eastAsia="宋体" w:cs="Times New Roman"/>
          <w:szCs w:val="21"/>
        </w:rPr>
        <w:t>等进行沟通和协调，及时通报应急事件的进展情况。</w:t>
      </w:r>
    </w:p>
    <w:p w14:paraId="0C63F775">
      <w:pPr>
        <w:numPr>
          <w:ilvl w:val="0"/>
          <w:numId w:val="162"/>
        </w:numPr>
        <w:spacing w:line="360" w:lineRule="auto"/>
        <w:rPr>
          <w:rFonts w:hint="eastAsia" w:ascii="宋体" w:hAnsi="宋体" w:eastAsia="宋体" w:cs="Times New Roman"/>
          <w:szCs w:val="21"/>
        </w:rPr>
      </w:pPr>
      <w:r>
        <w:rPr>
          <w:rFonts w:ascii="宋体" w:hAnsi="宋体" w:eastAsia="宋体" w:cs="Times New Roman"/>
          <w:szCs w:val="21"/>
        </w:rPr>
        <w:t>协调资源的调配和使用，确保应急处理的顺利进行。</w:t>
      </w:r>
    </w:p>
    <w:p w14:paraId="7218FB9F">
      <w:pPr>
        <w:numPr>
          <w:ilvl w:val="0"/>
          <w:numId w:val="162"/>
        </w:numPr>
        <w:spacing w:line="360" w:lineRule="auto"/>
        <w:rPr>
          <w:rFonts w:hint="eastAsia" w:ascii="宋体" w:hAnsi="宋体" w:eastAsia="宋体" w:cs="Times New Roman"/>
          <w:szCs w:val="21"/>
        </w:rPr>
      </w:pPr>
      <w:r>
        <w:rPr>
          <w:rFonts w:ascii="宋体" w:hAnsi="宋体" w:eastAsia="宋体" w:cs="Times New Roman"/>
          <w:szCs w:val="21"/>
        </w:rPr>
        <w:t>处理用户的投诉和问题，维护用户的利益和满意度。</w:t>
      </w:r>
    </w:p>
    <w:p w14:paraId="437A04D6">
      <w:pPr>
        <w:numPr>
          <w:ilvl w:val="0"/>
          <w:numId w:val="162"/>
        </w:numPr>
        <w:spacing w:line="360" w:lineRule="auto"/>
        <w:rPr>
          <w:rFonts w:hint="eastAsia" w:ascii="宋体" w:hAnsi="宋体" w:eastAsia="宋体" w:cs="Times New Roman"/>
          <w:szCs w:val="21"/>
        </w:rPr>
      </w:pPr>
      <w:r>
        <w:rPr>
          <w:rFonts w:ascii="宋体" w:hAnsi="宋体" w:eastAsia="宋体" w:cs="Times New Roman"/>
          <w:szCs w:val="21"/>
        </w:rPr>
        <w:t>组织应急演练和培训，提高团队的应急处理能力。</w:t>
      </w:r>
    </w:p>
    <w:p w14:paraId="3B186C2B">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应急</w:t>
      </w:r>
      <w:r>
        <w:rPr>
          <w:rFonts w:hint="eastAsia" w:ascii="宋体" w:hAnsi="宋体" w:eastAsia="宋体" w:cs="Times New Roman"/>
          <w:szCs w:val="21"/>
        </w:rPr>
        <w:t>技术支撑小组</w:t>
      </w:r>
    </w:p>
    <w:p w14:paraId="32FA9313">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组成：</w:t>
      </w:r>
      <w:r>
        <w:rPr>
          <w:rFonts w:hint="eastAsia" w:ascii="宋体" w:hAnsi="宋体" w:eastAsia="宋体" w:cs="Times New Roman"/>
          <w:szCs w:val="21"/>
        </w:rPr>
        <w:t>由2名具备网络和安全中高级认证资格（网络：CCNP、CCIE等；安全：CISP、CISAW、CISP-PTE、CISSP、CISM等）的专业人员</w:t>
      </w:r>
      <w:r>
        <w:rPr>
          <w:rFonts w:ascii="宋体" w:hAnsi="宋体" w:eastAsia="宋体" w:cs="Times New Roman"/>
          <w:szCs w:val="21"/>
        </w:rPr>
        <w:t>成。</w:t>
      </w:r>
    </w:p>
    <w:p w14:paraId="51E9177E">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职责：</w:t>
      </w:r>
    </w:p>
    <w:p w14:paraId="76372392">
      <w:pPr>
        <w:numPr>
          <w:ilvl w:val="0"/>
          <w:numId w:val="162"/>
        </w:numPr>
        <w:spacing w:line="360" w:lineRule="auto"/>
        <w:rPr>
          <w:rFonts w:hint="eastAsia" w:ascii="宋体" w:hAnsi="宋体" w:eastAsia="宋体" w:cs="Times New Roman"/>
          <w:szCs w:val="21"/>
        </w:rPr>
      </w:pPr>
      <w:r>
        <w:rPr>
          <w:rFonts w:hint="eastAsia" w:ascii="宋体" w:hAnsi="宋体" w:eastAsia="宋体" w:cs="Times New Roman"/>
          <w:szCs w:val="21"/>
        </w:rPr>
        <w:t>负责信息系统应急保障工作中的咨询工作，并</w:t>
      </w:r>
      <w:r>
        <w:rPr>
          <w:rFonts w:ascii="宋体" w:hAnsi="宋体" w:eastAsia="宋体" w:cs="Times New Roman"/>
          <w:szCs w:val="21"/>
        </w:rPr>
        <w:t>及时反映应急工作中存在的问题与不足，并提出改进建议</w:t>
      </w:r>
      <w:r>
        <w:rPr>
          <w:rFonts w:hint="eastAsia" w:ascii="宋体" w:hAnsi="宋体" w:eastAsia="宋体" w:cs="Times New Roman"/>
          <w:szCs w:val="21"/>
        </w:rPr>
        <w:t>。</w:t>
      </w:r>
    </w:p>
    <w:p w14:paraId="3C5CA056">
      <w:pPr>
        <w:numPr>
          <w:ilvl w:val="0"/>
          <w:numId w:val="162"/>
        </w:numPr>
        <w:spacing w:line="360" w:lineRule="auto"/>
        <w:rPr>
          <w:rFonts w:hint="eastAsia" w:ascii="宋体" w:hAnsi="宋体" w:eastAsia="宋体" w:cs="Times New Roman"/>
          <w:kern w:val="44"/>
          <w:szCs w:val="21"/>
        </w:rPr>
      </w:pPr>
      <w:r>
        <w:rPr>
          <w:rFonts w:hint="eastAsia" w:ascii="宋体" w:hAnsi="宋体" w:eastAsia="宋体" w:cs="Times New Roman"/>
          <w:szCs w:val="21"/>
        </w:rPr>
        <w:t>负责为领导小组的重要决策提供技术支持，为工作小组提供技术指导支持。</w:t>
      </w:r>
    </w:p>
    <w:p w14:paraId="487FC64E">
      <w:pPr>
        <w:numPr>
          <w:ilvl w:val="0"/>
          <w:numId w:val="162"/>
        </w:numPr>
        <w:spacing w:line="360" w:lineRule="auto"/>
        <w:rPr>
          <w:rFonts w:hint="eastAsia" w:ascii="宋体" w:hAnsi="宋体" w:eastAsia="宋体" w:cs="Times New Roman"/>
          <w:kern w:val="44"/>
          <w:szCs w:val="21"/>
        </w:rPr>
      </w:pPr>
      <w:r>
        <w:rPr>
          <w:rFonts w:ascii="宋体" w:hAnsi="宋体" w:eastAsia="宋体" w:cs="Times New Roman"/>
          <w:kern w:val="44"/>
          <w:szCs w:val="21"/>
        </w:rPr>
        <w:t>对信息安全突发事件发生和发展趋势、处置措施、恢复方案等进行研究、评估，并提出相关建议</w:t>
      </w:r>
      <w:r>
        <w:rPr>
          <w:rFonts w:hint="eastAsia" w:ascii="宋体" w:hAnsi="宋体" w:eastAsia="宋体" w:cs="Times New Roman"/>
          <w:kern w:val="44"/>
          <w:szCs w:val="21"/>
        </w:rPr>
        <w:t>。</w:t>
      </w:r>
    </w:p>
    <w:p w14:paraId="68E7679D">
      <w:pPr>
        <w:numPr>
          <w:ilvl w:val="0"/>
          <w:numId w:val="162"/>
        </w:numPr>
        <w:spacing w:line="360" w:lineRule="auto"/>
        <w:rPr>
          <w:rFonts w:hint="eastAsia" w:ascii="宋体" w:hAnsi="宋体" w:eastAsia="宋体" w:cs="Times New Roman"/>
          <w:kern w:val="44"/>
          <w:szCs w:val="21"/>
        </w:rPr>
      </w:pPr>
      <w:r>
        <w:rPr>
          <w:rFonts w:hint="eastAsia" w:ascii="宋体" w:hAnsi="宋体" w:eastAsia="宋体" w:cs="Times New Roman"/>
          <w:kern w:val="44"/>
          <w:szCs w:val="21"/>
        </w:rPr>
        <w:t>在招标人启动网络安全重点保障机制（以下简称“重保”）期间，或参与国家、行业、地方政府组织的网络安全攻防演练期间，在招标人指定现场提供7*24小时安全保障服务，直到保障工作结束。</w:t>
      </w:r>
    </w:p>
    <w:p w14:paraId="107EE49B">
      <w:pPr>
        <w:pStyle w:val="6"/>
        <w:spacing w:before="260" w:after="260" w:line="416" w:lineRule="auto"/>
        <w:jc w:val="both"/>
        <w:rPr>
          <w:rFonts w:hint="eastAsia" w:ascii="宋体" w:hAnsi="宋体" w:cstheme="majorBidi"/>
          <w:szCs w:val="24"/>
        </w:rPr>
      </w:pPr>
      <w:bookmarkStart w:id="422" w:name="_Toc180265757"/>
      <w:r>
        <w:rPr>
          <w:rFonts w:hint="eastAsia" w:ascii="宋体" w:hAnsi="宋体" w:cstheme="majorBidi"/>
          <w:szCs w:val="24"/>
        </w:rPr>
        <w:t>应急响应</w:t>
      </w:r>
      <w:bookmarkEnd w:id="422"/>
    </w:p>
    <w:p w14:paraId="6F14B75E">
      <w:pPr>
        <w:pStyle w:val="76"/>
        <w:rPr>
          <w:rFonts w:hint="eastAsia" w:ascii="宋体" w:hAnsi="宋体"/>
          <w:sz w:val="21"/>
        </w:rPr>
      </w:pPr>
      <w:r>
        <w:rPr>
          <w:rFonts w:hint="eastAsia"/>
          <w:sz w:val="21"/>
        </w:rPr>
        <w:t>（一</w:t>
      </w:r>
      <w:r>
        <w:rPr>
          <w:sz w:val="21"/>
        </w:rPr>
        <w:t>）</w:t>
      </w:r>
      <w:r>
        <w:rPr>
          <w:rFonts w:hint="eastAsia"/>
          <w:sz w:val="21"/>
        </w:rPr>
        <w:t>事件分级及时限</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4074"/>
        <w:gridCol w:w="3059"/>
      </w:tblGrid>
      <w:tr w14:paraId="74CF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08CB7FAC">
            <w:pPr>
              <w:spacing w:line="360" w:lineRule="auto"/>
              <w:jc w:val="center"/>
              <w:rPr>
                <w:rFonts w:hint="eastAsia" w:ascii="宋体" w:hAnsi="宋体" w:cs="宋体"/>
                <w:b/>
                <w:bCs/>
                <w:szCs w:val="21"/>
              </w:rPr>
            </w:pPr>
            <w:r>
              <w:rPr>
                <w:rFonts w:hint="eastAsia" w:ascii="宋体" w:hAnsi="宋体" w:cs="宋体"/>
                <w:b/>
                <w:bCs/>
                <w:szCs w:val="21"/>
              </w:rPr>
              <w:t>故障级别</w:t>
            </w:r>
          </w:p>
        </w:tc>
        <w:tc>
          <w:tcPr>
            <w:tcW w:w="2390" w:type="pct"/>
            <w:tcBorders>
              <w:top w:val="single" w:color="auto" w:sz="4" w:space="0"/>
              <w:left w:val="nil"/>
              <w:bottom w:val="single" w:color="auto" w:sz="4" w:space="0"/>
              <w:right w:val="single" w:color="auto" w:sz="4" w:space="0"/>
            </w:tcBorders>
            <w:vAlign w:val="center"/>
          </w:tcPr>
          <w:p w14:paraId="01ED99F8">
            <w:pPr>
              <w:spacing w:line="360" w:lineRule="auto"/>
              <w:jc w:val="center"/>
              <w:rPr>
                <w:rFonts w:hint="eastAsia" w:ascii="宋体" w:hAnsi="宋体" w:cs="宋体"/>
                <w:b/>
                <w:bCs/>
                <w:szCs w:val="21"/>
              </w:rPr>
            </w:pPr>
            <w:r>
              <w:rPr>
                <w:rFonts w:hint="eastAsia" w:ascii="宋体" w:hAnsi="宋体" w:cs="宋体"/>
                <w:b/>
                <w:bCs/>
                <w:szCs w:val="21"/>
              </w:rPr>
              <w:t>故障描述</w:t>
            </w:r>
          </w:p>
        </w:tc>
        <w:tc>
          <w:tcPr>
            <w:tcW w:w="1795" w:type="pct"/>
            <w:tcBorders>
              <w:top w:val="single" w:color="auto" w:sz="4" w:space="0"/>
              <w:left w:val="nil"/>
              <w:bottom w:val="single" w:color="auto" w:sz="4" w:space="0"/>
              <w:right w:val="single" w:color="auto" w:sz="4" w:space="0"/>
            </w:tcBorders>
            <w:vAlign w:val="center"/>
          </w:tcPr>
          <w:p w14:paraId="13386037">
            <w:pPr>
              <w:spacing w:line="360" w:lineRule="auto"/>
              <w:jc w:val="center"/>
              <w:rPr>
                <w:rFonts w:hint="eastAsia" w:ascii="宋体" w:hAnsi="宋体" w:cs="宋体"/>
                <w:b/>
                <w:bCs/>
                <w:szCs w:val="21"/>
              </w:rPr>
            </w:pPr>
            <w:r>
              <w:rPr>
                <w:rFonts w:hint="eastAsia" w:ascii="宋体" w:hAnsi="宋体" w:cs="宋体"/>
                <w:b/>
                <w:bCs/>
                <w:szCs w:val="21"/>
              </w:rPr>
              <w:t>处理时间</w:t>
            </w:r>
          </w:p>
        </w:tc>
      </w:tr>
      <w:tr w14:paraId="26E9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65470B4C">
            <w:pPr>
              <w:spacing w:line="360" w:lineRule="auto"/>
              <w:jc w:val="center"/>
              <w:rPr>
                <w:rFonts w:hint="eastAsia" w:ascii="宋体" w:hAnsi="宋体" w:cs="宋体"/>
                <w:szCs w:val="21"/>
              </w:rPr>
            </w:pPr>
            <w:r>
              <w:rPr>
                <w:rFonts w:hint="eastAsia" w:ascii="宋体" w:hAnsi="宋体" w:cs="宋体"/>
                <w:szCs w:val="21"/>
              </w:rPr>
              <w:t>一级</w:t>
            </w:r>
          </w:p>
        </w:tc>
        <w:tc>
          <w:tcPr>
            <w:tcW w:w="2390" w:type="pct"/>
            <w:tcBorders>
              <w:top w:val="single" w:color="auto" w:sz="4" w:space="0"/>
              <w:left w:val="nil"/>
              <w:bottom w:val="single" w:color="auto" w:sz="4" w:space="0"/>
              <w:right w:val="single" w:color="auto" w:sz="4" w:space="0"/>
            </w:tcBorders>
            <w:vAlign w:val="center"/>
          </w:tcPr>
          <w:p w14:paraId="71893F25">
            <w:pPr>
              <w:spacing w:line="360" w:lineRule="auto"/>
              <w:jc w:val="left"/>
              <w:rPr>
                <w:rFonts w:hint="eastAsia" w:ascii="宋体" w:hAnsi="宋体" w:cs="宋体"/>
                <w:szCs w:val="21"/>
              </w:rPr>
            </w:pPr>
            <w:r>
              <w:rPr>
                <w:rFonts w:hint="eastAsia" w:ascii="宋体" w:hAnsi="宋体" w:cs="宋体"/>
                <w:szCs w:val="21"/>
              </w:rPr>
              <w:t>属于紧急问题，现象为：系统故障导致业务停止、数据丢失。</w:t>
            </w:r>
          </w:p>
        </w:tc>
        <w:tc>
          <w:tcPr>
            <w:tcW w:w="1795" w:type="pct"/>
            <w:tcBorders>
              <w:top w:val="single" w:color="auto" w:sz="4" w:space="0"/>
              <w:left w:val="nil"/>
              <w:bottom w:val="single" w:color="auto" w:sz="4" w:space="0"/>
              <w:right w:val="single" w:color="auto" w:sz="4" w:space="0"/>
            </w:tcBorders>
            <w:vAlign w:val="center"/>
          </w:tcPr>
          <w:p w14:paraId="394854CB">
            <w:pPr>
              <w:spacing w:line="360" w:lineRule="auto"/>
              <w:jc w:val="left"/>
              <w:rPr>
                <w:rFonts w:hint="eastAsia" w:ascii="宋体" w:hAnsi="宋体" w:cs="宋体"/>
                <w:szCs w:val="21"/>
              </w:rPr>
            </w:pPr>
            <w:r>
              <w:rPr>
                <w:rFonts w:hint="eastAsia" w:ascii="宋体" w:hAnsi="宋体" w:cs="宋体"/>
                <w:szCs w:val="21"/>
              </w:rPr>
              <w:t>15分钟内响应处理，4小时内恢复正常使用。</w:t>
            </w:r>
          </w:p>
        </w:tc>
      </w:tr>
      <w:tr w14:paraId="2B45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729F48E2">
            <w:pPr>
              <w:spacing w:line="360" w:lineRule="auto"/>
              <w:jc w:val="center"/>
              <w:rPr>
                <w:rFonts w:hint="eastAsia" w:ascii="宋体" w:hAnsi="宋体" w:cs="宋体"/>
                <w:szCs w:val="21"/>
              </w:rPr>
            </w:pPr>
            <w:r>
              <w:rPr>
                <w:rFonts w:hint="eastAsia" w:ascii="宋体" w:hAnsi="宋体" w:cs="宋体"/>
                <w:szCs w:val="21"/>
              </w:rPr>
              <w:t>二级</w:t>
            </w:r>
          </w:p>
        </w:tc>
        <w:tc>
          <w:tcPr>
            <w:tcW w:w="2390" w:type="pct"/>
            <w:tcBorders>
              <w:top w:val="single" w:color="auto" w:sz="4" w:space="0"/>
              <w:left w:val="nil"/>
              <w:bottom w:val="single" w:color="auto" w:sz="4" w:space="0"/>
              <w:right w:val="single" w:color="auto" w:sz="4" w:space="0"/>
            </w:tcBorders>
          </w:tcPr>
          <w:p w14:paraId="63BC0AA6">
            <w:pPr>
              <w:spacing w:line="360" w:lineRule="auto"/>
              <w:jc w:val="left"/>
              <w:rPr>
                <w:rFonts w:hint="eastAsia" w:ascii="宋体" w:hAnsi="宋体" w:cs="宋体"/>
                <w:szCs w:val="21"/>
              </w:rPr>
            </w:pPr>
            <w:r>
              <w:rPr>
                <w:rFonts w:hint="eastAsia" w:ascii="宋体" w:hAnsi="宋体" w:cs="宋体"/>
                <w:szCs w:val="21"/>
              </w:rPr>
              <w:t>属于严重问题，现象为：部分功能失效、系统性能下降但不影响正常业务运作。</w:t>
            </w:r>
          </w:p>
        </w:tc>
        <w:tc>
          <w:tcPr>
            <w:tcW w:w="1795" w:type="pct"/>
            <w:tcBorders>
              <w:top w:val="single" w:color="auto" w:sz="4" w:space="0"/>
              <w:left w:val="nil"/>
              <w:bottom w:val="single" w:color="auto" w:sz="4" w:space="0"/>
              <w:right w:val="single" w:color="auto" w:sz="4" w:space="0"/>
            </w:tcBorders>
            <w:vAlign w:val="center"/>
          </w:tcPr>
          <w:p w14:paraId="3FF16895">
            <w:pPr>
              <w:spacing w:line="360" w:lineRule="auto"/>
              <w:jc w:val="left"/>
              <w:rPr>
                <w:rFonts w:hint="eastAsia" w:ascii="宋体" w:hAnsi="宋体" w:cs="宋体"/>
                <w:szCs w:val="21"/>
              </w:rPr>
            </w:pPr>
            <w:r>
              <w:rPr>
                <w:rFonts w:hint="eastAsia" w:ascii="宋体" w:hAnsi="宋体" w:cs="宋体"/>
                <w:szCs w:val="21"/>
              </w:rPr>
              <w:t>30分钟内响应处理，8小时内恢复正常使用。</w:t>
            </w:r>
          </w:p>
        </w:tc>
      </w:tr>
      <w:tr w14:paraId="47EE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35A0E0C7">
            <w:pPr>
              <w:spacing w:line="360" w:lineRule="auto"/>
              <w:jc w:val="center"/>
              <w:rPr>
                <w:rFonts w:hint="eastAsia" w:ascii="宋体" w:hAnsi="宋体" w:cs="宋体"/>
                <w:szCs w:val="21"/>
              </w:rPr>
            </w:pPr>
            <w:r>
              <w:rPr>
                <w:rFonts w:hint="eastAsia" w:ascii="宋体" w:hAnsi="宋体" w:cs="宋体"/>
                <w:szCs w:val="21"/>
              </w:rPr>
              <w:t>三级</w:t>
            </w:r>
          </w:p>
        </w:tc>
        <w:tc>
          <w:tcPr>
            <w:tcW w:w="2390" w:type="pct"/>
            <w:tcBorders>
              <w:top w:val="single" w:color="auto" w:sz="4" w:space="0"/>
              <w:left w:val="nil"/>
              <w:bottom w:val="single" w:color="auto" w:sz="4" w:space="0"/>
              <w:right w:val="single" w:color="auto" w:sz="4" w:space="0"/>
            </w:tcBorders>
          </w:tcPr>
          <w:p w14:paraId="77DBF1FB">
            <w:pPr>
              <w:spacing w:line="360" w:lineRule="auto"/>
              <w:jc w:val="left"/>
              <w:rPr>
                <w:rFonts w:hint="eastAsia" w:ascii="宋体" w:hAnsi="宋体" w:cs="宋体"/>
                <w:szCs w:val="21"/>
              </w:rPr>
            </w:pPr>
            <w:r>
              <w:rPr>
                <w:rFonts w:hint="eastAsia" w:ascii="宋体" w:hAnsi="宋体" w:cs="宋体"/>
                <w:szCs w:val="21"/>
              </w:rPr>
              <w:t>属于较严重的问题，现象为：系统能继续运行且性能不受影响，但出现系统报错或部分功能故障，存在较大安全隐患。</w:t>
            </w:r>
          </w:p>
        </w:tc>
        <w:tc>
          <w:tcPr>
            <w:tcW w:w="1795" w:type="pct"/>
            <w:tcBorders>
              <w:top w:val="single" w:color="auto" w:sz="4" w:space="0"/>
              <w:left w:val="nil"/>
              <w:bottom w:val="single" w:color="auto" w:sz="4" w:space="0"/>
              <w:right w:val="single" w:color="auto" w:sz="4" w:space="0"/>
            </w:tcBorders>
            <w:vAlign w:val="center"/>
          </w:tcPr>
          <w:p w14:paraId="4BDF1328">
            <w:pPr>
              <w:spacing w:line="360" w:lineRule="auto"/>
              <w:jc w:val="left"/>
              <w:rPr>
                <w:rFonts w:hint="eastAsia" w:ascii="宋体" w:hAnsi="宋体" w:cs="宋体"/>
                <w:szCs w:val="21"/>
              </w:rPr>
            </w:pPr>
            <w:r>
              <w:rPr>
                <w:rFonts w:hint="eastAsia" w:ascii="宋体" w:hAnsi="宋体" w:cs="宋体"/>
                <w:szCs w:val="21"/>
              </w:rPr>
              <w:t>60分钟内响应处理，12小时内恢复正常使用。</w:t>
            </w:r>
          </w:p>
        </w:tc>
      </w:tr>
      <w:tr w14:paraId="4B2C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pct"/>
            <w:tcBorders>
              <w:top w:val="single" w:color="auto" w:sz="4" w:space="0"/>
              <w:left w:val="single" w:color="auto" w:sz="4" w:space="0"/>
              <w:bottom w:val="single" w:color="auto" w:sz="4" w:space="0"/>
              <w:right w:val="single" w:color="auto" w:sz="4" w:space="0"/>
            </w:tcBorders>
            <w:vAlign w:val="center"/>
          </w:tcPr>
          <w:p w14:paraId="2FF3915F">
            <w:pPr>
              <w:spacing w:line="360" w:lineRule="auto"/>
              <w:jc w:val="center"/>
              <w:rPr>
                <w:rFonts w:hint="eastAsia" w:ascii="宋体" w:hAnsi="宋体" w:cs="宋体"/>
                <w:szCs w:val="21"/>
              </w:rPr>
            </w:pPr>
            <w:r>
              <w:rPr>
                <w:rFonts w:hint="eastAsia" w:ascii="宋体" w:hAnsi="宋体" w:cs="宋体"/>
                <w:szCs w:val="21"/>
              </w:rPr>
              <w:t>四级</w:t>
            </w:r>
          </w:p>
        </w:tc>
        <w:tc>
          <w:tcPr>
            <w:tcW w:w="2390" w:type="pct"/>
            <w:tcBorders>
              <w:top w:val="single" w:color="auto" w:sz="4" w:space="0"/>
              <w:left w:val="nil"/>
              <w:bottom w:val="single" w:color="auto" w:sz="4" w:space="0"/>
              <w:right w:val="single" w:color="auto" w:sz="4" w:space="0"/>
            </w:tcBorders>
          </w:tcPr>
          <w:p w14:paraId="2E1CB291">
            <w:pPr>
              <w:spacing w:line="360" w:lineRule="auto"/>
              <w:jc w:val="left"/>
              <w:rPr>
                <w:rFonts w:hint="eastAsia" w:ascii="宋体" w:hAnsi="宋体" w:cs="宋体"/>
                <w:szCs w:val="21"/>
              </w:rPr>
            </w:pPr>
            <w:r>
              <w:rPr>
                <w:rFonts w:hint="eastAsia" w:ascii="宋体" w:hAnsi="宋体" w:cs="宋体"/>
                <w:szCs w:val="21"/>
              </w:rPr>
              <w:t>属于普通问题，现象为：系统技术功能、安装或配置咨询，或其他不影响业务的预约服务。</w:t>
            </w:r>
          </w:p>
        </w:tc>
        <w:tc>
          <w:tcPr>
            <w:tcW w:w="1795" w:type="pct"/>
            <w:tcBorders>
              <w:top w:val="single" w:color="auto" w:sz="4" w:space="0"/>
              <w:left w:val="nil"/>
              <w:bottom w:val="single" w:color="auto" w:sz="4" w:space="0"/>
              <w:right w:val="single" w:color="auto" w:sz="4" w:space="0"/>
            </w:tcBorders>
            <w:vAlign w:val="center"/>
          </w:tcPr>
          <w:p w14:paraId="1DFB4257">
            <w:pPr>
              <w:spacing w:line="360" w:lineRule="auto"/>
              <w:jc w:val="left"/>
              <w:rPr>
                <w:rFonts w:hint="eastAsia" w:ascii="宋体" w:hAnsi="宋体" w:cs="宋体"/>
                <w:szCs w:val="21"/>
              </w:rPr>
            </w:pPr>
            <w:r>
              <w:rPr>
                <w:rFonts w:hint="eastAsia" w:ascii="宋体" w:hAnsi="宋体" w:cs="宋体"/>
                <w:szCs w:val="21"/>
              </w:rPr>
              <w:t>60分钟内进行响应，24小时内恢复正常使用。</w:t>
            </w:r>
          </w:p>
        </w:tc>
      </w:tr>
    </w:tbl>
    <w:p w14:paraId="0DC32EF1">
      <w:pPr>
        <w:spacing w:line="360" w:lineRule="auto"/>
        <w:rPr>
          <w:rFonts w:asciiTheme="majorHAnsi" w:hAnsiTheme="majorHAnsi" w:eastAsiaTheme="majorEastAsia" w:cstheme="majorBidi"/>
          <w:b/>
          <w:bCs/>
          <w:szCs w:val="28"/>
        </w:rPr>
      </w:pPr>
    </w:p>
    <w:p w14:paraId="13EC8E86">
      <w:pPr>
        <w:spacing w:line="360" w:lineRule="auto"/>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（二）应急响应流程</w:t>
      </w:r>
    </w:p>
    <w:p w14:paraId="75245C4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w:t>
      </w:r>
      <w:r>
        <w:rPr>
          <w:rFonts w:ascii="宋体" w:hAnsi="宋体" w:eastAsia="宋体" w:cs="Times New Roman"/>
          <w:szCs w:val="21"/>
        </w:rPr>
        <w:t>事件报告</w:t>
      </w:r>
    </w:p>
    <w:p w14:paraId="0EF51971">
      <w:pPr>
        <w:numPr>
          <w:ilvl w:val="0"/>
          <w:numId w:val="163"/>
        </w:numPr>
        <w:spacing w:line="360" w:lineRule="auto"/>
        <w:rPr>
          <w:rFonts w:hint="eastAsia" w:ascii="宋体" w:hAnsi="宋体" w:eastAsia="宋体" w:cs="Times New Roman"/>
          <w:szCs w:val="21"/>
        </w:rPr>
      </w:pPr>
      <w:r>
        <w:rPr>
          <w:rFonts w:ascii="宋体" w:hAnsi="宋体" w:eastAsia="宋体" w:cs="Times New Roman"/>
          <w:szCs w:val="21"/>
        </w:rPr>
        <w:t>当发现紧急情况时，第一时间向应急领导小组报告事件情况。报告内容应包括事件发生的时间、地点、现象、影响范围等。</w:t>
      </w:r>
    </w:p>
    <w:p w14:paraId="6BDDAB16">
      <w:pPr>
        <w:numPr>
          <w:ilvl w:val="0"/>
          <w:numId w:val="163"/>
        </w:numPr>
        <w:spacing w:line="360" w:lineRule="auto"/>
        <w:rPr>
          <w:rFonts w:hint="eastAsia" w:ascii="宋体" w:hAnsi="宋体" w:eastAsia="宋体" w:cs="Times New Roman"/>
          <w:szCs w:val="21"/>
        </w:rPr>
      </w:pPr>
      <w:r>
        <w:rPr>
          <w:rFonts w:ascii="宋体" w:hAnsi="宋体" w:eastAsia="宋体" w:cs="Times New Roman"/>
          <w:szCs w:val="21"/>
        </w:rPr>
        <w:t>应急领导小组根据事件的严重程度，决定是否启动应急预案。如果事件较为严重，应立即通知相关部门和人员做好应急准备。</w:t>
      </w:r>
    </w:p>
    <w:p w14:paraId="31F95D2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事件评估</w:t>
      </w:r>
    </w:p>
    <w:p w14:paraId="4678A705">
      <w:pPr>
        <w:numPr>
          <w:ilvl w:val="0"/>
          <w:numId w:val="164"/>
        </w:numPr>
        <w:spacing w:line="360" w:lineRule="auto"/>
        <w:rPr>
          <w:rFonts w:hint="eastAsia" w:ascii="宋体" w:hAnsi="宋体" w:eastAsia="宋体" w:cs="Times New Roman"/>
          <w:szCs w:val="21"/>
        </w:rPr>
      </w:pPr>
      <w:r>
        <w:rPr>
          <w:rFonts w:ascii="宋体" w:hAnsi="宋体" w:eastAsia="宋体" w:cs="Times New Roman"/>
          <w:szCs w:val="21"/>
        </w:rPr>
        <w:t>应急</w:t>
      </w:r>
      <w:r>
        <w:rPr>
          <w:rFonts w:hint="eastAsia" w:ascii="宋体" w:hAnsi="宋体" w:eastAsia="宋体" w:cs="Times New Roman"/>
          <w:szCs w:val="21"/>
        </w:rPr>
        <w:t>响应</w:t>
      </w:r>
      <w:r>
        <w:rPr>
          <w:rFonts w:ascii="宋体" w:hAnsi="宋体" w:eastAsia="宋体" w:cs="Times New Roman"/>
          <w:szCs w:val="21"/>
        </w:rPr>
        <w:t>小组对事件进行评估，确定事件的类型、原因和影响范围。评估内容包括软件系统、网络设施、数据安全等方面。</w:t>
      </w:r>
    </w:p>
    <w:p w14:paraId="1DAC4794">
      <w:pPr>
        <w:numPr>
          <w:ilvl w:val="0"/>
          <w:numId w:val="164"/>
        </w:numPr>
        <w:spacing w:line="360" w:lineRule="auto"/>
        <w:rPr>
          <w:rFonts w:hint="eastAsia" w:ascii="宋体" w:hAnsi="宋体" w:eastAsia="宋体" w:cs="Times New Roman"/>
          <w:szCs w:val="21"/>
        </w:rPr>
      </w:pPr>
      <w:r>
        <w:rPr>
          <w:rFonts w:ascii="宋体" w:hAnsi="宋体" w:eastAsia="宋体" w:cs="Times New Roman"/>
          <w:szCs w:val="21"/>
        </w:rPr>
        <w:t>根据评估结果，制定相应的应急处理方案。应急处理方案应包括技术措施、资源需求、时间安排等。</w:t>
      </w:r>
    </w:p>
    <w:p w14:paraId="7542CDA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应急处理</w:t>
      </w:r>
    </w:p>
    <w:p w14:paraId="1ED89E85">
      <w:pPr>
        <w:numPr>
          <w:ilvl w:val="0"/>
          <w:numId w:val="165"/>
        </w:numPr>
        <w:spacing w:line="360" w:lineRule="auto"/>
        <w:rPr>
          <w:rFonts w:hint="eastAsia" w:ascii="宋体" w:hAnsi="宋体" w:eastAsia="宋体" w:cs="Times New Roman"/>
          <w:szCs w:val="21"/>
        </w:rPr>
      </w:pPr>
      <w:r>
        <w:rPr>
          <w:rFonts w:ascii="宋体" w:hAnsi="宋体" w:eastAsia="宋体" w:cs="Times New Roman"/>
          <w:szCs w:val="21"/>
        </w:rPr>
        <w:t>按照应急处理方案，应急</w:t>
      </w:r>
      <w:r>
        <w:rPr>
          <w:rFonts w:hint="eastAsia" w:ascii="宋体" w:hAnsi="宋体" w:eastAsia="宋体" w:cs="Times New Roman"/>
          <w:szCs w:val="21"/>
        </w:rPr>
        <w:t>响应</w:t>
      </w:r>
      <w:r>
        <w:rPr>
          <w:rFonts w:ascii="宋体" w:hAnsi="宋体" w:eastAsia="宋体" w:cs="Times New Roman"/>
          <w:szCs w:val="21"/>
        </w:rPr>
        <w:t>小组迅速采取行动，进行故障排除和系统恢复。在处理过程中，应密切关注系统的运行状态，及时调整处理方案。</w:t>
      </w:r>
    </w:p>
    <w:p w14:paraId="77460AC9">
      <w:pPr>
        <w:numPr>
          <w:ilvl w:val="0"/>
          <w:numId w:val="165"/>
        </w:numPr>
        <w:spacing w:line="360" w:lineRule="auto"/>
        <w:rPr>
          <w:rFonts w:hint="eastAsia" w:ascii="宋体" w:hAnsi="宋体" w:eastAsia="宋体" w:cs="Times New Roman"/>
          <w:szCs w:val="21"/>
        </w:rPr>
      </w:pPr>
      <w:r>
        <w:rPr>
          <w:rFonts w:ascii="宋体" w:hAnsi="宋体" w:eastAsia="宋体" w:cs="Times New Roman"/>
          <w:szCs w:val="21"/>
        </w:rPr>
        <w:t>应急协调小组与用户等进行沟通和协调，及时通报应急事件的进展情况。处理用户的投诉和问题，维护用户的利益和满意度。</w:t>
      </w:r>
    </w:p>
    <w:p w14:paraId="5518C33E">
      <w:pPr>
        <w:numPr>
          <w:ilvl w:val="0"/>
          <w:numId w:val="165"/>
        </w:numPr>
        <w:spacing w:line="360" w:lineRule="auto"/>
        <w:rPr>
          <w:rFonts w:hint="eastAsia" w:ascii="宋体" w:hAnsi="宋体" w:eastAsia="宋体" w:cs="Times New Roman"/>
          <w:szCs w:val="21"/>
        </w:rPr>
      </w:pPr>
      <w:r>
        <w:rPr>
          <w:rFonts w:ascii="宋体" w:hAnsi="宋体" w:eastAsia="宋体" w:cs="Times New Roman"/>
          <w:szCs w:val="21"/>
        </w:rPr>
        <w:t>应急</w:t>
      </w:r>
      <w:r>
        <w:rPr>
          <w:rFonts w:hint="eastAsia" w:ascii="宋体" w:hAnsi="宋体" w:eastAsia="宋体" w:cs="Times New Roman"/>
          <w:szCs w:val="21"/>
        </w:rPr>
        <w:t>技术支撑</w:t>
      </w:r>
      <w:r>
        <w:rPr>
          <w:rFonts w:ascii="宋体" w:hAnsi="宋体" w:eastAsia="宋体" w:cs="Times New Roman"/>
          <w:szCs w:val="21"/>
        </w:rPr>
        <w:t>小组提供</w:t>
      </w:r>
      <w:r>
        <w:rPr>
          <w:rFonts w:hint="eastAsia" w:ascii="宋体" w:hAnsi="宋体" w:eastAsia="宋体" w:cs="Times New Roman"/>
          <w:szCs w:val="21"/>
        </w:rPr>
        <w:t>技术</w:t>
      </w:r>
      <w:r>
        <w:rPr>
          <w:rFonts w:ascii="宋体" w:hAnsi="宋体" w:eastAsia="宋体" w:cs="Times New Roman"/>
          <w:szCs w:val="21"/>
        </w:rPr>
        <w:t>支持和保障，确保应急处理的顺利进行。</w:t>
      </w:r>
    </w:p>
    <w:p w14:paraId="3207160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事件通报</w:t>
      </w:r>
    </w:p>
    <w:p w14:paraId="54E5426B">
      <w:pPr>
        <w:numPr>
          <w:ilvl w:val="0"/>
          <w:numId w:val="166"/>
        </w:numPr>
        <w:spacing w:line="360" w:lineRule="auto"/>
        <w:rPr>
          <w:rFonts w:hint="eastAsia" w:ascii="宋体" w:hAnsi="宋体" w:eastAsia="宋体" w:cs="Times New Roman"/>
          <w:szCs w:val="21"/>
        </w:rPr>
      </w:pPr>
      <w:r>
        <w:rPr>
          <w:rFonts w:ascii="宋体" w:hAnsi="宋体" w:eastAsia="宋体" w:cs="Times New Roman"/>
          <w:szCs w:val="21"/>
        </w:rPr>
        <w:t>应急协调小组及时向用户、供应商、合作伙伴等通报事件的进展情况。通报内容应包括事件的原因、处理措施、预计恢复时间等。</w:t>
      </w:r>
    </w:p>
    <w:p w14:paraId="7A31D2F7">
      <w:pPr>
        <w:numPr>
          <w:ilvl w:val="0"/>
          <w:numId w:val="166"/>
        </w:numPr>
        <w:spacing w:line="360" w:lineRule="auto"/>
        <w:rPr>
          <w:rFonts w:hint="eastAsia" w:ascii="宋体" w:hAnsi="宋体" w:eastAsia="宋体" w:cs="Times New Roman"/>
          <w:szCs w:val="21"/>
        </w:rPr>
      </w:pPr>
      <w:r>
        <w:rPr>
          <w:rFonts w:ascii="宋体" w:hAnsi="宋体" w:eastAsia="宋体" w:cs="Times New Roman"/>
          <w:szCs w:val="21"/>
        </w:rPr>
        <w:t>根据需要，向相关部门和领导汇报事件处理情况。汇报内容应包括事件的概况、处理过程、结果评估等。</w:t>
      </w:r>
    </w:p>
    <w:p w14:paraId="6477549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事件结束</w:t>
      </w:r>
    </w:p>
    <w:p w14:paraId="50F56FFC">
      <w:pPr>
        <w:numPr>
          <w:ilvl w:val="0"/>
          <w:numId w:val="167"/>
        </w:numPr>
        <w:spacing w:line="360" w:lineRule="auto"/>
        <w:rPr>
          <w:rFonts w:hint="eastAsia" w:ascii="宋体" w:hAnsi="宋体" w:eastAsia="宋体" w:cs="Times New Roman"/>
          <w:szCs w:val="21"/>
        </w:rPr>
      </w:pPr>
      <w:r>
        <w:rPr>
          <w:rFonts w:ascii="宋体" w:hAnsi="宋体" w:eastAsia="宋体" w:cs="Times New Roman"/>
          <w:szCs w:val="21"/>
        </w:rPr>
        <w:t>当系统恢复正常运行后，应急</w:t>
      </w:r>
      <w:r>
        <w:rPr>
          <w:rFonts w:hint="eastAsia" w:ascii="宋体" w:hAnsi="宋体" w:eastAsia="宋体" w:cs="Times New Roman"/>
          <w:szCs w:val="21"/>
        </w:rPr>
        <w:t>响应</w:t>
      </w:r>
      <w:r>
        <w:rPr>
          <w:rFonts w:ascii="宋体" w:hAnsi="宋体" w:eastAsia="宋体" w:cs="Times New Roman"/>
          <w:szCs w:val="21"/>
        </w:rPr>
        <w:t>小组对事件进行总结分析，确定事件的原因和处理结果。总结内容应包括事件的经过、处理措施、经验教训等。</w:t>
      </w:r>
    </w:p>
    <w:p w14:paraId="72D600CB">
      <w:pPr>
        <w:numPr>
          <w:ilvl w:val="0"/>
          <w:numId w:val="167"/>
        </w:numPr>
        <w:spacing w:line="360" w:lineRule="auto"/>
        <w:rPr>
          <w:rFonts w:hint="eastAsia" w:ascii="宋体" w:hAnsi="宋体" w:eastAsia="宋体" w:cs="Times New Roman"/>
          <w:szCs w:val="21"/>
        </w:rPr>
      </w:pPr>
      <w:r>
        <w:rPr>
          <w:rFonts w:ascii="宋体" w:hAnsi="宋体" w:eastAsia="宋体" w:cs="Times New Roman"/>
          <w:szCs w:val="21"/>
        </w:rPr>
        <w:t>应急领导小组宣布应急事件结束，解除应急预案。同时，对参与应急处理的人员进行表彰和奖励。</w:t>
      </w:r>
    </w:p>
    <w:p w14:paraId="16E95B51">
      <w:pPr>
        <w:spacing w:line="360" w:lineRule="auto"/>
        <w:ind w:firstLine="422" w:firstLineChars="200"/>
        <w:rPr>
          <w:rFonts w:asciiTheme="majorHAnsi" w:hAnsiTheme="majorHAnsi" w:eastAsiaTheme="majorEastAsia" w:cstheme="majorBidi"/>
          <w:b/>
          <w:bCs/>
          <w:szCs w:val="28"/>
        </w:rPr>
      </w:pPr>
      <w:r>
        <w:rPr>
          <w:rFonts w:hint="eastAsia" w:asciiTheme="majorHAnsi" w:hAnsiTheme="majorHAnsi" w:eastAsiaTheme="majorEastAsia" w:cstheme="majorBidi"/>
          <w:b/>
          <w:bCs/>
          <w:szCs w:val="28"/>
        </w:rPr>
        <w:t>（三）专项应急预案</w:t>
      </w:r>
    </w:p>
    <w:p w14:paraId="1160F7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软件故障</w:t>
      </w:r>
    </w:p>
    <w:p w14:paraId="500CC1CF">
      <w:pPr>
        <w:numPr>
          <w:ilvl w:val="0"/>
          <w:numId w:val="168"/>
        </w:numPr>
        <w:spacing w:line="360" w:lineRule="auto"/>
        <w:rPr>
          <w:rFonts w:hint="eastAsia" w:ascii="宋体" w:hAnsi="宋体" w:eastAsia="宋体" w:cs="Times New Roman"/>
          <w:szCs w:val="21"/>
        </w:rPr>
      </w:pPr>
      <w:r>
        <w:rPr>
          <w:rFonts w:ascii="宋体" w:hAnsi="宋体" w:eastAsia="宋体" w:cs="Times New Roman"/>
          <w:szCs w:val="21"/>
        </w:rPr>
        <w:t>操作系统故障</w:t>
      </w:r>
    </w:p>
    <w:p w14:paraId="14740C3A">
      <w:pPr>
        <w:spacing w:line="360" w:lineRule="auto"/>
        <w:ind w:left="960"/>
        <w:rPr>
          <w:rFonts w:ascii="Times New Roman" w:hAnsi="Times New Roman" w:eastAsia="宋体" w:cs="Times New Roman"/>
          <w:szCs w:val="21"/>
        </w:rPr>
      </w:pPr>
      <w:r>
        <w:rPr>
          <w:rFonts w:ascii="宋体" w:hAnsi="宋体" w:eastAsia="宋体" w:cs="Times New Roman"/>
          <w:szCs w:val="21"/>
        </w:rPr>
        <w:t>现象：操作系统无法启动、死机等。</w:t>
      </w:r>
    </w:p>
    <w:p w14:paraId="4305C15F">
      <w:pPr>
        <w:spacing w:line="360" w:lineRule="auto"/>
        <w:ind w:left="960"/>
        <w:rPr>
          <w:rFonts w:hint="eastAsia" w:ascii="宋体" w:hAnsi="宋体" w:eastAsia="宋体" w:cs="Times New Roman"/>
          <w:szCs w:val="21"/>
        </w:rPr>
      </w:pPr>
      <w:r>
        <w:rPr>
          <w:rFonts w:ascii="宋体" w:hAnsi="宋体" w:eastAsia="宋体" w:cs="Times New Roman"/>
          <w:szCs w:val="21"/>
        </w:rPr>
        <w:t>原因：硬件故障、软件冲突、病毒感染等。</w:t>
      </w:r>
    </w:p>
    <w:p w14:paraId="4ED82B1C">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影响范围：可能影响到安装在该操作系统上的所有软件和业务系统。</w:t>
      </w:r>
    </w:p>
    <w:p w14:paraId="55FAA398">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0B62D092">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尝试重新启动操作系统。</w:t>
      </w:r>
    </w:p>
    <w:p w14:paraId="68E8160D">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如果无法启动，使用备份系统进行恢复。</w:t>
      </w:r>
    </w:p>
    <w:p w14:paraId="2AA2E696">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进行病毒查杀和系统修复。</w:t>
      </w:r>
    </w:p>
    <w:p w14:paraId="4674D79E">
      <w:pPr>
        <w:numPr>
          <w:ilvl w:val="0"/>
          <w:numId w:val="169"/>
        </w:numPr>
        <w:spacing w:line="360" w:lineRule="auto"/>
        <w:rPr>
          <w:rFonts w:hint="eastAsia" w:ascii="宋体" w:hAnsi="宋体" w:eastAsia="宋体" w:cs="Times New Roman"/>
          <w:szCs w:val="21"/>
        </w:rPr>
      </w:pPr>
      <w:r>
        <w:rPr>
          <w:rFonts w:hint="eastAsia" w:ascii="宋体" w:hAnsi="宋体" w:eastAsia="宋体" w:cs="Times New Roman"/>
          <w:szCs w:val="21"/>
        </w:rPr>
        <w:t>调整应用系统，系统恢复。</w:t>
      </w:r>
    </w:p>
    <w:p w14:paraId="0B809B0C">
      <w:pPr>
        <w:numPr>
          <w:ilvl w:val="0"/>
          <w:numId w:val="168"/>
        </w:numPr>
        <w:spacing w:line="360" w:lineRule="auto"/>
        <w:rPr>
          <w:rFonts w:hint="eastAsia" w:ascii="宋体" w:hAnsi="宋体" w:eastAsia="宋体" w:cs="Times New Roman"/>
          <w:szCs w:val="21"/>
        </w:rPr>
      </w:pPr>
      <w:r>
        <w:rPr>
          <w:rFonts w:ascii="宋体" w:hAnsi="宋体" w:eastAsia="宋体" w:cs="Times New Roman"/>
          <w:szCs w:val="21"/>
        </w:rPr>
        <w:t>数据库故障</w:t>
      </w:r>
    </w:p>
    <w:p w14:paraId="5FC8DC3F">
      <w:pPr>
        <w:spacing w:line="360" w:lineRule="auto"/>
        <w:ind w:left="960"/>
        <w:rPr>
          <w:rFonts w:hint="eastAsia" w:ascii="宋体" w:hAnsi="宋体" w:eastAsia="宋体" w:cs="Times New Roman"/>
          <w:szCs w:val="21"/>
        </w:rPr>
      </w:pPr>
      <w:r>
        <w:rPr>
          <w:rFonts w:ascii="宋体" w:hAnsi="宋体" w:eastAsia="宋体" w:cs="Times New Roman"/>
          <w:szCs w:val="21"/>
        </w:rPr>
        <w:t>现象：数据库无法启动、数据丢失、读写错误等。</w:t>
      </w:r>
    </w:p>
    <w:p w14:paraId="37B64244">
      <w:pPr>
        <w:spacing w:line="360" w:lineRule="auto"/>
        <w:ind w:left="960"/>
        <w:rPr>
          <w:rFonts w:hint="eastAsia" w:ascii="宋体" w:hAnsi="宋体" w:eastAsia="宋体" w:cs="Times New Roman"/>
          <w:szCs w:val="21"/>
        </w:rPr>
      </w:pPr>
      <w:r>
        <w:rPr>
          <w:rFonts w:ascii="宋体" w:hAnsi="宋体" w:eastAsia="宋体" w:cs="Times New Roman"/>
          <w:szCs w:val="21"/>
        </w:rPr>
        <w:t>原因：硬件故障、软件故障、病毒感染等。</w:t>
      </w:r>
    </w:p>
    <w:p w14:paraId="6618FB53">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影响范围：可能影响到存储在该数据库中的数据和相关的业务系统。</w:t>
      </w:r>
    </w:p>
    <w:p w14:paraId="676E8A13">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16B3DC76">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根据故障类型采取相应的恢复措施，如数据恢复、日志恢复等。</w:t>
      </w:r>
    </w:p>
    <w:p w14:paraId="0D1D6161">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检查硬件设备，排除硬件故障。</w:t>
      </w:r>
    </w:p>
    <w:p w14:paraId="3B2D76CB">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检查数据库配置，排除配置错误。</w:t>
      </w:r>
    </w:p>
    <w:p w14:paraId="5A331832">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进行病毒查杀和数据库修复。</w:t>
      </w:r>
    </w:p>
    <w:p w14:paraId="753416D2">
      <w:pPr>
        <w:numPr>
          <w:ilvl w:val="0"/>
          <w:numId w:val="168"/>
        </w:numPr>
        <w:spacing w:line="360" w:lineRule="auto"/>
        <w:rPr>
          <w:rFonts w:ascii="Times New Roman" w:hAnsi="Times New Roman" w:eastAsia="宋体" w:cs="Times New Roman"/>
          <w:szCs w:val="21"/>
        </w:rPr>
      </w:pPr>
      <w:r>
        <w:rPr>
          <w:rFonts w:ascii="宋体" w:hAnsi="宋体" w:eastAsia="宋体" w:cs="Times New Roman"/>
          <w:szCs w:val="21"/>
        </w:rPr>
        <w:t>应用程序故障</w:t>
      </w:r>
    </w:p>
    <w:p w14:paraId="6A5C5C44">
      <w:pPr>
        <w:spacing w:line="360" w:lineRule="auto"/>
        <w:ind w:left="960"/>
        <w:rPr>
          <w:rFonts w:hint="eastAsia" w:ascii="宋体" w:hAnsi="宋体" w:eastAsia="宋体" w:cs="Times New Roman"/>
          <w:szCs w:val="21"/>
        </w:rPr>
      </w:pPr>
      <w:r>
        <w:rPr>
          <w:rFonts w:ascii="宋体" w:hAnsi="宋体" w:eastAsia="宋体" w:cs="Times New Roman"/>
          <w:szCs w:val="21"/>
        </w:rPr>
        <w:t>现象：应用程序无法启动、死机、报错等。</w:t>
      </w:r>
    </w:p>
    <w:p w14:paraId="744C7EC8">
      <w:pPr>
        <w:spacing w:line="360" w:lineRule="auto"/>
        <w:ind w:left="960"/>
        <w:rPr>
          <w:rFonts w:hint="eastAsia" w:ascii="宋体" w:hAnsi="宋体" w:eastAsia="宋体" w:cs="Times New Roman"/>
          <w:szCs w:val="21"/>
        </w:rPr>
      </w:pPr>
      <w:r>
        <w:rPr>
          <w:rFonts w:ascii="宋体" w:hAnsi="宋体" w:eastAsia="宋体" w:cs="Times New Roman"/>
          <w:szCs w:val="21"/>
        </w:rPr>
        <w:t>原因：软件冲突、配置错误、代码缺陷等。</w:t>
      </w:r>
    </w:p>
    <w:p w14:paraId="35A8B5F1">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影响范围：可能影响到使用该应用程序的用户和相关的业务流程。</w:t>
      </w:r>
    </w:p>
    <w:p w14:paraId="2458BEFC">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7BA39A9E">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重启应用程序，检查配置文件和日志，确定故障原因。</w:t>
      </w:r>
    </w:p>
    <w:p w14:paraId="4E6F8DC4">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如果是软件冲突，卸载冲突软件或进行兼容性调整。</w:t>
      </w:r>
    </w:p>
    <w:p w14:paraId="289E8779">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如果是配置错误，修改配置文件并重新启动应用程序。</w:t>
      </w:r>
    </w:p>
    <w:p w14:paraId="64BFFCAE">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如果是代码缺陷，联系开发人员进行修复。</w:t>
      </w:r>
    </w:p>
    <w:p w14:paraId="344D833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网络故障</w:t>
      </w:r>
    </w:p>
    <w:p w14:paraId="1CB0A7CF">
      <w:pPr>
        <w:numPr>
          <w:ilvl w:val="0"/>
          <w:numId w:val="170"/>
        </w:numPr>
        <w:spacing w:line="360" w:lineRule="auto"/>
        <w:rPr>
          <w:rFonts w:hint="eastAsia" w:ascii="宋体" w:hAnsi="宋体" w:eastAsia="宋体" w:cs="Times New Roman"/>
          <w:szCs w:val="21"/>
        </w:rPr>
      </w:pPr>
      <w:r>
        <w:rPr>
          <w:rFonts w:ascii="宋体" w:hAnsi="宋体" w:eastAsia="宋体" w:cs="Times New Roman"/>
          <w:szCs w:val="21"/>
        </w:rPr>
        <w:t>网络中断</w:t>
      </w:r>
    </w:p>
    <w:p w14:paraId="40227236">
      <w:pPr>
        <w:spacing w:line="360" w:lineRule="auto"/>
        <w:ind w:left="960"/>
        <w:rPr>
          <w:rFonts w:hint="eastAsia" w:ascii="宋体" w:hAnsi="宋体" w:eastAsia="宋体" w:cs="Times New Roman"/>
          <w:szCs w:val="21"/>
        </w:rPr>
      </w:pPr>
      <w:r>
        <w:rPr>
          <w:rFonts w:ascii="宋体" w:hAnsi="宋体" w:eastAsia="宋体" w:cs="Times New Roman"/>
          <w:szCs w:val="21"/>
        </w:rPr>
        <w:t>现象：网络连接中断，无法访问外部网络或内部网络。</w:t>
      </w:r>
    </w:p>
    <w:p w14:paraId="04845C6F">
      <w:pPr>
        <w:spacing w:line="360" w:lineRule="auto"/>
        <w:ind w:left="960"/>
        <w:rPr>
          <w:rFonts w:hint="eastAsia" w:ascii="宋体" w:hAnsi="宋体" w:eastAsia="宋体" w:cs="Times New Roman"/>
          <w:szCs w:val="21"/>
        </w:rPr>
      </w:pPr>
      <w:r>
        <w:rPr>
          <w:rFonts w:ascii="宋体" w:hAnsi="宋体" w:eastAsia="宋体" w:cs="Times New Roman"/>
          <w:szCs w:val="21"/>
        </w:rPr>
        <w:t>原因：硬件故障、软件故障、配置错误、网络攻击等。</w:t>
      </w:r>
    </w:p>
    <w:p w14:paraId="64DAC77E">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影响范围：可能影响到整个网络的通信和相关的业务系统。</w:t>
      </w:r>
    </w:p>
    <w:p w14:paraId="38241D51">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5C857F85">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检查网络设备的连接状态，确定故障点。</w:t>
      </w:r>
    </w:p>
    <w:p w14:paraId="0879FC05">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如果是硬件故障，及时更换故障部件或整机。</w:t>
      </w:r>
    </w:p>
    <w:p w14:paraId="4AC5F21B">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如果是软件故障，尝试重新安装或修复网络管理软件。</w:t>
      </w:r>
    </w:p>
    <w:p w14:paraId="26E5C8AE">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检查网络配置，排除配置错误。</w:t>
      </w:r>
    </w:p>
    <w:p w14:paraId="58509101">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如果是网络攻击，启动网络安全防护措施，如防火墙、入侵检测系统等。</w:t>
      </w:r>
    </w:p>
    <w:p w14:paraId="25D7AC61">
      <w:pPr>
        <w:numPr>
          <w:ilvl w:val="0"/>
          <w:numId w:val="170"/>
        </w:numPr>
        <w:spacing w:line="360" w:lineRule="auto"/>
        <w:rPr>
          <w:rFonts w:hint="eastAsia" w:ascii="宋体" w:hAnsi="宋体" w:eastAsia="宋体" w:cs="Times New Roman"/>
          <w:szCs w:val="21"/>
        </w:rPr>
      </w:pPr>
      <w:r>
        <w:rPr>
          <w:rFonts w:ascii="宋体" w:hAnsi="宋体" w:eastAsia="宋体" w:cs="Times New Roman"/>
          <w:szCs w:val="21"/>
        </w:rPr>
        <w:t>网络拥塞</w:t>
      </w:r>
    </w:p>
    <w:p w14:paraId="5DFCD6FC">
      <w:pPr>
        <w:spacing w:line="360" w:lineRule="auto"/>
        <w:ind w:left="960"/>
        <w:rPr>
          <w:rFonts w:hint="eastAsia" w:ascii="宋体" w:hAnsi="宋体" w:eastAsia="宋体" w:cs="Times New Roman"/>
          <w:szCs w:val="21"/>
        </w:rPr>
      </w:pPr>
      <w:r>
        <w:rPr>
          <w:rFonts w:ascii="宋体" w:hAnsi="宋体" w:eastAsia="宋体" w:cs="Times New Roman"/>
          <w:szCs w:val="21"/>
        </w:rPr>
        <w:t>现象：网络速度缓慢，丢包严重，响应时间延长等。</w:t>
      </w:r>
    </w:p>
    <w:p w14:paraId="47D061E8">
      <w:pPr>
        <w:spacing w:line="360" w:lineRule="auto"/>
        <w:ind w:left="960"/>
        <w:rPr>
          <w:rFonts w:hint="eastAsia" w:ascii="宋体" w:hAnsi="宋体" w:eastAsia="宋体" w:cs="Times New Roman"/>
          <w:szCs w:val="21"/>
        </w:rPr>
      </w:pPr>
      <w:r>
        <w:rPr>
          <w:rFonts w:ascii="宋体" w:hAnsi="宋体" w:eastAsia="宋体" w:cs="Times New Roman"/>
          <w:szCs w:val="21"/>
        </w:rPr>
        <w:t>原因：网络流量过大、网络设备性能不足、网络攻击等。</w:t>
      </w:r>
    </w:p>
    <w:p w14:paraId="2048CB63">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影响范围：可能影响到整个网络的通信和相关的业务系统。</w:t>
      </w:r>
    </w:p>
    <w:p w14:paraId="23AF6118">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1A2C9E2D">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调整网络流量，优化网络配置，增加带宽或限制某些应用的流量。</w:t>
      </w:r>
    </w:p>
    <w:p w14:paraId="3CBCF0A0">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检查网络设备的性能，升级或更换性能不足的设备。</w:t>
      </w:r>
    </w:p>
    <w:p w14:paraId="37680085">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如果是网络攻击，启动网络安全防护措施，如防火墙、入侵检测系统等。</w:t>
      </w:r>
    </w:p>
    <w:p w14:paraId="2BE8B25A">
      <w:pPr>
        <w:numPr>
          <w:ilvl w:val="0"/>
          <w:numId w:val="170"/>
        </w:numPr>
        <w:spacing w:line="360" w:lineRule="auto"/>
        <w:rPr>
          <w:rFonts w:ascii="Times New Roman" w:hAnsi="Times New Roman" w:eastAsia="宋体" w:cs="Times New Roman"/>
          <w:szCs w:val="21"/>
        </w:rPr>
      </w:pPr>
      <w:r>
        <w:rPr>
          <w:rFonts w:ascii="宋体" w:hAnsi="宋体" w:eastAsia="宋体" w:cs="Times New Roman"/>
          <w:szCs w:val="21"/>
        </w:rPr>
        <w:t>网络攻击</w:t>
      </w:r>
    </w:p>
    <w:p w14:paraId="190EFDD7">
      <w:pPr>
        <w:spacing w:line="360" w:lineRule="auto"/>
        <w:ind w:left="960"/>
        <w:rPr>
          <w:rFonts w:hint="eastAsia" w:ascii="宋体" w:hAnsi="宋体" w:eastAsia="宋体" w:cs="Times New Roman"/>
          <w:szCs w:val="21"/>
        </w:rPr>
      </w:pPr>
      <w:r>
        <w:rPr>
          <w:rFonts w:ascii="宋体" w:hAnsi="宋体" w:eastAsia="宋体" w:cs="Times New Roman"/>
          <w:szCs w:val="21"/>
        </w:rPr>
        <w:t>现象：网络连接中断、服务器死机、数据丢失等。</w:t>
      </w:r>
    </w:p>
    <w:p w14:paraId="6F2CDE18">
      <w:pPr>
        <w:spacing w:line="360" w:lineRule="auto"/>
        <w:ind w:left="960"/>
        <w:rPr>
          <w:rFonts w:hint="eastAsia" w:ascii="宋体" w:hAnsi="宋体" w:eastAsia="宋体" w:cs="Times New Roman"/>
          <w:szCs w:val="21"/>
        </w:rPr>
      </w:pPr>
      <w:r>
        <w:rPr>
          <w:rFonts w:ascii="宋体" w:hAnsi="宋体" w:eastAsia="宋体" w:cs="Times New Roman"/>
          <w:szCs w:val="21"/>
        </w:rPr>
        <w:t>原因：黑客攻击、病毒感染、恶意软件等。</w:t>
      </w:r>
    </w:p>
    <w:p w14:paraId="27513961">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影响范围：可能影响到整个网络的通信和相关的业务系统，甚至可能导致数据泄露和系统瘫痪。</w:t>
      </w:r>
    </w:p>
    <w:p w14:paraId="7212FF0C">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5DCF7421">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启动网络安全防护措施，如防火墙、入侵检测系统、防病毒软件等。</w:t>
      </w:r>
    </w:p>
    <w:p w14:paraId="7AA71118">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追踪攻击源，采取相应的措施进行防御和反击。</w:t>
      </w:r>
    </w:p>
    <w:p w14:paraId="7647B044">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恢复被攻击的系统和数据，进行安全加固和漏洞修复。</w:t>
      </w:r>
    </w:p>
    <w:p w14:paraId="374205EF">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加强网络安全管理，提高用户的安全意识和防范能力。</w:t>
      </w:r>
    </w:p>
    <w:p w14:paraId="7AEA649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数据丢失</w:t>
      </w:r>
    </w:p>
    <w:p w14:paraId="0D21A244">
      <w:pPr>
        <w:spacing w:line="360" w:lineRule="auto"/>
        <w:ind w:left="960"/>
        <w:rPr>
          <w:rFonts w:hint="eastAsia" w:ascii="宋体" w:hAnsi="宋体" w:eastAsia="宋体" w:cs="Times New Roman"/>
          <w:szCs w:val="21"/>
        </w:rPr>
      </w:pPr>
      <w:r>
        <w:rPr>
          <w:rFonts w:ascii="宋体" w:hAnsi="宋体" w:eastAsia="宋体" w:cs="Times New Roman"/>
          <w:szCs w:val="21"/>
        </w:rPr>
        <w:t>现象：数据丢失、损坏、无法访问等。</w:t>
      </w:r>
    </w:p>
    <w:p w14:paraId="5E5AC12D">
      <w:pPr>
        <w:spacing w:line="360" w:lineRule="auto"/>
        <w:ind w:left="960"/>
        <w:rPr>
          <w:rFonts w:hint="eastAsia" w:ascii="宋体" w:hAnsi="宋体" w:eastAsia="宋体" w:cs="Times New Roman"/>
          <w:szCs w:val="21"/>
        </w:rPr>
      </w:pPr>
      <w:r>
        <w:rPr>
          <w:rFonts w:ascii="宋体" w:hAnsi="宋体" w:eastAsia="宋体" w:cs="Times New Roman"/>
          <w:szCs w:val="21"/>
        </w:rPr>
        <w:t>原因：硬件故障、软件故障、人为误操作、病毒感染等。</w:t>
      </w:r>
    </w:p>
    <w:p w14:paraId="5AB1B735">
      <w:pPr>
        <w:spacing w:line="360" w:lineRule="auto"/>
        <w:ind w:left="960"/>
        <w:rPr>
          <w:rFonts w:hint="eastAsia" w:ascii="宋体" w:hAnsi="宋体" w:eastAsia="宋体" w:cs="Times New Roman"/>
          <w:szCs w:val="21"/>
        </w:rPr>
      </w:pPr>
      <w:r>
        <w:rPr>
          <w:rFonts w:ascii="宋体" w:hAnsi="宋体" w:eastAsia="宋体" w:cs="Times New Roman"/>
          <w:szCs w:val="21"/>
        </w:rPr>
        <w:t>影响范围：可能影响到存储在该数据中的业务系统和用户。</w:t>
      </w:r>
    </w:p>
    <w:p w14:paraId="6ECE609D">
      <w:pPr>
        <w:spacing w:line="360" w:lineRule="auto"/>
        <w:ind w:left="960"/>
        <w:rPr>
          <w:rFonts w:hint="eastAsia" w:ascii="宋体" w:hAnsi="宋体" w:eastAsia="宋体" w:cs="Times New Roman"/>
          <w:szCs w:val="21"/>
        </w:rPr>
      </w:pPr>
      <w:r>
        <w:rPr>
          <w:rFonts w:ascii="宋体" w:hAnsi="宋体" w:eastAsia="宋体" w:cs="Times New Roman"/>
          <w:szCs w:val="21"/>
        </w:rPr>
        <w:t>处理措施：</w:t>
      </w:r>
    </w:p>
    <w:p w14:paraId="7E5D6A9B">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立即启动数据备份恢复机制，从备份设备中恢复丢失的数据。</w:t>
      </w:r>
    </w:p>
    <w:p w14:paraId="60CFBB03">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检查数据丢失的原因，加强数据安全管理，防止类似事件再次发生。</w:t>
      </w:r>
    </w:p>
    <w:p w14:paraId="1C4641ED">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如果是硬件故障，及时更换故障部件或整机。</w:t>
      </w:r>
    </w:p>
    <w:p w14:paraId="4E5BE0C9">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如果是软件故障，尝试重新安装或修复数据管理软件。</w:t>
      </w:r>
    </w:p>
    <w:p w14:paraId="35CB67FF">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如果是人为误操作，进行数据恢复和操作培训。</w:t>
      </w:r>
    </w:p>
    <w:p w14:paraId="57616778">
      <w:pPr>
        <w:numPr>
          <w:ilvl w:val="0"/>
          <w:numId w:val="169"/>
        </w:numPr>
        <w:spacing w:line="360" w:lineRule="auto"/>
        <w:rPr>
          <w:rFonts w:hint="eastAsia" w:ascii="宋体" w:hAnsi="宋体" w:eastAsia="宋体" w:cs="Times New Roman"/>
          <w:szCs w:val="21"/>
        </w:rPr>
      </w:pPr>
      <w:r>
        <w:rPr>
          <w:rFonts w:ascii="宋体" w:hAnsi="宋体" w:eastAsia="宋体" w:cs="Times New Roman"/>
          <w:szCs w:val="21"/>
        </w:rPr>
        <w:t>如果是病毒感染，进行病毒查杀和数据恢复。</w:t>
      </w:r>
    </w:p>
    <w:p w14:paraId="4ECB4B86">
      <w:pPr>
        <w:pStyle w:val="2"/>
      </w:pPr>
    </w:p>
    <w:p w14:paraId="681D20DB">
      <w:pPr>
        <w:spacing w:line="360" w:lineRule="auto"/>
        <w:rPr>
          <w:rFonts w:hint="eastAsia" w:ascii="宋体" w:hAnsi="宋体" w:eastAsia="宋体" w:cs="Times New Roman"/>
          <w:b/>
          <w:szCs w:val="21"/>
        </w:rPr>
      </w:pPr>
      <w:r>
        <w:rPr>
          <w:rFonts w:hint="eastAsia" w:ascii="宋体" w:hAnsi="宋体" w:eastAsia="宋体" w:cs="Times New Roman"/>
          <w:b/>
          <w:szCs w:val="21"/>
        </w:rPr>
        <w:t>（四）应急预案审查管理</w:t>
      </w:r>
    </w:p>
    <w:p w14:paraId="40824ED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领导小组定期对应急预案进行审查，根据实际情况，如演练过程中出现的问题等对内容进行更新，以便更贴合实际情况。</w:t>
      </w:r>
    </w:p>
    <w:p w14:paraId="621793C7">
      <w:pPr>
        <w:pStyle w:val="6"/>
        <w:spacing w:before="260" w:after="260" w:line="416" w:lineRule="auto"/>
        <w:jc w:val="both"/>
        <w:rPr>
          <w:rFonts w:hint="eastAsia" w:ascii="宋体" w:hAnsi="宋体" w:cstheme="majorBidi"/>
          <w:szCs w:val="24"/>
        </w:rPr>
      </w:pPr>
      <w:bookmarkStart w:id="423" w:name="_Toc180265758"/>
      <w:r>
        <w:rPr>
          <w:rFonts w:hint="eastAsia" w:ascii="宋体" w:hAnsi="宋体" w:cstheme="majorBidi"/>
          <w:szCs w:val="24"/>
        </w:rPr>
        <w:t>保障措施</w:t>
      </w:r>
      <w:bookmarkEnd w:id="423"/>
    </w:p>
    <w:p w14:paraId="3D8D14EE">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bookmarkStart w:id="424" w:name="_Toc154564363"/>
      <w:bookmarkStart w:id="425" w:name="_Toc155236471"/>
      <w:bookmarkStart w:id="426" w:name="_Toc483402464"/>
    </w:p>
    <w:p w14:paraId="6868CDEB">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17B099F3">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6D0EB021">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6787CC4F">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5FB5E94F">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60C46A24">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6A28DD3D">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3CBC5829">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208EDF0F">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241004D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（一）通信与信息保障</w:t>
      </w:r>
      <w:bookmarkEnd w:id="424"/>
      <w:bookmarkEnd w:id="425"/>
      <w:bookmarkEnd w:id="426"/>
    </w:p>
    <w:p w14:paraId="15965D09">
      <w:pPr>
        <w:spacing w:line="360" w:lineRule="auto"/>
        <w:ind w:firstLine="420" w:firstLineChars="200"/>
        <w:rPr>
          <w:rFonts w:hint="eastAsia" w:ascii="宋体" w:hAnsi="宋体" w:eastAsia="宋体" w:cs="Times New Roman"/>
          <w:szCs w:val="21"/>
        </w:rPr>
      </w:pPr>
      <w:bookmarkStart w:id="427" w:name="_Toc154564364"/>
      <w:bookmarkStart w:id="428" w:name="_Toc155236472"/>
      <w:r>
        <w:rPr>
          <w:rFonts w:hint="eastAsia" w:ascii="宋体" w:hAnsi="宋体" w:eastAsia="宋体" w:cs="Times New Roman"/>
          <w:szCs w:val="21"/>
        </w:rPr>
        <w:t>建立通讯信息采集制度，编制应急通讯录，确保应急通讯畅通，并明确和公布接警电话。应急通讯录应准确、方便、实用，并保证及时更新和信息安全事件发生时随时取用。</w:t>
      </w:r>
      <w:bookmarkEnd w:id="427"/>
      <w:bookmarkEnd w:id="428"/>
      <w:bookmarkStart w:id="429" w:name="_Toc483402466"/>
    </w:p>
    <w:p w14:paraId="447BED3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w:t>
      </w:r>
      <w:r>
        <w:rPr>
          <w:rFonts w:ascii="宋体" w:hAnsi="宋体" w:eastAsia="宋体" w:cs="Times New Roman"/>
          <w:szCs w:val="21"/>
        </w:rPr>
        <w:t>）人员保障</w:t>
      </w:r>
    </w:p>
    <w:p w14:paraId="61478994">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确保应急</w:t>
      </w:r>
      <w:r>
        <w:rPr>
          <w:rFonts w:hint="eastAsia" w:ascii="宋体" w:hAnsi="宋体" w:eastAsia="宋体" w:cs="Times New Roman"/>
          <w:szCs w:val="21"/>
        </w:rPr>
        <w:t>响应</w:t>
      </w:r>
      <w:r>
        <w:rPr>
          <w:rFonts w:ascii="宋体" w:hAnsi="宋体" w:eastAsia="宋体" w:cs="Times New Roman"/>
          <w:szCs w:val="21"/>
        </w:rPr>
        <w:t>小组和协调小组成员随时待命，能够在紧急情况下迅速投入工作。建立应急人员通讯录，确保联系畅通。</w:t>
      </w:r>
    </w:p>
    <w:p w14:paraId="1075DA9F">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定期组织应急演练和培训，提高人员的应急处理能力和团队协作能力。对应急人员进行考核和评价，确保其具备相应的技能和素质。</w:t>
      </w:r>
    </w:p>
    <w:p w14:paraId="1450AFC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与外部专业机构和专家建立合作关系，在必要时寻求技术支持和帮助。</w:t>
      </w:r>
    </w:p>
    <w:p w14:paraId="7674FB2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w:t>
      </w:r>
      <w:r>
        <w:rPr>
          <w:rFonts w:asciiTheme="majorHAnsi" w:hAnsiTheme="majorHAnsi" w:eastAsiaTheme="majorEastAsia" w:cstheme="majorBidi"/>
          <w:bCs/>
          <w:szCs w:val="28"/>
        </w:rPr>
        <w:t>技术保障</w:t>
      </w:r>
    </w:p>
    <w:p w14:paraId="00D2E88D">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不断更新和完善应急预案，采用先进的技术手段提高应急处理效率。例如，使用自动化监控和报警系统、远程管理工具等。</w:t>
      </w:r>
    </w:p>
    <w:p w14:paraId="3630085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建立应急知识库，收集和整理应急处理过程中的经验教训和技术资料，为今后的应急处理提供参考。</w:t>
      </w:r>
    </w:p>
    <w:p w14:paraId="6BBBF3E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w:t>
      </w:r>
      <w:r>
        <w:rPr>
          <w:rFonts w:asciiTheme="majorHAnsi" w:hAnsiTheme="majorHAnsi" w:eastAsiaTheme="majorEastAsia" w:cstheme="majorBidi"/>
          <w:bCs/>
          <w:szCs w:val="28"/>
        </w:rPr>
        <w:t>设备保障</w:t>
      </w:r>
    </w:p>
    <w:p w14:paraId="2487C59F">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储备必要的</w:t>
      </w:r>
      <w:r>
        <w:rPr>
          <w:rFonts w:hint="eastAsia" w:ascii="宋体" w:hAnsi="宋体" w:eastAsia="宋体" w:cs="Times New Roman"/>
          <w:szCs w:val="21"/>
        </w:rPr>
        <w:t>重保和攻防工作临时所需的专业防护设备</w:t>
      </w:r>
      <w:r>
        <w:rPr>
          <w:rFonts w:ascii="宋体" w:hAnsi="宋体" w:eastAsia="宋体" w:cs="Times New Roman"/>
          <w:szCs w:val="21"/>
        </w:rPr>
        <w:t>，确保能够在</w:t>
      </w:r>
      <w:r>
        <w:rPr>
          <w:rFonts w:hint="eastAsia" w:ascii="宋体" w:hAnsi="宋体" w:eastAsia="宋体" w:cs="Times New Roman"/>
          <w:szCs w:val="21"/>
        </w:rPr>
        <w:t>需要</w:t>
      </w:r>
      <w:r>
        <w:rPr>
          <w:rFonts w:ascii="宋体" w:hAnsi="宋体" w:eastAsia="宋体" w:cs="Times New Roman"/>
          <w:szCs w:val="21"/>
        </w:rPr>
        <w:t>情况下迅速投入使用。</w:t>
      </w:r>
    </w:p>
    <w:p w14:paraId="07B5384F">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定期对备用设备进行检查和维护，确保其可用性和可靠性。建立备用设备清单和管理制度，明确设备的存放位置、使用方法和维护责任人。</w:t>
      </w:r>
    </w:p>
    <w:p w14:paraId="4E3DF67B">
      <w:pPr>
        <w:pStyle w:val="6"/>
        <w:spacing w:before="260" w:after="260" w:line="416" w:lineRule="auto"/>
        <w:jc w:val="both"/>
        <w:rPr>
          <w:rFonts w:hint="eastAsia" w:ascii="宋体" w:hAnsi="宋体" w:cstheme="majorBidi"/>
          <w:szCs w:val="24"/>
        </w:rPr>
      </w:pPr>
      <w:bookmarkStart w:id="430" w:name="_Toc180265759"/>
      <w:r>
        <w:rPr>
          <w:rFonts w:ascii="宋体" w:hAnsi="宋体" w:cstheme="majorBidi"/>
          <w:szCs w:val="24"/>
        </w:rPr>
        <w:t>后期处置</w:t>
      </w:r>
      <w:bookmarkEnd w:id="430"/>
    </w:p>
    <w:p w14:paraId="3A25A6F9">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51837393">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3AF5B56E">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7F3E0D6E">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0A963850">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3FFB1893">
      <w:pPr>
        <w:pStyle w:val="73"/>
        <w:keepNext/>
        <w:keepLines/>
        <w:numPr>
          <w:ilvl w:val="1"/>
          <w:numId w:val="128"/>
        </w:numPr>
        <w:spacing w:before="280" w:after="290" w:line="376" w:lineRule="auto"/>
        <w:ind w:firstLineChars="0"/>
        <w:outlineLvl w:val="3"/>
        <w:rPr>
          <w:rFonts w:asciiTheme="majorHAnsi" w:hAnsiTheme="majorHAnsi" w:eastAsiaTheme="majorEastAsia" w:cstheme="majorBidi"/>
          <w:b/>
          <w:bCs/>
          <w:vanish/>
          <w:szCs w:val="28"/>
        </w:rPr>
      </w:pPr>
    </w:p>
    <w:p w14:paraId="1EEA8C22">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270EA7D4">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784941AF">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2D69D654">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505022D1">
      <w:pPr>
        <w:pStyle w:val="73"/>
        <w:keepNext/>
        <w:keepLines/>
        <w:numPr>
          <w:ilvl w:val="2"/>
          <w:numId w:val="128"/>
        </w:numPr>
        <w:spacing w:before="280" w:after="290" w:line="376" w:lineRule="auto"/>
        <w:ind w:firstLineChars="0"/>
        <w:outlineLvl w:val="3"/>
        <w:rPr>
          <w:rFonts w:asciiTheme="majorHAnsi" w:hAnsiTheme="majorHAnsi" w:eastAsiaTheme="majorEastAsia" w:cstheme="majorBidi"/>
          <w:b/>
          <w:bCs/>
          <w:vanish/>
          <w:szCs w:val="28"/>
        </w:rPr>
      </w:pPr>
    </w:p>
    <w:p w14:paraId="2D547EA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事件总结</w:t>
      </w:r>
    </w:p>
    <w:p w14:paraId="1D8B6E2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对应急事件的处理过程进行总结分析，评估应急预案的有效性和执行情况。总结内容应包括事件的经过、处理措施、经验教训等。</w:t>
      </w:r>
    </w:p>
    <w:p w14:paraId="090DFC2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针对应急事件处理过程中发现的问题和不足，提出改进措施和建议。改进措施应包括应急预案的修订、技术手段的改进、人员培训的加强等。</w:t>
      </w:r>
    </w:p>
    <w:p w14:paraId="788F352A">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将应急事件的处理情况和总结报告上报相关部门和领导，为今后的应急管理工作提供参考。</w:t>
      </w:r>
    </w:p>
    <w:p w14:paraId="28F773A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w:t>
      </w:r>
      <w:r>
        <w:rPr>
          <w:rFonts w:asciiTheme="majorHAnsi" w:hAnsiTheme="majorHAnsi" w:eastAsiaTheme="majorEastAsia" w:cstheme="majorBidi"/>
          <w:bCs/>
          <w:szCs w:val="28"/>
        </w:rPr>
        <w:t>恢复正常运行</w:t>
      </w:r>
    </w:p>
    <w:p w14:paraId="381CE75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在应急事件处理结束后，逐步恢复系统的正常运行状态。对恢复后的系统进行测试和验证，确保系统的稳定性和可靠性。</w:t>
      </w:r>
    </w:p>
    <w:p w14:paraId="47E409B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通知用户和相关部门系统已恢复正常运行，恢复业务流程。对用户进行回访，了解用户对系统恢复的满意度和意见建议。</w:t>
      </w:r>
    </w:p>
    <w:p w14:paraId="125576C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w:t>
      </w:r>
      <w:r>
        <w:rPr>
          <w:rFonts w:asciiTheme="majorHAnsi" w:hAnsiTheme="majorHAnsi" w:eastAsiaTheme="majorEastAsia" w:cstheme="majorBidi"/>
          <w:bCs/>
          <w:szCs w:val="28"/>
        </w:rPr>
        <w:t>培训与演练</w:t>
      </w:r>
    </w:p>
    <w:p w14:paraId="73BAFDE5">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定期组织应急培训和演练，提高人员的应急处理能力和团队协作能力。培训内容应包括应急预案的学习、应急处理技能的培训、安全意识的提高等。</w:t>
      </w:r>
    </w:p>
    <w:p w14:paraId="67AB2436">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对应急演练进行总结和评估，发现问题及时改进。根据演练结果，对应急预案进行修订和完善，确保应急预案的实用性和可操作性。</w:t>
      </w:r>
    </w:p>
    <w:p w14:paraId="2B992CB8">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将应急培训和演练纳入日常工作管理，建立长效机制，不断提高应急管理水平。</w:t>
      </w:r>
    </w:p>
    <w:p w14:paraId="2E556769">
      <w:pPr>
        <w:spacing w:line="360" w:lineRule="auto"/>
        <w:ind w:firstLine="420" w:firstLineChars="200"/>
        <w:rPr>
          <w:rFonts w:hint="eastAsia" w:ascii="宋体" w:hAnsi="宋体" w:eastAsia="宋体" w:cs="Times New Roman"/>
          <w:szCs w:val="21"/>
        </w:rPr>
      </w:pPr>
    </w:p>
    <w:bookmarkEnd w:id="429"/>
    <w:p w14:paraId="1D6CF57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附件</w:t>
      </w:r>
    </w:p>
    <w:p w14:paraId="7810E92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附件一信息安全事件报告表</w:t>
      </w:r>
    </w:p>
    <w:tbl>
      <w:tblPr>
        <w:tblStyle w:val="4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50"/>
        <w:gridCol w:w="2344"/>
        <w:gridCol w:w="12"/>
        <w:gridCol w:w="2148"/>
        <w:gridCol w:w="21"/>
        <w:gridCol w:w="1921"/>
      </w:tblGrid>
      <w:tr w14:paraId="35DE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3BCCAB92">
            <w:pPr>
              <w:spacing w:line="360" w:lineRule="auto"/>
              <w:rPr>
                <w:rFonts w:hint="eastAsia" w:ascii="宋体" w:hAnsi="宋体" w:eastAsia="宋体"/>
                <w:szCs w:val="21"/>
              </w:rPr>
            </w:pPr>
            <w:r>
              <w:rPr>
                <w:rFonts w:hint="eastAsia" w:ascii="宋体" w:hAnsi="宋体" w:eastAsia="宋体"/>
                <w:szCs w:val="21"/>
              </w:rPr>
              <w:t>报告时间：年月日时分秒</w:t>
            </w:r>
          </w:p>
        </w:tc>
      </w:tr>
      <w:tr w14:paraId="648D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gridSpan w:val="2"/>
          </w:tcPr>
          <w:p w14:paraId="4278D17A">
            <w:pPr>
              <w:spacing w:line="360" w:lineRule="auto"/>
              <w:ind w:firstLine="456"/>
              <w:rPr>
                <w:rFonts w:hint="eastAsia" w:ascii="宋体" w:hAnsi="宋体" w:eastAsia="宋体"/>
                <w:szCs w:val="21"/>
              </w:rPr>
            </w:pPr>
            <w:r>
              <w:rPr>
                <w:rFonts w:hint="eastAsia" w:ascii="宋体" w:hAnsi="宋体" w:eastAsia="宋体"/>
                <w:szCs w:val="21"/>
              </w:rPr>
              <w:t>报告部门</w:t>
            </w:r>
          </w:p>
        </w:tc>
        <w:tc>
          <w:tcPr>
            <w:tcW w:w="2344" w:type="dxa"/>
          </w:tcPr>
          <w:p w14:paraId="3009189A">
            <w:pPr>
              <w:spacing w:line="360" w:lineRule="auto"/>
              <w:ind w:firstLine="456"/>
              <w:rPr>
                <w:rFonts w:hint="eastAsia" w:ascii="宋体" w:hAnsi="宋体" w:eastAsia="宋体"/>
                <w:szCs w:val="21"/>
              </w:rPr>
            </w:pPr>
          </w:p>
        </w:tc>
        <w:tc>
          <w:tcPr>
            <w:tcW w:w="2160" w:type="dxa"/>
            <w:gridSpan w:val="2"/>
          </w:tcPr>
          <w:p w14:paraId="68019945">
            <w:pPr>
              <w:spacing w:line="360" w:lineRule="auto"/>
              <w:ind w:firstLine="456"/>
              <w:rPr>
                <w:rFonts w:hint="eastAsia" w:ascii="宋体" w:hAnsi="宋体" w:eastAsia="宋体"/>
                <w:szCs w:val="21"/>
              </w:rPr>
            </w:pPr>
            <w:r>
              <w:rPr>
                <w:rFonts w:hint="eastAsia" w:ascii="宋体" w:hAnsi="宋体" w:eastAsia="宋体"/>
                <w:szCs w:val="21"/>
              </w:rPr>
              <w:t>报告人</w:t>
            </w:r>
          </w:p>
        </w:tc>
        <w:tc>
          <w:tcPr>
            <w:tcW w:w="1942" w:type="dxa"/>
            <w:gridSpan w:val="2"/>
          </w:tcPr>
          <w:p w14:paraId="2061D74B">
            <w:pPr>
              <w:spacing w:line="360" w:lineRule="auto"/>
              <w:ind w:firstLine="456"/>
              <w:rPr>
                <w:rFonts w:hint="eastAsia" w:ascii="宋体" w:hAnsi="宋体" w:eastAsia="宋体"/>
                <w:szCs w:val="21"/>
              </w:rPr>
            </w:pPr>
          </w:p>
        </w:tc>
      </w:tr>
      <w:tr w14:paraId="0281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gridSpan w:val="2"/>
          </w:tcPr>
          <w:p w14:paraId="119D2EAB">
            <w:pPr>
              <w:spacing w:line="360" w:lineRule="auto"/>
              <w:ind w:firstLine="456"/>
              <w:rPr>
                <w:rFonts w:hint="eastAsia" w:ascii="宋体" w:hAnsi="宋体" w:eastAsia="宋体"/>
                <w:szCs w:val="21"/>
              </w:rPr>
            </w:pPr>
            <w:r>
              <w:rPr>
                <w:rFonts w:hint="eastAsia" w:ascii="宋体" w:hAnsi="宋体" w:eastAsia="宋体"/>
                <w:szCs w:val="21"/>
              </w:rPr>
              <w:t>联系电话</w:t>
            </w:r>
          </w:p>
        </w:tc>
        <w:tc>
          <w:tcPr>
            <w:tcW w:w="2344" w:type="dxa"/>
          </w:tcPr>
          <w:p w14:paraId="5614082C">
            <w:pPr>
              <w:spacing w:line="360" w:lineRule="auto"/>
              <w:ind w:firstLine="456"/>
              <w:rPr>
                <w:rFonts w:hint="eastAsia" w:ascii="宋体" w:hAnsi="宋体" w:eastAsia="宋体"/>
                <w:szCs w:val="21"/>
              </w:rPr>
            </w:pPr>
          </w:p>
        </w:tc>
        <w:tc>
          <w:tcPr>
            <w:tcW w:w="2160" w:type="dxa"/>
            <w:gridSpan w:val="2"/>
          </w:tcPr>
          <w:p w14:paraId="598A66B6">
            <w:pPr>
              <w:spacing w:line="360" w:lineRule="auto"/>
              <w:ind w:firstLine="456"/>
              <w:rPr>
                <w:rFonts w:hint="eastAsia" w:ascii="宋体" w:hAnsi="宋体" w:eastAsia="宋体"/>
                <w:szCs w:val="21"/>
              </w:rPr>
            </w:pPr>
            <w:r>
              <w:rPr>
                <w:rFonts w:hint="eastAsia" w:ascii="宋体" w:hAnsi="宋体" w:eastAsia="宋体"/>
                <w:szCs w:val="21"/>
              </w:rPr>
              <w:t>电子邮件</w:t>
            </w:r>
          </w:p>
        </w:tc>
        <w:tc>
          <w:tcPr>
            <w:tcW w:w="1942" w:type="dxa"/>
            <w:gridSpan w:val="2"/>
          </w:tcPr>
          <w:p w14:paraId="2D932F15">
            <w:pPr>
              <w:spacing w:line="360" w:lineRule="auto"/>
              <w:ind w:firstLine="456"/>
              <w:rPr>
                <w:rFonts w:hint="eastAsia" w:ascii="宋体" w:hAnsi="宋体" w:eastAsia="宋体"/>
                <w:szCs w:val="21"/>
              </w:rPr>
            </w:pPr>
          </w:p>
        </w:tc>
      </w:tr>
      <w:tr w14:paraId="457A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gridSpan w:val="2"/>
          </w:tcPr>
          <w:p w14:paraId="503CB799">
            <w:pPr>
              <w:spacing w:line="360" w:lineRule="auto"/>
              <w:ind w:firstLine="456"/>
              <w:rPr>
                <w:rFonts w:hint="eastAsia" w:ascii="宋体" w:hAnsi="宋体" w:eastAsia="宋体"/>
                <w:szCs w:val="21"/>
              </w:rPr>
            </w:pPr>
            <w:r>
              <w:rPr>
                <w:rFonts w:hint="eastAsia" w:ascii="宋体" w:hAnsi="宋体" w:eastAsia="宋体"/>
                <w:szCs w:val="21"/>
              </w:rPr>
              <w:t>事件地点</w:t>
            </w:r>
          </w:p>
        </w:tc>
        <w:tc>
          <w:tcPr>
            <w:tcW w:w="2344" w:type="dxa"/>
          </w:tcPr>
          <w:p w14:paraId="445C3C6E">
            <w:pPr>
              <w:spacing w:line="360" w:lineRule="auto"/>
              <w:ind w:firstLine="456"/>
              <w:rPr>
                <w:rFonts w:hint="eastAsia" w:ascii="宋体" w:hAnsi="宋体" w:eastAsia="宋体"/>
                <w:szCs w:val="21"/>
              </w:rPr>
            </w:pPr>
          </w:p>
        </w:tc>
        <w:tc>
          <w:tcPr>
            <w:tcW w:w="2160" w:type="dxa"/>
            <w:gridSpan w:val="2"/>
          </w:tcPr>
          <w:p w14:paraId="21871C42">
            <w:pPr>
              <w:spacing w:line="360" w:lineRule="auto"/>
              <w:ind w:firstLine="456"/>
              <w:rPr>
                <w:rFonts w:hint="eastAsia" w:ascii="宋体" w:hAnsi="宋体" w:eastAsia="宋体"/>
                <w:szCs w:val="21"/>
              </w:rPr>
            </w:pPr>
            <w:r>
              <w:rPr>
                <w:rFonts w:hint="eastAsia" w:ascii="宋体" w:hAnsi="宋体" w:eastAsia="宋体"/>
                <w:szCs w:val="21"/>
              </w:rPr>
              <w:t>起因</w:t>
            </w:r>
          </w:p>
        </w:tc>
        <w:tc>
          <w:tcPr>
            <w:tcW w:w="1942" w:type="dxa"/>
            <w:gridSpan w:val="2"/>
          </w:tcPr>
          <w:p w14:paraId="5753D0B7">
            <w:pPr>
              <w:spacing w:line="360" w:lineRule="auto"/>
              <w:ind w:firstLine="456"/>
              <w:rPr>
                <w:rFonts w:hint="eastAsia" w:ascii="宋体" w:hAnsi="宋体" w:eastAsia="宋体"/>
                <w:szCs w:val="21"/>
              </w:rPr>
            </w:pPr>
          </w:p>
        </w:tc>
      </w:tr>
      <w:tr w14:paraId="566C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trPr>
        <w:tc>
          <w:tcPr>
            <w:tcW w:w="8522" w:type="dxa"/>
            <w:gridSpan w:val="7"/>
            <w:tcBorders>
              <w:bottom w:val="single" w:color="auto" w:sz="4" w:space="0"/>
            </w:tcBorders>
          </w:tcPr>
          <w:p w14:paraId="1420DD9A">
            <w:pPr>
              <w:spacing w:line="360" w:lineRule="auto"/>
              <w:rPr>
                <w:rFonts w:hint="eastAsia" w:ascii="宋体" w:hAnsi="宋体" w:eastAsia="宋体"/>
                <w:szCs w:val="21"/>
              </w:rPr>
            </w:pPr>
            <w:r>
              <w:rPr>
                <w:rFonts w:hint="eastAsia" w:ascii="宋体" w:hAnsi="宋体" w:eastAsia="宋体"/>
                <w:szCs w:val="21"/>
              </w:rPr>
              <w:t>信息安全事件的基本过程(如以前出现过类似情况应加以说明)</w:t>
            </w:r>
          </w:p>
          <w:p w14:paraId="4BE220C1">
            <w:pPr>
              <w:spacing w:line="360" w:lineRule="auto"/>
              <w:rPr>
                <w:rFonts w:hint="eastAsia" w:ascii="宋体" w:hAnsi="宋体" w:eastAsia="宋体"/>
                <w:szCs w:val="21"/>
              </w:rPr>
            </w:pPr>
          </w:p>
          <w:p w14:paraId="3D0F74B7">
            <w:pPr>
              <w:spacing w:line="360" w:lineRule="auto"/>
              <w:rPr>
                <w:rFonts w:hint="eastAsia" w:ascii="宋体" w:hAnsi="宋体" w:eastAsia="宋体"/>
                <w:szCs w:val="21"/>
              </w:rPr>
            </w:pPr>
          </w:p>
          <w:p w14:paraId="14FD59D7">
            <w:pPr>
              <w:spacing w:line="360" w:lineRule="auto"/>
              <w:rPr>
                <w:rFonts w:hint="eastAsia" w:ascii="宋体" w:hAnsi="宋体" w:eastAsia="宋体"/>
                <w:szCs w:val="21"/>
              </w:rPr>
            </w:pPr>
          </w:p>
        </w:tc>
      </w:tr>
      <w:tr w14:paraId="43E6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8522" w:type="dxa"/>
            <w:gridSpan w:val="7"/>
            <w:tcBorders>
              <w:bottom w:val="single" w:color="auto" w:sz="4" w:space="0"/>
            </w:tcBorders>
          </w:tcPr>
          <w:p w14:paraId="10F69150">
            <w:pPr>
              <w:spacing w:line="360" w:lineRule="auto"/>
              <w:rPr>
                <w:rFonts w:hint="eastAsia" w:ascii="宋体" w:hAnsi="宋体" w:eastAsia="宋体"/>
                <w:szCs w:val="21"/>
              </w:rPr>
            </w:pPr>
            <w:r>
              <w:rPr>
                <w:rFonts w:hint="eastAsia" w:ascii="宋体" w:hAnsi="宋体" w:eastAsia="宋体"/>
                <w:szCs w:val="21"/>
              </w:rPr>
              <w:t>已造成的后果：</w:t>
            </w:r>
          </w:p>
          <w:p w14:paraId="5E317297">
            <w:pPr>
              <w:spacing w:line="360" w:lineRule="auto"/>
              <w:rPr>
                <w:rFonts w:hint="eastAsia" w:ascii="宋体" w:hAnsi="宋体" w:eastAsia="宋体"/>
                <w:szCs w:val="21"/>
              </w:rPr>
            </w:pPr>
          </w:p>
          <w:p w14:paraId="2A060477">
            <w:pPr>
              <w:spacing w:line="360" w:lineRule="auto"/>
              <w:rPr>
                <w:rFonts w:hint="eastAsia" w:ascii="宋体" w:hAnsi="宋体" w:eastAsia="宋体"/>
                <w:szCs w:val="21"/>
              </w:rPr>
            </w:pPr>
          </w:p>
        </w:tc>
      </w:tr>
      <w:tr w14:paraId="130F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8522" w:type="dxa"/>
            <w:gridSpan w:val="7"/>
            <w:tcBorders>
              <w:bottom w:val="single" w:color="auto" w:sz="4" w:space="0"/>
            </w:tcBorders>
          </w:tcPr>
          <w:p w14:paraId="6DB9E845">
            <w:pPr>
              <w:spacing w:line="360" w:lineRule="auto"/>
              <w:rPr>
                <w:rFonts w:hint="eastAsia" w:ascii="宋体" w:hAnsi="宋体" w:eastAsia="宋体"/>
                <w:szCs w:val="21"/>
              </w:rPr>
            </w:pPr>
            <w:r>
              <w:rPr>
                <w:rFonts w:hint="eastAsia" w:ascii="宋体" w:hAnsi="宋体" w:eastAsia="宋体"/>
                <w:szCs w:val="21"/>
              </w:rPr>
              <w:t>当前采取的应对措施（包括转相关负责人）</w:t>
            </w:r>
          </w:p>
          <w:p w14:paraId="1010990E">
            <w:pPr>
              <w:spacing w:line="360" w:lineRule="auto"/>
              <w:rPr>
                <w:rFonts w:hint="eastAsia" w:ascii="宋体" w:hAnsi="宋体" w:eastAsia="宋体"/>
                <w:szCs w:val="21"/>
              </w:rPr>
            </w:pPr>
          </w:p>
          <w:p w14:paraId="67CC5678">
            <w:pPr>
              <w:spacing w:line="360" w:lineRule="auto"/>
              <w:rPr>
                <w:rFonts w:hint="eastAsia" w:ascii="宋体" w:hAnsi="宋体" w:eastAsia="宋体"/>
                <w:szCs w:val="21"/>
              </w:rPr>
            </w:pPr>
          </w:p>
          <w:p w14:paraId="251E3620">
            <w:pPr>
              <w:spacing w:line="360" w:lineRule="auto"/>
              <w:rPr>
                <w:rFonts w:hint="eastAsia" w:ascii="宋体" w:hAnsi="宋体" w:eastAsia="宋体"/>
                <w:szCs w:val="21"/>
              </w:rPr>
            </w:pPr>
          </w:p>
        </w:tc>
      </w:tr>
      <w:tr w14:paraId="25DE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4AF54567">
            <w:pPr>
              <w:spacing w:line="360" w:lineRule="auto"/>
              <w:rPr>
                <w:rFonts w:hint="eastAsia" w:ascii="宋体" w:hAnsi="宋体" w:eastAsia="宋体"/>
                <w:szCs w:val="21"/>
              </w:rPr>
            </w:pPr>
            <w:r>
              <w:rPr>
                <w:rFonts w:hint="eastAsia" w:ascii="宋体" w:hAnsi="宋体" w:eastAsia="宋体"/>
                <w:szCs w:val="21"/>
              </w:rPr>
              <w:t>影响范围：</w:t>
            </w:r>
          </w:p>
          <w:p w14:paraId="3E7462A6">
            <w:pPr>
              <w:spacing w:line="360" w:lineRule="auto"/>
              <w:rPr>
                <w:rFonts w:hint="eastAsia" w:ascii="宋体" w:hAnsi="宋体" w:eastAsia="宋体"/>
                <w:szCs w:val="21"/>
              </w:rPr>
            </w:pPr>
          </w:p>
          <w:p w14:paraId="11F9592B">
            <w:pPr>
              <w:spacing w:line="360" w:lineRule="auto"/>
              <w:rPr>
                <w:rFonts w:hint="eastAsia" w:ascii="宋体" w:hAnsi="宋体" w:eastAsia="宋体"/>
                <w:szCs w:val="21"/>
              </w:rPr>
            </w:pPr>
          </w:p>
        </w:tc>
      </w:tr>
      <w:tr w14:paraId="23E3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62BFA599">
            <w:pPr>
              <w:spacing w:line="360" w:lineRule="auto"/>
              <w:rPr>
                <w:rFonts w:hint="eastAsia" w:ascii="宋体" w:hAnsi="宋体" w:eastAsia="宋体"/>
                <w:szCs w:val="21"/>
              </w:rPr>
            </w:pPr>
            <w:r>
              <w:rPr>
                <w:rFonts w:hint="eastAsia" w:ascii="宋体" w:hAnsi="宋体" w:eastAsia="宋体"/>
                <w:szCs w:val="21"/>
              </w:rPr>
              <w:t>发展趋势及处置情况：</w:t>
            </w:r>
          </w:p>
          <w:p w14:paraId="6D40C5E8">
            <w:pPr>
              <w:spacing w:line="360" w:lineRule="auto"/>
              <w:rPr>
                <w:rFonts w:hint="eastAsia" w:ascii="宋体" w:hAnsi="宋体" w:eastAsia="宋体"/>
                <w:szCs w:val="21"/>
              </w:rPr>
            </w:pPr>
          </w:p>
          <w:p w14:paraId="68F541A0">
            <w:pPr>
              <w:spacing w:line="360" w:lineRule="auto"/>
              <w:rPr>
                <w:rFonts w:hint="eastAsia" w:ascii="宋体" w:hAnsi="宋体" w:eastAsia="宋体"/>
                <w:szCs w:val="21"/>
              </w:rPr>
            </w:pPr>
          </w:p>
        </w:tc>
      </w:tr>
      <w:tr w14:paraId="1141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tcPr>
          <w:p w14:paraId="6B3759F2">
            <w:pPr>
              <w:spacing w:line="360" w:lineRule="auto"/>
              <w:ind w:firstLine="456"/>
              <w:rPr>
                <w:rFonts w:hint="eastAsia" w:ascii="宋体" w:hAnsi="宋体" w:eastAsia="宋体"/>
                <w:szCs w:val="21"/>
              </w:rPr>
            </w:pPr>
            <w:r>
              <w:rPr>
                <w:rFonts w:hint="eastAsia" w:ascii="宋体" w:hAnsi="宋体" w:eastAsia="宋体"/>
                <w:szCs w:val="21"/>
              </w:rPr>
              <w:t>记录人</w:t>
            </w:r>
          </w:p>
        </w:tc>
        <w:tc>
          <w:tcPr>
            <w:tcW w:w="2506" w:type="dxa"/>
            <w:gridSpan w:val="3"/>
          </w:tcPr>
          <w:p w14:paraId="45829512">
            <w:pPr>
              <w:spacing w:line="360" w:lineRule="auto"/>
              <w:ind w:firstLine="456"/>
              <w:rPr>
                <w:rFonts w:hint="eastAsia" w:ascii="宋体" w:hAnsi="宋体" w:eastAsia="宋体"/>
                <w:szCs w:val="21"/>
              </w:rPr>
            </w:pPr>
          </w:p>
        </w:tc>
        <w:tc>
          <w:tcPr>
            <w:tcW w:w="2169" w:type="dxa"/>
            <w:gridSpan w:val="2"/>
          </w:tcPr>
          <w:p w14:paraId="3D9DACA1">
            <w:pPr>
              <w:spacing w:line="360" w:lineRule="auto"/>
              <w:jc w:val="center"/>
              <w:rPr>
                <w:rFonts w:hint="eastAsia" w:ascii="宋体" w:hAnsi="宋体" w:eastAsia="宋体"/>
                <w:szCs w:val="21"/>
              </w:rPr>
            </w:pPr>
            <w:r>
              <w:rPr>
                <w:rFonts w:hint="eastAsia" w:ascii="宋体" w:hAnsi="宋体" w:eastAsia="宋体"/>
                <w:szCs w:val="21"/>
              </w:rPr>
              <w:t>记录人所属部门</w:t>
            </w:r>
          </w:p>
        </w:tc>
        <w:tc>
          <w:tcPr>
            <w:tcW w:w="1921" w:type="dxa"/>
          </w:tcPr>
          <w:p w14:paraId="64F47534">
            <w:pPr>
              <w:spacing w:line="360" w:lineRule="auto"/>
              <w:ind w:firstLine="456"/>
              <w:rPr>
                <w:rFonts w:hint="eastAsia" w:ascii="宋体" w:hAnsi="宋体" w:eastAsia="宋体"/>
                <w:szCs w:val="21"/>
              </w:rPr>
            </w:pPr>
          </w:p>
        </w:tc>
      </w:tr>
    </w:tbl>
    <w:p w14:paraId="25163DB8">
      <w:pPr>
        <w:rPr>
          <w:szCs w:val="21"/>
        </w:rPr>
        <w:sectPr>
          <w:pgSz w:w="11906" w:h="16838"/>
          <w:pgMar w:top="1440" w:right="1800" w:bottom="1440" w:left="1800" w:header="851" w:footer="992" w:gutter="0"/>
          <w:cols w:space="425" w:num="1"/>
          <w:docGrid w:type="lines" w:linePitch="312" w:charSpace="0"/>
        </w:sectPr>
      </w:pPr>
    </w:p>
    <w:p w14:paraId="1128783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附件二应急处置审批表</w:t>
      </w:r>
    </w:p>
    <w:tbl>
      <w:tblPr>
        <w:tblStyle w:val="4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2884"/>
        <w:gridCol w:w="1548"/>
        <w:gridCol w:w="2108"/>
      </w:tblGrid>
      <w:tr w14:paraId="1162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82" w:type="dxa"/>
            <w:vAlign w:val="center"/>
          </w:tcPr>
          <w:p w14:paraId="589816BD">
            <w:pPr>
              <w:jc w:val="center"/>
              <w:rPr>
                <w:rFonts w:hint="eastAsia" w:ascii="宋体" w:hAnsi="宋体"/>
                <w:szCs w:val="21"/>
              </w:rPr>
            </w:pPr>
            <w:r>
              <w:rPr>
                <w:rFonts w:hint="eastAsia" w:ascii="宋体" w:hAnsi="宋体"/>
                <w:szCs w:val="21"/>
              </w:rPr>
              <w:t>事发地点</w:t>
            </w:r>
          </w:p>
        </w:tc>
        <w:tc>
          <w:tcPr>
            <w:tcW w:w="2884" w:type="dxa"/>
            <w:vAlign w:val="center"/>
          </w:tcPr>
          <w:p w14:paraId="5DAD452C">
            <w:pPr>
              <w:jc w:val="center"/>
              <w:rPr>
                <w:rFonts w:hint="eastAsia" w:ascii="宋体" w:hAnsi="宋体"/>
                <w:szCs w:val="21"/>
              </w:rPr>
            </w:pPr>
          </w:p>
        </w:tc>
        <w:tc>
          <w:tcPr>
            <w:tcW w:w="1548" w:type="dxa"/>
            <w:vAlign w:val="center"/>
          </w:tcPr>
          <w:p w14:paraId="5B439421">
            <w:pPr>
              <w:jc w:val="center"/>
              <w:rPr>
                <w:rFonts w:hint="eastAsia" w:ascii="宋体" w:hAnsi="宋体"/>
                <w:szCs w:val="21"/>
              </w:rPr>
            </w:pPr>
            <w:r>
              <w:rPr>
                <w:rFonts w:hint="eastAsia" w:ascii="宋体" w:hAnsi="宋体"/>
                <w:szCs w:val="21"/>
              </w:rPr>
              <w:t>发生时间</w:t>
            </w:r>
          </w:p>
        </w:tc>
        <w:tc>
          <w:tcPr>
            <w:tcW w:w="2108" w:type="dxa"/>
            <w:vAlign w:val="center"/>
          </w:tcPr>
          <w:p w14:paraId="4A96AC73">
            <w:pPr>
              <w:jc w:val="center"/>
              <w:rPr>
                <w:rFonts w:hint="eastAsia" w:ascii="宋体" w:hAnsi="宋体"/>
                <w:szCs w:val="21"/>
              </w:rPr>
            </w:pPr>
          </w:p>
        </w:tc>
      </w:tr>
      <w:tr w14:paraId="1B7E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82" w:type="dxa"/>
            <w:vAlign w:val="center"/>
          </w:tcPr>
          <w:p w14:paraId="0E790090">
            <w:pPr>
              <w:jc w:val="center"/>
              <w:rPr>
                <w:rFonts w:hint="eastAsia" w:ascii="宋体" w:hAnsi="宋体"/>
                <w:szCs w:val="21"/>
              </w:rPr>
            </w:pPr>
            <w:r>
              <w:rPr>
                <w:rFonts w:hint="eastAsia" w:ascii="宋体" w:hAnsi="宋体"/>
                <w:szCs w:val="21"/>
              </w:rPr>
              <w:t>事发部门</w:t>
            </w:r>
          </w:p>
        </w:tc>
        <w:tc>
          <w:tcPr>
            <w:tcW w:w="2884" w:type="dxa"/>
            <w:vAlign w:val="center"/>
          </w:tcPr>
          <w:p w14:paraId="53175832">
            <w:pPr>
              <w:jc w:val="center"/>
              <w:rPr>
                <w:rFonts w:hint="eastAsia" w:ascii="宋体" w:hAnsi="宋体"/>
                <w:szCs w:val="21"/>
              </w:rPr>
            </w:pPr>
          </w:p>
        </w:tc>
        <w:tc>
          <w:tcPr>
            <w:tcW w:w="1548" w:type="dxa"/>
            <w:vAlign w:val="center"/>
          </w:tcPr>
          <w:p w14:paraId="419F65BC">
            <w:pPr>
              <w:jc w:val="center"/>
              <w:rPr>
                <w:rFonts w:hint="eastAsia" w:ascii="宋体" w:hAnsi="宋体"/>
                <w:szCs w:val="21"/>
              </w:rPr>
            </w:pPr>
            <w:r>
              <w:rPr>
                <w:rFonts w:hint="eastAsia" w:ascii="宋体" w:hAnsi="宋体"/>
                <w:szCs w:val="21"/>
              </w:rPr>
              <w:t>报警时间</w:t>
            </w:r>
          </w:p>
        </w:tc>
        <w:tc>
          <w:tcPr>
            <w:tcW w:w="2108" w:type="dxa"/>
            <w:vAlign w:val="center"/>
          </w:tcPr>
          <w:p w14:paraId="1B0EA288">
            <w:pPr>
              <w:jc w:val="center"/>
              <w:rPr>
                <w:rFonts w:hint="eastAsia" w:ascii="宋体" w:hAnsi="宋体"/>
                <w:szCs w:val="21"/>
              </w:rPr>
            </w:pPr>
          </w:p>
        </w:tc>
      </w:tr>
      <w:tr w14:paraId="16F3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82" w:type="dxa"/>
            <w:vAlign w:val="center"/>
          </w:tcPr>
          <w:p w14:paraId="4E106E6C">
            <w:pPr>
              <w:jc w:val="center"/>
              <w:rPr>
                <w:rFonts w:hint="eastAsia" w:ascii="宋体" w:hAnsi="宋体"/>
                <w:szCs w:val="21"/>
              </w:rPr>
            </w:pPr>
            <w:r>
              <w:rPr>
                <w:rFonts w:hint="eastAsia" w:ascii="宋体" w:hAnsi="宋体"/>
                <w:szCs w:val="21"/>
              </w:rPr>
              <w:t>起因</w:t>
            </w:r>
          </w:p>
        </w:tc>
        <w:tc>
          <w:tcPr>
            <w:tcW w:w="2884" w:type="dxa"/>
            <w:vAlign w:val="center"/>
          </w:tcPr>
          <w:p w14:paraId="6768FF85">
            <w:pPr>
              <w:jc w:val="center"/>
              <w:rPr>
                <w:rFonts w:hint="eastAsia" w:ascii="宋体" w:hAnsi="宋体"/>
                <w:szCs w:val="21"/>
              </w:rPr>
            </w:pPr>
          </w:p>
        </w:tc>
        <w:tc>
          <w:tcPr>
            <w:tcW w:w="1548" w:type="dxa"/>
            <w:vAlign w:val="center"/>
          </w:tcPr>
          <w:p w14:paraId="421F8CCC">
            <w:pPr>
              <w:jc w:val="center"/>
              <w:rPr>
                <w:rFonts w:hint="eastAsia" w:ascii="宋体" w:hAnsi="宋体"/>
                <w:szCs w:val="21"/>
              </w:rPr>
            </w:pPr>
            <w:r>
              <w:rPr>
                <w:rFonts w:hint="eastAsia" w:ascii="宋体" w:hAnsi="宋体"/>
                <w:szCs w:val="21"/>
              </w:rPr>
              <w:t>初定级别</w:t>
            </w:r>
          </w:p>
        </w:tc>
        <w:tc>
          <w:tcPr>
            <w:tcW w:w="2108" w:type="dxa"/>
            <w:vAlign w:val="center"/>
          </w:tcPr>
          <w:p w14:paraId="4F695523">
            <w:pPr>
              <w:jc w:val="center"/>
              <w:rPr>
                <w:rFonts w:hint="eastAsia" w:ascii="宋体" w:hAnsi="宋体"/>
                <w:szCs w:val="21"/>
              </w:rPr>
            </w:pPr>
          </w:p>
        </w:tc>
      </w:tr>
      <w:tr w14:paraId="1FAE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82" w:type="dxa"/>
            <w:vAlign w:val="center"/>
          </w:tcPr>
          <w:p w14:paraId="27523E6D">
            <w:pPr>
              <w:jc w:val="center"/>
              <w:rPr>
                <w:rFonts w:hint="eastAsia" w:ascii="宋体" w:hAnsi="宋体"/>
                <w:szCs w:val="21"/>
              </w:rPr>
            </w:pPr>
            <w:r>
              <w:rPr>
                <w:rFonts w:hint="eastAsia" w:ascii="宋体" w:hAnsi="宋体"/>
                <w:szCs w:val="21"/>
              </w:rPr>
              <w:t>影响范围</w:t>
            </w:r>
          </w:p>
        </w:tc>
        <w:tc>
          <w:tcPr>
            <w:tcW w:w="6540" w:type="dxa"/>
            <w:gridSpan w:val="3"/>
            <w:vAlign w:val="center"/>
          </w:tcPr>
          <w:p w14:paraId="19319F09">
            <w:pPr>
              <w:jc w:val="center"/>
              <w:rPr>
                <w:rFonts w:hint="eastAsia" w:ascii="宋体" w:hAnsi="宋体"/>
                <w:szCs w:val="21"/>
              </w:rPr>
            </w:pPr>
          </w:p>
        </w:tc>
      </w:tr>
      <w:tr w14:paraId="5A0D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exact"/>
        </w:trPr>
        <w:tc>
          <w:tcPr>
            <w:tcW w:w="1982" w:type="dxa"/>
            <w:vAlign w:val="center"/>
          </w:tcPr>
          <w:p w14:paraId="13220482">
            <w:pPr>
              <w:jc w:val="center"/>
              <w:rPr>
                <w:rFonts w:hint="eastAsia" w:ascii="宋体" w:hAnsi="宋体"/>
                <w:szCs w:val="21"/>
              </w:rPr>
            </w:pPr>
            <w:r>
              <w:rPr>
                <w:rFonts w:hint="eastAsia" w:ascii="宋体" w:hAnsi="宋体"/>
                <w:szCs w:val="21"/>
              </w:rPr>
              <w:t>损失情况</w:t>
            </w:r>
          </w:p>
        </w:tc>
        <w:tc>
          <w:tcPr>
            <w:tcW w:w="6540" w:type="dxa"/>
            <w:gridSpan w:val="3"/>
            <w:vAlign w:val="center"/>
          </w:tcPr>
          <w:p w14:paraId="1B139A2A">
            <w:pPr>
              <w:jc w:val="center"/>
              <w:rPr>
                <w:rFonts w:hint="eastAsia" w:ascii="宋体" w:hAnsi="宋体"/>
                <w:szCs w:val="21"/>
              </w:rPr>
            </w:pPr>
          </w:p>
        </w:tc>
      </w:tr>
      <w:tr w14:paraId="470C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2" w:type="dxa"/>
            <w:gridSpan w:val="4"/>
            <w:vAlign w:val="center"/>
          </w:tcPr>
          <w:p w14:paraId="644F08AA">
            <w:pPr>
              <w:jc w:val="center"/>
              <w:rPr>
                <w:rFonts w:hint="eastAsia" w:ascii="宋体" w:hAnsi="宋体"/>
                <w:b/>
                <w:szCs w:val="21"/>
              </w:rPr>
            </w:pPr>
            <w:r>
              <w:rPr>
                <w:rFonts w:hint="eastAsia" w:ascii="宋体" w:hAnsi="宋体"/>
                <w:b/>
                <w:szCs w:val="21"/>
              </w:rPr>
              <w:t>应急处置意见</w:t>
            </w:r>
          </w:p>
        </w:tc>
      </w:tr>
      <w:tr w14:paraId="6D36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trPr>
        <w:tc>
          <w:tcPr>
            <w:tcW w:w="1982" w:type="dxa"/>
            <w:vAlign w:val="center"/>
          </w:tcPr>
          <w:p w14:paraId="3EB2A796">
            <w:pPr>
              <w:jc w:val="center"/>
              <w:rPr>
                <w:rFonts w:hint="eastAsia" w:ascii="宋体" w:hAnsi="宋体"/>
                <w:szCs w:val="21"/>
              </w:rPr>
            </w:pPr>
            <w:r>
              <w:rPr>
                <w:rFonts w:hint="eastAsia" w:ascii="宋体" w:hAnsi="宋体"/>
                <w:szCs w:val="21"/>
              </w:rPr>
              <w:t>核定事件级别</w:t>
            </w:r>
          </w:p>
        </w:tc>
        <w:tc>
          <w:tcPr>
            <w:tcW w:w="6540" w:type="dxa"/>
            <w:gridSpan w:val="3"/>
            <w:vAlign w:val="center"/>
          </w:tcPr>
          <w:p w14:paraId="66D3FA4F">
            <w:pPr>
              <w:ind w:right="420"/>
              <w:jc w:val="left"/>
              <w:rPr>
                <w:rFonts w:hint="eastAsia" w:ascii="宋体" w:hAnsi="宋体"/>
                <w:szCs w:val="21"/>
              </w:rPr>
            </w:pPr>
          </w:p>
        </w:tc>
      </w:tr>
      <w:tr w14:paraId="294F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1982" w:type="dxa"/>
            <w:vAlign w:val="center"/>
          </w:tcPr>
          <w:p w14:paraId="62C710F0">
            <w:pPr>
              <w:jc w:val="center"/>
              <w:rPr>
                <w:rFonts w:hint="eastAsia" w:ascii="宋体" w:hAnsi="宋体"/>
                <w:szCs w:val="21"/>
              </w:rPr>
            </w:pPr>
            <w:r>
              <w:rPr>
                <w:rFonts w:hint="eastAsia" w:ascii="宋体" w:hAnsi="宋体"/>
                <w:szCs w:val="21"/>
              </w:rPr>
              <w:t>是否启动应急预案</w:t>
            </w:r>
          </w:p>
        </w:tc>
        <w:tc>
          <w:tcPr>
            <w:tcW w:w="6540" w:type="dxa"/>
            <w:gridSpan w:val="3"/>
            <w:vAlign w:val="center"/>
          </w:tcPr>
          <w:p w14:paraId="09E1A2D4">
            <w:pPr>
              <w:ind w:right="420"/>
              <w:jc w:val="left"/>
              <w:rPr>
                <w:rFonts w:hint="eastAsia" w:ascii="宋体" w:hAnsi="宋体"/>
                <w:szCs w:val="21"/>
              </w:rPr>
            </w:pPr>
          </w:p>
          <w:p w14:paraId="3030581D">
            <w:pPr>
              <w:ind w:right="420"/>
              <w:jc w:val="left"/>
              <w:rPr>
                <w:rFonts w:hint="eastAsia" w:ascii="宋体" w:hAnsi="宋体"/>
                <w:szCs w:val="21"/>
              </w:rPr>
            </w:pPr>
          </w:p>
          <w:p w14:paraId="49B113BF">
            <w:pPr>
              <w:ind w:right="420"/>
              <w:jc w:val="left"/>
              <w:rPr>
                <w:rFonts w:hint="eastAsia" w:ascii="宋体" w:hAnsi="宋体"/>
                <w:szCs w:val="21"/>
              </w:rPr>
            </w:pPr>
          </w:p>
        </w:tc>
      </w:tr>
      <w:tr w14:paraId="761B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1982" w:type="dxa"/>
            <w:vAlign w:val="center"/>
          </w:tcPr>
          <w:p w14:paraId="64C6C744">
            <w:pPr>
              <w:jc w:val="center"/>
              <w:rPr>
                <w:rFonts w:hint="eastAsia" w:ascii="宋体" w:hAnsi="宋体"/>
                <w:szCs w:val="21"/>
              </w:rPr>
            </w:pPr>
            <w:r>
              <w:rPr>
                <w:rFonts w:hint="eastAsia" w:ascii="宋体" w:hAnsi="宋体"/>
                <w:szCs w:val="21"/>
              </w:rPr>
              <w:t>总指挥</w:t>
            </w:r>
          </w:p>
        </w:tc>
        <w:tc>
          <w:tcPr>
            <w:tcW w:w="6540" w:type="dxa"/>
            <w:gridSpan w:val="3"/>
            <w:vAlign w:val="center"/>
          </w:tcPr>
          <w:p w14:paraId="38D7723E">
            <w:pPr>
              <w:ind w:right="420"/>
              <w:jc w:val="left"/>
              <w:rPr>
                <w:rFonts w:hint="eastAsia" w:ascii="宋体" w:hAnsi="宋体"/>
                <w:szCs w:val="21"/>
              </w:rPr>
            </w:pPr>
          </w:p>
          <w:p w14:paraId="3C4675A3">
            <w:pPr>
              <w:ind w:right="420"/>
              <w:jc w:val="left"/>
              <w:rPr>
                <w:rFonts w:hint="eastAsia" w:ascii="宋体" w:hAnsi="宋体"/>
                <w:szCs w:val="21"/>
              </w:rPr>
            </w:pPr>
          </w:p>
        </w:tc>
      </w:tr>
      <w:tr w14:paraId="75E4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1982" w:type="dxa"/>
            <w:vAlign w:val="center"/>
          </w:tcPr>
          <w:p w14:paraId="21F37CFA">
            <w:pPr>
              <w:jc w:val="center"/>
              <w:rPr>
                <w:rFonts w:hint="eastAsia" w:ascii="宋体" w:hAnsi="宋体"/>
                <w:szCs w:val="21"/>
              </w:rPr>
            </w:pPr>
            <w:r>
              <w:rPr>
                <w:rFonts w:hint="eastAsia" w:ascii="宋体" w:hAnsi="宋体"/>
                <w:szCs w:val="21"/>
              </w:rPr>
              <w:t>现场总指挥</w:t>
            </w:r>
          </w:p>
        </w:tc>
        <w:tc>
          <w:tcPr>
            <w:tcW w:w="6540" w:type="dxa"/>
            <w:gridSpan w:val="3"/>
            <w:vAlign w:val="center"/>
          </w:tcPr>
          <w:p w14:paraId="150E4895">
            <w:pPr>
              <w:ind w:right="420"/>
              <w:jc w:val="left"/>
              <w:rPr>
                <w:rFonts w:hint="eastAsia" w:ascii="宋体" w:hAnsi="宋体"/>
                <w:szCs w:val="21"/>
              </w:rPr>
            </w:pPr>
          </w:p>
          <w:p w14:paraId="600333B9">
            <w:pPr>
              <w:ind w:right="420"/>
              <w:jc w:val="left"/>
              <w:rPr>
                <w:rFonts w:hint="eastAsia" w:ascii="宋体" w:hAnsi="宋体"/>
                <w:szCs w:val="21"/>
              </w:rPr>
            </w:pPr>
          </w:p>
        </w:tc>
      </w:tr>
      <w:tr w14:paraId="5B97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1982" w:type="dxa"/>
            <w:vAlign w:val="center"/>
          </w:tcPr>
          <w:p w14:paraId="4F401C8F">
            <w:pPr>
              <w:jc w:val="center"/>
              <w:rPr>
                <w:rFonts w:hint="eastAsia" w:ascii="宋体" w:hAnsi="宋体"/>
                <w:szCs w:val="21"/>
              </w:rPr>
            </w:pPr>
            <w:r>
              <w:rPr>
                <w:rFonts w:hint="eastAsia" w:ascii="宋体" w:hAnsi="宋体"/>
                <w:szCs w:val="21"/>
              </w:rPr>
              <w:t>是否发布预警或公告</w:t>
            </w:r>
          </w:p>
        </w:tc>
        <w:tc>
          <w:tcPr>
            <w:tcW w:w="6540" w:type="dxa"/>
            <w:gridSpan w:val="3"/>
          </w:tcPr>
          <w:p w14:paraId="69947CC7">
            <w:pPr>
              <w:ind w:right="420"/>
              <w:jc w:val="left"/>
              <w:rPr>
                <w:rFonts w:hint="eastAsia" w:ascii="宋体" w:hAnsi="宋体"/>
                <w:szCs w:val="21"/>
              </w:rPr>
            </w:pPr>
          </w:p>
          <w:p w14:paraId="0083CE8A">
            <w:pPr>
              <w:ind w:right="420"/>
              <w:jc w:val="left"/>
              <w:rPr>
                <w:rFonts w:hint="eastAsia" w:ascii="宋体" w:hAnsi="宋体"/>
                <w:szCs w:val="21"/>
              </w:rPr>
            </w:pPr>
          </w:p>
        </w:tc>
      </w:tr>
      <w:tr w14:paraId="42FA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exact"/>
        </w:trPr>
        <w:tc>
          <w:tcPr>
            <w:tcW w:w="1982" w:type="dxa"/>
            <w:vAlign w:val="center"/>
          </w:tcPr>
          <w:p w14:paraId="53CCE6E1">
            <w:pPr>
              <w:jc w:val="center"/>
              <w:rPr>
                <w:rFonts w:hint="eastAsia" w:ascii="宋体" w:hAnsi="宋体"/>
                <w:szCs w:val="21"/>
              </w:rPr>
            </w:pPr>
            <w:r>
              <w:rPr>
                <w:rFonts w:hint="eastAsia" w:ascii="宋体" w:hAnsi="宋体"/>
                <w:szCs w:val="21"/>
              </w:rPr>
              <w:t>是否应急扩大</w:t>
            </w:r>
          </w:p>
        </w:tc>
        <w:tc>
          <w:tcPr>
            <w:tcW w:w="6540" w:type="dxa"/>
            <w:gridSpan w:val="3"/>
          </w:tcPr>
          <w:p w14:paraId="76C21C5A">
            <w:pPr>
              <w:ind w:right="420"/>
              <w:jc w:val="left"/>
              <w:rPr>
                <w:rFonts w:hint="eastAsia" w:ascii="宋体" w:hAnsi="宋体"/>
                <w:szCs w:val="21"/>
              </w:rPr>
            </w:pPr>
          </w:p>
          <w:p w14:paraId="0FC6A800">
            <w:pPr>
              <w:ind w:right="420"/>
              <w:jc w:val="left"/>
              <w:rPr>
                <w:rFonts w:hint="eastAsia" w:ascii="宋体" w:hAnsi="宋体"/>
                <w:szCs w:val="21"/>
              </w:rPr>
            </w:pPr>
          </w:p>
          <w:p w14:paraId="5327D2DA">
            <w:pPr>
              <w:ind w:right="420"/>
              <w:jc w:val="left"/>
              <w:rPr>
                <w:rFonts w:hint="eastAsia" w:ascii="宋体" w:hAnsi="宋体"/>
                <w:szCs w:val="21"/>
              </w:rPr>
            </w:pPr>
          </w:p>
          <w:p w14:paraId="39D0E0A5">
            <w:pPr>
              <w:ind w:right="420"/>
              <w:jc w:val="right"/>
              <w:rPr>
                <w:rFonts w:hint="eastAsia" w:ascii="宋体" w:hAnsi="宋体"/>
                <w:szCs w:val="21"/>
              </w:rPr>
            </w:pPr>
            <w:r>
              <w:rPr>
                <w:rFonts w:hint="eastAsia" w:ascii="宋体" w:hAnsi="宋体"/>
                <w:szCs w:val="21"/>
              </w:rPr>
              <w:t>信息安全办公室领导（签名）</w:t>
            </w:r>
          </w:p>
          <w:p w14:paraId="1D46DF8D">
            <w:pPr>
              <w:ind w:right="420"/>
              <w:jc w:val="right"/>
              <w:rPr>
                <w:rFonts w:hint="eastAsia" w:ascii="宋体" w:hAnsi="宋体"/>
                <w:szCs w:val="21"/>
              </w:rPr>
            </w:pPr>
            <w:r>
              <w:rPr>
                <w:rFonts w:hint="eastAsia" w:ascii="宋体" w:hAnsi="宋体"/>
                <w:szCs w:val="21"/>
              </w:rPr>
              <w:t>月日时分</w:t>
            </w:r>
          </w:p>
        </w:tc>
      </w:tr>
      <w:tr w14:paraId="2048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exact"/>
        </w:trPr>
        <w:tc>
          <w:tcPr>
            <w:tcW w:w="1982" w:type="dxa"/>
            <w:vAlign w:val="center"/>
          </w:tcPr>
          <w:p w14:paraId="3078EE6D">
            <w:pPr>
              <w:jc w:val="center"/>
              <w:rPr>
                <w:rFonts w:hint="eastAsia" w:ascii="宋体" w:hAnsi="宋体"/>
                <w:szCs w:val="21"/>
              </w:rPr>
            </w:pPr>
            <w:r>
              <w:rPr>
                <w:rFonts w:hint="eastAsia" w:ascii="宋体" w:hAnsi="宋体"/>
                <w:szCs w:val="21"/>
              </w:rPr>
              <w:t>领导小组处置意见</w:t>
            </w:r>
          </w:p>
        </w:tc>
        <w:tc>
          <w:tcPr>
            <w:tcW w:w="6540" w:type="dxa"/>
            <w:gridSpan w:val="3"/>
          </w:tcPr>
          <w:p w14:paraId="2A5FA7C3">
            <w:pPr>
              <w:ind w:right="420"/>
              <w:jc w:val="left"/>
              <w:rPr>
                <w:rFonts w:hint="eastAsia" w:ascii="宋体" w:hAnsi="宋体"/>
                <w:szCs w:val="21"/>
              </w:rPr>
            </w:pPr>
          </w:p>
          <w:p w14:paraId="32B3A75A">
            <w:pPr>
              <w:ind w:right="420"/>
              <w:jc w:val="left"/>
              <w:rPr>
                <w:rFonts w:hint="eastAsia" w:ascii="宋体" w:hAnsi="宋体"/>
                <w:szCs w:val="21"/>
              </w:rPr>
            </w:pPr>
          </w:p>
          <w:p w14:paraId="3127F46C">
            <w:pPr>
              <w:ind w:right="420"/>
              <w:jc w:val="left"/>
              <w:rPr>
                <w:rFonts w:hint="eastAsia" w:ascii="宋体" w:hAnsi="宋体"/>
                <w:szCs w:val="21"/>
              </w:rPr>
            </w:pPr>
          </w:p>
          <w:p w14:paraId="64D8AD12">
            <w:pPr>
              <w:ind w:right="420"/>
              <w:jc w:val="left"/>
              <w:rPr>
                <w:rFonts w:hint="eastAsia" w:ascii="宋体" w:hAnsi="宋体"/>
                <w:szCs w:val="21"/>
              </w:rPr>
            </w:pPr>
          </w:p>
          <w:p w14:paraId="67748392">
            <w:pPr>
              <w:ind w:right="1140" w:firstLine="2940" w:firstLineChars="1400"/>
              <w:rPr>
                <w:rFonts w:hint="eastAsia" w:ascii="宋体" w:hAnsi="宋体"/>
                <w:szCs w:val="21"/>
              </w:rPr>
            </w:pPr>
            <w:r>
              <w:rPr>
                <w:rFonts w:hint="eastAsia" w:ascii="宋体" w:hAnsi="宋体"/>
                <w:szCs w:val="21"/>
              </w:rPr>
              <w:t>（签名）</w:t>
            </w:r>
          </w:p>
          <w:p w14:paraId="7BE877CA">
            <w:pPr>
              <w:ind w:right="420"/>
              <w:jc w:val="right"/>
              <w:rPr>
                <w:rFonts w:hint="eastAsia" w:ascii="宋体" w:hAnsi="宋体"/>
                <w:szCs w:val="21"/>
              </w:rPr>
            </w:pPr>
            <w:r>
              <w:rPr>
                <w:rFonts w:hint="eastAsia" w:ascii="宋体" w:hAnsi="宋体"/>
                <w:szCs w:val="21"/>
              </w:rPr>
              <w:t>月日时分</w:t>
            </w:r>
          </w:p>
        </w:tc>
      </w:tr>
    </w:tbl>
    <w:p w14:paraId="16BC4036"/>
    <w:p w14:paraId="4EF82398">
      <w:pPr>
        <w:pStyle w:val="6"/>
        <w:spacing w:before="260" w:after="260" w:line="416" w:lineRule="auto"/>
        <w:jc w:val="both"/>
        <w:rPr>
          <w:rFonts w:hint="eastAsia" w:ascii="宋体" w:hAnsi="宋体" w:cstheme="majorBidi"/>
          <w:szCs w:val="24"/>
        </w:rPr>
      </w:pPr>
      <w:bookmarkStart w:id="431" w:name="_Toc180265760"/>
      <w:r>
        <w:rPr>
          <w:rFonts w:ascii="宋体" w:hAnsi="宋体" w:cstheme="majorBidi"/>
          <w:szCs w:val="24"/>
        </w:rPr>
        <w:t>应急演练</w:t>
      </w:r>
      <w:bookmarkEnd w:id="431"/>
    </w:p>
    <w:p w14:paraId="207A5F1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为了提高突发事件的应对能力，在日常工作过程中，保证系统正常运行的前提下，每年度将组织</w:t>
      </w:r>
      <w:r>
        <w:rPr>
          <w:rFonts w:ascii="宋体" w:hAnsi="宋体" w:eastAsia="宋体" w:cs="Times New Roman"/>
          <w:szCs w:val="21"/>
        </w:rPr>
        <w:t>1</w:t>
      </w:r>
      <w:r>
        <w:rPr>
          <w:rFonts w:hint="eastAsia" w:ascii="宋体" w:hAnsi="宋体" w:eastAsia="宋体" w:cs="Times New Roman"/>
          <w:szCs w:val="21"/>
        </w:rPr>
        <w:t>次服务演练，进行模拟故障演练，按照甲方演练计划派技术人员进行现场模拟故障排除。甲方要提前发出演练通知，说明演练时间，参演人员，演练范围，演练内容，所有人员要按照应急情况处置演练流程进行，演练流程有变动的要提前制定演练计划并分发给各演练参与人员，同时说明注意事项。</w:t>
      </w:r>
    </w:p>
    <w:p w14:paraId="119F3CF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（一）演练流程</w:t>
      </w:r>
    </w:p>
    <w:p w14:paraId="24F2A560">
      <w:pPr>
        <w:widowControl/>
        <w:autoSpaceDE w:val="0"/>
        <w:autoSpaceDN w:val="0"/>
        <w:adjustRightInd w:val="0"/>
        <w:spacing w:line="280" w:lineRule="atLeast"/>
        <w:jc w:val="center"/>
        <w:rPr>
          <w:rFonts w:ascii="Times Roman" w:hAnsi="Times Roman" w:cs="Times Roman"/>
          <w:color w:val="000000"/>
          <w:kern w:val="0"/>
          <w:sz w:val="24"/>
          <w:szCs w:val="24"/>
        </w:rPr>
      </w:pPr>
      <w:r>
        <w:rPr>
          <w:rFonts w:ascii="Times Roman" w:hAnsi="Times Roman" w:cs="Times Roman"/>
          <w:color w:val="000000"/>
          <w:kern w:val="0"/>
          <w:sz w:val="24"/>
          <w:szCs w:val="24"/>
        </w:rPr>
        <w:drawing>
          <wp:inline distT="0" distB="0" distL="0" distR="0">
            <wp:extent cx="2061845" cy="5175885"/>
            <wp:effectExtent l="0" t="0" r="0" b="5715"/>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2061845" cy="5175885"/>
                    </a:xfrm>
                    <a:prstGeom prst="rect">
                      <a:avLst/>
                    </a:prstGeom>
                    <a:noFill/>
                    <a:ln>
                      <a:noFill/>
                    </a:ln>
                  </pic:spPr>
                </pic:pic>
              </a:graphicData>
            </a:graphic>
          </wp:inline>
        </w:drawing>
      </w:r>
    </w:p>
    <w:p w14:paraId="0BBF1EF5">
      <w:pPr>
        <w:spacing w:line="360" w:lineRule="auto"/>
        <w:ind w:firstLine="420" w:firstLineChars="200"/>
        <w:rPr>
          <w:rFonts w:asciiTheme="majorHAnsi" w:hAnsiTheme="majorHAnsi" w:eastAsiaTheme="majorEastAsia" w:cstheme="majorBidi"/>
          <w:bCs/>
          <w:szCs w:val="28"/>
        </w:rPr>
      </w:pPr>
      <w:r>
        <w:rPr>
          <w:rFonts w:hint="eastAsia" w:asciiTheme="majorHAnsi" w:hAnsiTheme="majorHAnsi" w:eastAsiaTheme="majorEastAsia" w:cstheme="majorBidi"/>
          <w:bCs/>
          <w:szCs w:val="28"/>
        </w:rPr>
        <w:t>（二）详细步骤</w:t>
      </w:r>
    </w:p>
    <w:p w14:paraId="3E1350A1">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制定故障演练计划</w:t>
      </w:r>
    </w:p>
    <w:p w14:paraId="0609101A">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方法和标准:根据故障演练要求进行调研并制定计划</w:t>
      </w:r>
    </w:p>
    <w:p w14:paraId="24BB603B">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输入:《应急预案》、(或《故障演练任务书》)</w:t>
      </w:r>
    </w:p>
    <w:p w14:paraId="43678668">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输出:《故障演练计划》</w:t>
      </w:r>
    </w:p>
    <w:p w14:paraId="759C2EDA">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时间安排:(编写计划的时间)</w:t>
      </w:r>
    </w:p>
    <w:p w14:paraId="03BE50B1">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资源。</w:t>
      </w:r>
    </w:p>
    <w:p w14:paraId="372A5491">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风险和假设:任务假设故障各项工作已建设完成，内部评审通过、软件需求分析已确定。存在需求无法完全确定，计划可能变更的风险。</w:t>
      </w:r>
    </w:p>
    <w:p w14:paraId="6DFB1657">
      <w:pPr>
        <w:numPr>
          <w:ilvl w:val="0"/>
          <w:numId w:val="171"/>
        </w:numPr>
        <w:spacing w:line="360" w:lineRule="auto"/>
        <w:rPr>
          <w:rFonts w:hint="eastAsia" w:ascii="宋体" w:hAnsi="宋体" w:eastAsia="宋体" w:cs="Times New Roman"/>
          <w:szCs w:val="21"/>
        </w:rPr>
      </w:pPr>
      <w:r>
        <w:rPr>
          <w:rFonts w:hint="eastAsia" w:ascii="宋体" w:hAnsi="宋体" w:eastAsia="宋体" w:cs="Times New Roman"/>
          <w:szCs w:val="21"/>
        </w:rPr>
        <w:t>角色和职责:由甲方用户方及中招联合共同执行该任务，为故障演练提供测试计划，并组织计划的评审工作。</w:t>
      </w:r>
    </w:p>
    <w:p w14:paraId="5494F560">
      <w:pPr>
        <w:spacing w:line="360" w:lineRule="auto"/>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故障演练时间安排</w:t>
      </w:r>
    </w:p>
    <w:p w14:paraId="719641C2">
      <w:pPr>
        <w:numPr>
          <w:ilvl w:val="0"/>
          <w:numId w:val="172"/>
        </w:numPr>
        <w:spacing w:line="360" w:lineRule="auto"/>
        <w:rPr>
          <w:rFonts w:hint="eastAsia" w:ascii="宋体" w:hAnsi="宋体" w:eastAsia="宋体" w:cs="Times New Roman"/>
          <w:szCs w:val="21"/>
        </w:rPr>
      </w:pPr>
      <w:r>
        <w:rPr>
          <w:rFonts w:hint="eastAsia" w:ascii="宋体" w:hAnsi="宋体" w:eastAsia="宋体" w:cs="Times New Roman"/>
          <w:szCs w:val="21"/>
        </w:rPr>
        <w:t>根据调研的结果确认演练时间安排。</w:t>
      </w:r>
    </w:p>
    <w:p w14:paraId="2C65A02C">
      <w:pPr>
        <w:spacing w:line="360" w:lineRule="auto"/>
        <w:rPr>
          <w:rFonts w:hint="eastAsia" w:ascii="宋体" w:hAnsi="宋体" w:eastAsia="宋体" w:cs="Times New Roman"/>
          <w:szCs w:val="21"/>
        </w:rPr>
      </w:pPr>
      <w:r>
        <w:rPr>
          <w:rFonts w:hint="eastAsia" w:ascii="宋体" w:hAnsi="宋体" w:eastAsia="宋体" w:cs="Times New Roman"/>
          <w:szCs w:val="21"/>
        </w:rPr>
        <w:t>3）协调参与故障演练人员</w:t>
      </w:r>
    </w:p>
    <w:p w14:paraId="51BE72A7">
      <w:pPr>
        <w:numPr>
          <w:ilvl w:val="0"/>
          <w:numId w:val="172"/>
        </w:numPr>
        <w:spacing w:line="360" w:lineRule="auto"/>
        <w:rPr>
          <w:rFonts w:hint="eastAsia" w:ascii="宋体" w:hAnsi="宋体" w:eastAsia="宋体" w:cs="Times New Roman"/>
          <w:szCs w:val="21"/>
        </w:rPr>
      </w:pPr>
      <w:r>
        <w:rPr>
          <w:rFonts w:hint="eastAsia" w:ascii="宋体" w:hAnsi="宋体" w:eastAsia="宋体" w:cs="Times New Roman"/>
          <w:szCs w:val="21"/>
        </w:rPr>
        <w:t>说明故障演练过程中负责协调工作的人员及职责</w:t>
      </w:r>
    </w:p>
    <w:p w14:paraId="12415320">
      <w:pPr>
        <w:numPr>
          <w:ilvl w:val="0"/>
          <w:numId w:val="172"/>
        </w:numPr>
        <w:spacing w:line="360" w:lineRule="auto"/>
        <w:rPr>
          <w:rFonts w:hint="eastAsia" w:ascii="宋体" w:hAnsi="宋体" w:eastAsia="宋体" w:cs="Times New Roman"/>
          <w:szCs w:val="21"/>
        </w:rPr>
      </w:pPr>
      <w:r>
        <w:rPr>
          <w:rFonts w:hint="eastAsia" w:ascii="宋体" w:hAnsi="宋体" w:eastAsia="宋体" w:cs="Times New Roman"/>
          <w:szCs w:val="21"/>
        </w:rPr>
        <w:t>机房参与本项目的协调人员及其职责</w:t>
      </w:r>
    </w:p>
    <w:p w14:paraId="6F1EC006">
      <w:pPr>
        <w:numPr>
          <w:ilvl w:val="0"/>
          <w:numId w:val="172"/>
        </w:numPr>
        <w:spacing w:line="360" w:lineRule="auto"/>
        <w:rPr>
          <w:rFonts w:hint="eastAsia" w:ascii="宋体" w:hAnsi="宋体" w:eastAsia="宋体" w:cs="Times New Roman"/>
          <w:szCs w:val="21"/>
        </w:rPr>
      </w:pPr>
      <w:r>
        <w:rPr>
          <w:rFonts w:hint="eastAsia" w:ascii="宋体" w:hAnsi="宋体" w:eastAsia="宋体" w:cs="Times New Roman"/>
          <w:szCs w:val="21"/>
        </w:rPr>
        <w:t>甲方有关管理机构的协调人员及其职责</w:t>
      </w:r>
    </w:p>
    <w:p w14:paraId="09B99860">
      <w:pPr>
        <w:numPr>
          <w:ilvl w:val="0"/>
          <w:numId w:val="172"/>
        </w:numPr>
        <w:spacing w:line="360" w:lineRule="auto"/>
        <w:rPr>
          <w:rFonts w:hint="eastAsia" w:ascii="宋体" w:hAnsi="宋体" w:eastAsia="宋体" w:cs="Times New Roman"/>
          <w:szCs w:val="21"/>
        </w:rPr>
      </w:pPr>
      <w:r>
        <w:rPr>
          <w:rFonts w:hint="eastAsia" w:ascii="宋体" w:hAnsi="宋体" w:eastAsia="宋体" w:cs="Times New Roman"/>
          <w:szCs w:val="21"/>
        </w:rPr>
        <w:t>本项目同其它有关项目之间的协调人员及其职责</w:t>
      </w:r>
    </w:p>
    <w:p w14:paraId="30174775">
      <w:pPr>
        <w:numPr>
          <w:ilvl w:val="0"/>
          <w:numId w:val="173"/>
        </w:numPr>
        <w:spacing w:line="360" w:lineRule="auto"/>
        <w:rPr>
          <w:rFonts w:hint="eastAsia" w:ascii="宋体" w:hAnsi="宋体" w:eastAsia="宋体" w:cs="Times New Roman"/>
          <w:szCs w:val="21"/>
        </w:rPr>
      </w:pPr>
      <w:r>
        <w:rPr>
          <w:rFonts w:hint="eastAsia" w:ascii="宋体" w:hAnsi="宋体" w:eastAsia="宋体" w:cs="Times New Roman"/>
          <w:szCs w:val="21"/>
        </w:rPr>
        <w:t>故障演练环境准备</w:t>
      </w:r>
    </w:p>
    <w:p w14:paraId="081D3045">
      <w:pPr>
        <w:numPr>
          <w:ilvl w:val="0"/>
          <w:numId w:val="174"/>
        </w:numPr>
        <w:spacing w:line="360" w:lineRule="auto"/>
        <w:rPr>
          <w:rFonts w:hint="eastAsia" w:ascii="宋体" w:hAnsi="宋体" w:eastAsia="宋体" w:cs="Times New Roman"/>
          <w:szCs w:val="21"/>
        </w:rPr>
      </w:pPr>
      <w:r>
        <w:rPr>
          <w:rFonts w:hint="eastAsia" w:ascii="宋体" w:hAnsi="宋体" w:eastAsia="宋体" w:cs="Times New Roman"/>
          <w:szCs w:val="21"/>
        </w:rPr>
        <w:t>说明硬件设备、网络通讯和系统软件。</w:t>
      </w:r>
    </w:p>
    <w:p w14:paraId="62D17598">
      <w:pPr>
        <w:numPr>
          <w:ilvl w:val="0"/>
          <w:numId w:val="174"/>
        </w:numPr>
        <w:spacing w:line="360" w:lineRule="auto"/>
        <w:rPr>
          <w:rFonts w:hint="eastAsia" w:ascii="宋体" w:hAnsi="宋体" w:eastAsia="宋体" w:cs="Times New Roman"/>
          <w:szCs w:val="21"/>
        </w:rPr>
      </w:pPr>
      <w:r>
        <w:rPr>
          <w:rFonts w:hint="eastAsia" w:ascii="宋体" w:hAnsi="宋体" w:eastAsia="宋体" w:cs="Times New Roman"/>
          <w:szCs w:val="21"/>
        </w:rPr>
        <w:t>说明故障的数据环境准备。</w:t>
      </w:r>
    </w:p>
    <w:p w14:paraId="189940B5">
      <w:pPr>
        <w:numPr>
          <w:ilvl w:val="0"/>
          <w:numId w:val="174"/>
        </w:numPr>
        <w:spacing w:line="360" w:lineRule="auto"/>
        <w:rPr>
          <w:rFonts w:hint="eastAsia" w:ascii="宋体" w:hAnsi="宋体" w:eastAsia="宋体" w:cs="Times New Roman"/>
          <w:szCs w:val="21"/>
        </w:rPr>
      </w:pPr>
      <w:r>
        <w:rPr>
          <w:rFonts w:hint="eastAsia" w:ascii="宋体" w:hAnsi="宋体" w:eastAsia="宋体" w:cs="Times New Roman"/>
          <w:szCs w:val="21"/>
        </w:rPr>
        <w:t>说明故障演练系统配套的管理制度及操作规程。</w:t>
      </w:r>
    </w:p>
    <w:p w14:paraId="4A54163A">
      <w:pPr>
        <w:numPr>
          <w:ilvl w:val="0"/>
          <w:numId w:val="174"/>
        </w:numPr>
        <w:spacing w:line="360" w:lineRule="auto"/>
        <w:rPr>
          <w:rFonts w:hint="eastAsia" w:ascii="宋体" w:hAnsi="宋体" w:eastAsia="宋体" w:cs="Times New Roman"/>
          <w:szCs w:val="21"/>
        </w:rPr>
      </w:pPr>
      <w:r>
        <w:rPr>
          <w:rFonts w:hint="eastAsia" w:ascii="宋体" w:hAnsi="宋体" w:eastAsia="宋体" w:cs="Times New Roman"/>
          <w:szCs w:val="21"/>
        </w:rPr>
        <w:t>说明故障演练所需的各种条件和设施。</w:t>
      </w:r>
    </w:p>
    <w:p w14:paraId="16E58AEF">
      <w:pPr>
        <w:spacing w:line="360" w:lineRule="auto"/>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公告故障演练时段</w:t>
      </w:r>
    </w:p>
    <w:p w14:paraId="7F0FC0D2">
      <w:pPr>
        <w:spacing w:line="360" w:lineRule="auto"/>
        <w:rPr>
          <w:rFonts w:hint="eastAsia"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具体故障演练</w:t>
      </w:r>
    </w:p>
    <w:p w14:paraId="1A653BDE">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方法和标准:根据故障演练计划或方案进行测试</w:t>
      </w:r>
    </w:p>
    <w:p w14:paraId="38B665A0">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输入:《故障演练计划》</w:t>
      </w:r>
    </w:p>
    <w:p w14:paraId="48658AE2">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输出:问题报告单、《故障演练测试报告》</w:t>
      </w:r>
    </w:p>
    <w:p w14:paraId="7A8DDF2F">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时间安排:</w:t>
      </w:r>
    </w:p>
    <w:p w14:paraId="2FB7FB2C">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根据故障演练发现的问题，修改故障演练计划及相关的应急预案。</w:t>
      </w:r>
    </w:p>
    <w:p w14:paraId="402B8C71">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风险和假设:任务假设系统预测试评审通过，各版本测试的问题能够得到及时解决。可能存在系统预测试评审不通过和缺陷不能及时修复，新版本无法准时提交的风险。</w:t>
      </w:r>
    </w:p>
    <w:p w14:paraId="61B7B380">
      <w:pPr>
        <w:numPr>
          <w:ilvl w:val="0"/>
          <w:numId w:val="175"/>
        </w:numPr>
        <w:spacing w:line="360" w:lineRule="auto"/>
        <w:rPr>
          <w:rFonts w:hint="eastAsia" w:ascii="宋体" w:hAnsi="宋体" w:eastAsia="宋体" w:cs="Times New Roman"/>
          <w:szCs w:val="21"/>
        </w:rPr>
      </w:pPr>
      <w:r>
        <w:rPr>
          <w:rFonts w:hint="eastAsia" w:ascii="宋体" w:hAnsi="宋体" w:eastAsia="宋体" w:cs="Times New Roman"/>
          <w:szCs w:val="21"/>
        </w:rPr>
        <w:t>角色和职责:由故障演练测试团队进行此任务，故障演练测试经理编写故障演练测试报告。</w:t>
      </w:r>
    </w:p>
    <w:p w14:paraId="5F6E1748">
      <w:pPr>
        <w:spacing w:line="360" w:lineRule="auto"/>
        <w:rPr>
          <w:rFonts w:hint="eastAsia"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按照应急预案处理及备份恢复策略执行</w:t>
      </w:r>
    </w:p>
    <w:p w14:paraId="1D800092">
      <w:pPr>
        <w:spacing w:line="360" w:lineRule="auto"/>
        <w:rPr>
          <w:rFonts w:hint="eastAsia" w:ascii="宋体" w:hAnsi="宋体" w:eastAsia="宋体" w:cs="Times New Roman"/>
          <w:szCs w:val="21"/>
        </w:rPr>
      </w:pPr>
      <w:r>
        <w:rPr>
          <w:rFonts w:ascii="宋体" w:hAnsi="宋体" w:eastAsia="宋体" w:cs="Times New Roman"/>
          <w:szCs w:val="21"/>
        </w:rPr>
        <w:t>8)</w:t>
      </w:r>
      <w:r>
        <w:rPr>
          <w:rFonts w:hint="eastAsia" w:ascii="宋体" w:hAnsi="宋体" w:eastAsia="宋体" w:cs="Times New Roman"/>
          <w:szCs w:val="21"/>
        </w:rPr>
        <w:t>恢复生产内容</w:t>
      </w:r>
    </w:p>
    <w:p w14:paraId="52A2AB98">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按照已制定的应急预案，包括相关系统的应急预案，恢复生产内容。</w:t>
      </w:r>
    </w:p>
    <w:p w14:paraId="459DB5C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w:t>
      </w:r>
      <w:r>
        <w:rPr>
          <w:rFonts w:hint="eastAsia" w:asciiTheme="majorHAnsi" w:hAnsiTheme="majorHAnsi" w:eastAsiaTheme="majorEastAsia" w:cstheme="majorBidi"/>
          <w:bCs/>
          <w:szCs w:val="28"/>
        </w:rPr>
        <w:t>总结报告</w:t>
      </w:r>
    </w:p>
    <w:p w14:paraId="4E5402D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演练完成后要根据演练过程中发现、遇到的问题进行总结</w:t>
      </w:r>
    </w:p>
    <w:p w14:paraId="07FDC0A2">
      <w:pPr>
        <w:numPr>
          <w:ilvl w:val="0"/>
          <w:numId w:val="176"/>
        </w:numPr>
        <w:spacing w:line="360" w:lineRule="auto"/>
        <w:rPr>
          <w:rFonts w:hint="eastAsia" w:ascii="宋体" w:hAnsi="宋体" w:eastAsia="宋体" w:cs="Times New Roman"/>
          <w:szCs w:val="21"/>
        </w:rPr>
      </w:pPr>
      <w:r>
        <w:rPr>
          <w:rFonts w:hint="eastAsia" w:ascii="宋体" w:hAnsi="宋体" w:eastAsia="宋体" w:cs="Times New Roman"/>
          <w:szCs w:val="21"/>
        </w:rPr>
        <w:t>修改演练流程中不合理的部分;</w:t>
      </w:r>
    </w:p>
    <w:p w14:paraId="2CD3C81E">
      <w:pPr>
        <w:numPr>
          <w:ilvl w:val="0"/>
          <w:numId w:val="176"/>
        </w:numPr>
        <w:spacing w:line="360" w:lineRule="auto"/>
        <w:rPr>
          <w:rFonts w:hint="eastAsia" w:ascii="宋体" w:hAnsi="宋体" w:eastAsia="宋体" w:cs="Times New Roman"/>
          <w:szCs w:val="21"/>
        </w:rPr>
      </w:pPr>
      <w:r>
        <w:rPr>
          <w:rFonts w:hint="eastAsia" w:ascii="宋体" w:hAnsi="宋体" w:eastAsia="宋体" w:cs="Times New Roman"/>
          <w:szCs w:val="21"/>
        </w:rPr>
        <w:t>解决演练过程中遇到的技术问题;</w:t>
      </w:r>
    </w:p>
    <w:p w14:paraId="53B0E264">
      <w:pPr>
        <w:numPr>
          <w:ilvl w:val="0"/>
          <w:numId w:val="176"/>
        </w:numPr>
        <w:spacing w:line="360" w:lineRule="auto"/>
        <w:rPr>
          <w:rFonts w:hint="eastAsia" w:ascii="宋体" w:hAnsi="宋体" w:eastAsia="宋体" w:cs="Times New Roman"/>
          <w:szCs w:val="21"/>
        </w:rPr>
      </w:pPr>
      <w:r>
        <w:rPr>
          <w:rFonts w:hint="eastAsia" w:ascii="宋体" w:hAnsi="宋体" w:eastAsia="宋体" w:cs="Times New Roman"/>
          <w:szCs w:val="21"/>
        </w:rPr>
        <w:t>判断演练是否达到预期目的;</w:t>
      </w:r>
    </w:p>
    <w:p w14:paraId="43E9F8B6">
      <w:pPr>
        <w:numPr>
          <w:ilvl w:val="0"/>
          <w:numId w:val="176"/>
        </w:numPr>
        <w:spacing w:line="360" w:lineRule="auto"/>
        <w:rPr>
          <w:rFonts w:ascii="Times Roman" w:hAnsi="Times Roman" w:eastAsia="宋体" w:cs="Times Roman"/>
          <w:color w:val="000000"/>
          <w:kern w:val="0"/>
          <w:szCs w:val="21"/>
        </w:rPr>
      </w:pPr>
      <w:r>
        <w:rPr>
          <w:rFonts w:hint="eastAsia" w:ascii="宋体" w:hAnsi="宋体" w:eastAsia="宋体" w:cs="Times New Roman"/>
          <w:szCs w:val="21"/>
        </w:rPr>
        <w:t>计算演练成本，确定切换成本，做为出现灾难时执行切换动作的依据;根据演练中发现的问题，制定维护流程，包括软硬件、管理制度等。</w:t>
      </w:r>
      <w:bookmarkEnd w:id="2"/>
      <w:bookmarkEnd w:id="3"/>
      <w:bookmarkEnd w:id="4"/>
      <w:bookmarkEnd w:id="5"/>
      <w:bookmarkEnd w:id="6"/>
      <w:bookmarkEnd w:id="7"/>
      <w:bookmarkEnd w:id="8"/>
      <w:bookmarkEnd w:id="9"/>
      <w:bookmarkEnd w:id="10"/>
    </w:p>
    <w:sectPr>
      <w:footerReference r:id="rId9" w:type="default"/>
      <w:pgSz w:w="11906" w:h="16838"/>
      <w:pgMar w:top="1418" w:right="1134" w:bottom="1134" w:left="1418" w:header="856" w:footer="805"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000000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Times Roman">
    <w:altName w:val="Times New Roman"/>
    <w:panose1 w:val="00000000000000000000"/>
    <w:charset w:val="00"/>
    <w:family w:val="auto"/>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Menlo Bold">
    <w:altName w:val="Segoe UI Semibold"/>
    <w:panose1 w:val="00000000000000000000"/>
    <w:charset w:val="00"/>
    <w:family w:val="auto"/>
    <w:pitch w:val="default"/>
    <w:sig w:usb0="00000000" w:usb1="00000000" w:usb2="00000028" w:usb3="00000000" w:csb0="000001DF" w:csb1="00000000"/>
  </w:font>
  <w:font w:name="Segoe UI Semibold">
    <w:panose1 w:val="020B0702040204020203"/>
    <w:charset w:val="00"/>
    <w:family w:val="auto"/>
    <w:pitch w:val="default"/>
    <w:sig w:usb0="E4002EFF" w:usb1="C000E47F" w:usb2="00000009" w:usb3="00000000" w:csb0="200001FF" w:csb1="00000000"/>
  </w:font>
  <w:font w:name="Calibri">
    <w:panose1 w:val="020F0502020204030204"/>
    <w:charset w:val="01"/>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954352"/>
      <w:docPartObj>
        <w:docPartGallery w:val="autotext"/>
      </w:docPartObj>
    </w:sdtPr>
    <w:sdtContent>
      <w:p w14:paraId="32CBB4FB">
        <w:pPr>
          <w:pStyle w:val="28"/>
          <w:jc w:val="center"/>
        </w:pPr>
        <w:r>
          <w:fldChar w:fldCharType="begin"/>
        </w:r>
        <w:r>
          <w:instrText xml:space="preserve">PAGE   \* MERGEFORMAT</w:instrText>
        </w:r>
        <w:r>
          <w:fldChar w:fldCharType="separate"/>
        </w:r>
        <w:r>
          <w:rPr>
            <w:lang w:val="zh-CN"/>
          </w:rPr>
          <w:t>584</w:t>
        </w:r>
        <w:r>
          <w:fldChar w:fldCharType="end"/>
        </w:r>
      </w:p>
    </w:sdtContent>
  </w:sdt>
  <w:p w14:paraId="695918F6">
    <w:pPr>
      <w:pStyle w:val="2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661B5">
    <w:pPr>
      <w:pStyle w:val="2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69963">
    <w:pPr>
      <w:pStyle w:val="2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9702901"/>
      <w:docPartObj>
        <w:docPartGallery w:val="autotext"/>
      </w:docPartObj>
    </w:sdtPr>
    <w:sdtContent>
      <w:p w14:paraId="1ED5A260">
        <w:pPr>
          <w:pStyle w:val="28"/>
          <w:jc w:val="center"/>
        </w:pPr>
        <w:r>
          <w:fldChar w:fldCharType="begin"/>
        </w:r>
        <w:r>
          <w:instrText xml:space="preserve">PAGE   \* MERGEFORMAT</w:instrText>
        </w:r>
        <w:r>
          <w:fldChar w:fldCharType="separate"/>
        </w:r>
        <w:r>
          <w:rPr>
            <w:lang w:val="zh-CN"/>
          </w:rPr>
          <w:t>588</w:t>
        </w:r>
        <w:r>
          <w:fldChar w:fldCharType="end"/>
        </w:r>
      </w:p>
    </w:sdtContent>
  </w:sdt>
  <w:p w14:paraId="551448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2CE6A">
    <w:pPr>
      <w:pStyle w:val="2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17A2E">
    <w:pPr>
      <w:pStyle w:val="2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72580">
    <w:pPr>
      <w:pStyle w:val="2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63F9D"/>
    <w:multiLevelType w:val="singleLevel"/>
    <w:tmpl w:val="80663F9D"/>
    <w:lvl w:ilvl="0" w:tentative="0">
      <w:start w:val="1"/>
      <w:numFmt w:val="bullet"/>
      <w:lvlText w:val=""/>
      <w:lvlJc w:val="left"/>
      <w:pPr>
        <w:ind w:left="420" w:hanging="420"/>
      </w:pPr>
      <w:rPr>
        <w:rFonts w:hint="default" w:ascii="Wingdings" w:hAnsi="Wingdings"/>
      </w:rPr>
    </w:lvl>
  </w:abstractNum>
  <w:abstractNum w:abstractNumId="1">
    <w:nsid w:val="85B67E0A"/>
    <w:multiLevelType w:val="singleLevel"/>
    <w:tmpl w:val="85B67E0A"/>
    <w:lvl w:ilvl="0" w:tentative="0">
      <w:start w:val="1"/>
      <w:numFmt w:val="chineseCounting"/>
      <w:suff w:val="nothing"/>
      <w:lvlText w:val="（%1）"/>
      <w:lvlJc w:val="left"/>
      <w:pPr>
        <w:ind w:left="0" w:firstLine="420"/>
      </w:pPr>
      <w:rPr>
        <w:rFonts w:hint="eastAsia"/>
      </w:rPr>
    </w:lvl>
  </w:abstractNum>
  <w:abstractNum w:abstractNumId="2">
    <w:nsid w:val="9999BB19"/>
    <w:multiLevelType w:val="singleLevel"/>
    <w:tmpl w:val="9999BB19"/>
    <w:lvl w:ilvl="0" w:tentative="0">
      <w:start w:val="1"/>
      <w:numFmt w:val="decimal"/>
      <w:lvlText w:val="%1."/>
      <w:lvlJc w:val="left"/>
      <w:pPr>
        <w:ind w:left="440" w:hanging="440"/>
      </w:pPr>
    </w:lvl>
  </w:abstractNum>
  <w:abstractNum w:abstractNumId="3">
    <w:nsid w:val="A6A917CA"/>
    <w:multiLevelType w:val="singleLevel"/>
    <w:tmpl w:val="A6A917CA"/>
    <w:lvl w:ilvl="0" w:tentative="0">
      <w:start w:val="1"/>
      <w:numFmt w:val="decimal"/>
      <w:lvlText w:val="%1."/>
      <w:lvlJc w:val="left"/>
      <w:pPr>
        <w:tabs>
          <w:tab w:val="left" w:pos="420"/>
        </w:tabs>
        <w:ind w:left="845" w:hanging="425"/>
      </w:pPr>
      <w:rPr>
        <w:rFonts w:hint="default"/>
      </w:rPr>
    </w:lvl>
  </w:abstractNum>
  <w:abstractNum w:abstractNumId="4">
    <w:nsid w:val="B0B575BA"/>
    <w:multiLevelType w:val="singleLevel"/>
    <w:tmpl w:val="B0B575BA"/>
    <w:lvl w:ilvl="0" w:tentative="0">
      <w:start w:val="1"/>
      <w:numFmt w:val="decimal"/>
      <w:lvlText w:val="%1."/>
      <w:lvlJc w:val="left"/>
      <w:pPr>
        <w:ind w:left="420" w:hanging="420"/>
      </w:pPr>
    </w:lvl>
  </w:abstractNum>
  <w:abstractNum w:abstractNumId="5">
    <w:nsid w:val="BFEDEED9"/>
    <w:multiLevelType w:val="singleLevel"/>
    <w:tmpl w:val="BFEDEED9"/>
    <w:lvl w:ilvl="0" w:tentative="0">
      <w:start w:val="1"/>
      <w:numFmt w:val="bullet"/>
      <w:lvlText w:val=""/>
      <w:lvlJc w:val="left"/>
      <w:pPr>
        <w:ind w:left="420" w:hanging="420"/>
      </w:pPr>
      <w:rPr>
        <w:rFonts w:hint="default" w:ascii="Wingdings" w:hAnsi="Wingdings"/>
      </w:rPr>
    </w:lvl>
  </w:abstractNum>
  <w:abstractNum w:abstractNumId="6">
    <w:nsid w:val="C2A8A973"/>
    <w:multiLevelType w:val="singleLevel"/>
    <w:tmpl w:val="C2A8A973"/>
    <w:lvl w:ilvl="0" w:tentative="0">
      <w:start w:val="1"/>
      <w:numFmt w:val="decimal"/>
      <w:lvlText w:val="(%1)"/>
      <w:lvlJc w:val="left"/>
      <w:pPr>
        <w:tabs>
          <w:tab w:val="left" w:pos="420"/>
        </w:tabs>
        <w:ind w:left="845" w:hanging="425"/>
      </w:pPr>
      <w:rPr>
        <w:rFonts w:hint="default"/>
      </w:rPr>
    </w:lvl>
  </w:abstractNum>
  <w:abstractNum w:abstractNumId="7">
    <w:nsid w:val="CA3FBD1D"/>
    <w:multiLevelType w:val="singleLevel"/>
    <w:tmpl w:val="CA3FBD1D"/>
    <w:lvl w:ilvl="0" w:tentative="0">
      <w:start w:val="1"/>
      <w:numFmt w:val="decimal"/>
      <w:lvlText w:val="%1."/>
      <w:lvlJc w:val="left"/>
      <w:pPr>
        <w:ind w:left="440" w:hanging="440"/>
      </w:pPr>
    </w:lvl>
  </w:abstractNum>
  <w:abstractNum w:abstractNumId="8">
    <w:nsid w:val="D42E94D2"/>
    <w:multiLevelType w:val="singleLevel"/>
    <w:tmpl w:val="D42E94D2"/>
    <w:lvl w:ilvl="0" w:tentative="0">
      <w:start w:val="1"/>
      <w:numFmt w:val="decimal"/>
      <w:suff w:val="nothing"/>
      <w:lvlText w:val="（%1）"/>
      <w:lvlJc w:val="left"/>
    </w:lvl>
  </w:abstractNum>
  <w:abstractNum w:abstractNumId="9">
    <w:nsid w:val="DA39EA30"/>
    <w:multiLevelType w:val="singleLevel"/>
    <w:tmpl w:val="DA39EA30"/>
    <w:lvl w:ilvl="0" w:tentative="0">
      <w:start w:val="1"/>
      <w:numFmt w:val="decimal"/>
      <w:lvlText w:val="%1."/>
      <w:lvlJc w:val="left"/>
      <w:pPr>
        <w:ind w:left="440" w:hanging="440"/>
      </w:pPr>
    </w:lvl>
  </w:abstractNum>
  <w:abstractNum w:abstractNumId="10">
    <w:nsid w:val="EA6C45FE"/>
    <w:multiLevelType w:val="singleLevel"/>
    <w:tmpl w:val="EA6C45FE"/>
    <w:lvl w:ilvl="0" w:tentative="0">
      <w:start w:val="1"/>
      <w:numFmt w:val="bullet"/>
      <w:lvlText w:val=""/>
      <w:lvlJc w:val="left"/>
      <w:pPr>
        <w:ind w:left="420" w:hanging="420"/>
      </w:pPr>
      <w:rPr>
        <w:rFonts w:hint="default" w:ascii="Wingdings" w:hAnsi="Wingdings"/>
      </w:rPr>
    </w:lvl>
  </w:abstractNum>
  <w:abstractNum w:abstractNumId="11">
    <w:nsid w:val="F21F2E6A"/>
    <w:multiLevelType w:val="multilevel"/>
    <w:tmpl w:val="F21F2E6A"/>
    <w:lvl w:ilvl="0" w:tentative="0">
      <w:start w:val="15"/>
      <w:numFmt w:val="decimal"/>
      <w:pStyle w:val="4"/>
      <w:lvlText w:val="%1"/>
      <w:lvlJc w:val="left"/>
      <w:pPr>
        <w:ind w:left="432" w:hanging="432"/>
      </w:pPr>
      <w:rPr>
        <w:rFonts w:hint="default" w:ascii="宋体" w:hAnsi="宋体" w:eastAsia="宋体" w:cs="宋体"/>
      </w:rPr>
    </w:lvl>
    <w:lvl w:ilvl="1" w:tentative="0">
      <w:start w:val="1"/>
      <w:numFmt w:val="decimal"/>
      <w:pStyle w:val="5"/>
      <w:lvlText w:val="%1.%2"/>
      <w:lvlJc w:val="left"/>
      <w:pPr>
        <w:ind w:left="431" w:hanging="431"/>
      </w:pPr>
      <w:rPr>
        <w:rFonts w:hint="default" w:ascii="宋体" w:hAnsi="宋体" w:eastAsia="宋体" w:cs="宋体"/>
        <w:sz w:val="28"/>
        <w:szCs w:val="28"/>
      </w:rPr>
    </w:lvl>
    <w:lvl w:ilvl="2" w:tentative="0">
      <w:start w:val="1"/>
      <w:numFmt w:val="decimal"/>
      <w:pStyle w:val="6"/>
      <w:lvlText w:val="%1.%2.%3"/>
      <w:lvlJc w:val="left"/>
      <w:pPr>
        <w:ind w:left="720" w:hanging="720"/>
      </w:pPr>
      <w:rPr>
        <w:rFonts w:hint="default" w:ascii="宋体" w:hAnsi="宋体"/>
      </w:rPr>
    </w:lvl>
    <w:lvl w:ilvl="3" w:tentative="0">
      <w:start w:val="1"/>
      <w:numFmt w:val="decimal"/>
      <w:pStyle w:val="7"/>
      <w:lvlText w:val="%1.%2.%3.%4"/>
      <w:lvlJc w:val="left"/>
      <w:pPr>
        <w:ind w:left="864" w:hanging="864"/>
      </w:pPr>
      <w:rPr>
        <w:rFonts w:hint="default" w:ascii="宋体" w:hAnsi="宋体" w:eastAsia="宋体" w:cs="宋体"/>
        <w:sz w:val="21"/>
        <w:szCs w:val="22"/>
      </w:rPr>
    </w:lvl>
    <w:lvl w:ilvl="4" w:tentative="0">
      <w:start w:val="1"/>
      <w:numFmt w:val="decimal"/>
      <w:pStyle w:val="8"/>
      <w:lvlText w:val="%1.%2.%3.%4.%5"/>
      <w:lvlJc w:val="left"/>
      <w:pPr>
        <w:ind w:left="0" w:firstLine="0"/>
      </w:pPr>
      <w:rPr>
        <w:rFonts w:hint="eastAsia"/>
      </w:rPr>
    </w:lvl>
    <w:lvl w:ilvl="5" w:tentative="0">
      <w:start w:val="1"/>
      <w:numFmt w:val="decimal"/>
      <w:pStyle w:val="9"/>
      <w:lvlText w:val="%1.%2.%3.%4.%5.%6"/>
      <w:lvlJc w:val="left"/>
      <w:pPr>
        <w:ind w:left="1152" w:hanging="1152"/>
      </w:pPr>
      <w:rPr>
        <w:rFonts w:hint="eastAsia"/>
      </w:rPr>
    </w:lvl>
    <w:lvl w:ilvl="6" w:tentative="0">
      <w:start w:val="1"/>
      <w:numFmt w:val="decimal"/>
      <w:pStyle w:val="10"/>
      <w:lvlText w:val="%1.%2.%3.%4.%5.%6.%7"/>
      <w:lvlJc w:val="left"/>
      <w:pPr>
        <w:ind w:left="1296" w:hanging="1296"/>
      </w:pPr>
      <w:rPr>
        <w:rFonts w:hint="eastAsia"/>
      </w:rPr>
    </w:lvl>
    <w:lvl w:ilvl="7" w:tentative="0">
      <w:start w:val="1"/>
      <w:numFmt w:val="decimal"/>
      <w:pStyle w:val="11"/>
      <w:lvlText w:val="%1.%2.%3.%4.%5.%6.%7.%8"/>
      <w:lvlJc w:val="left"/>
      <w:pPr>
        <w:ind w:left="1440" w:hanging="1440"/>
      </w:pPr>
      <w:rPr>
        <w:rFonts w:hint="eastAsia"/>
      </w:rPr>
    </w:lvl>
    <w:lvl w:ilvl="8" w:tentative="0">
      <w:start w:val="1"/>
      <w:numFmt w:val="decimal"/>
      <w:pStyle w:val="12"/>
      <w:lvlText w:val="%1.%2.%3.%4.%5.%6.%7.%8.%9"/>
      <w:lvlJc w:val="left"/>
      <w:pPr>
        <w:ind w:left="1584" w:hanging="1584"/>
      </w:pPr>
      <w:rPr>
        <w:rFonts w:hint="eastAsia"/>
      </w:rPr>
    </w:lvl>
  </w:abstractNum>
  <w:abstractNum w:abstractNumId="12">
    <w:nsid w:val="F70F9840"/>
    <w:multiLevelType w:val="singleLevel"/>
    <w:tmpl w:val="F70F9840"/>
    <w:lvl w:ilvl="0" w:tentative="0">
      <w:start w:val="1"/>
      <w:numFmt w:val="decimal"/>
      <w:lvlText w:val="(%1)"/>
      <w:lvlJc w:val="left"/>
      <w:pPr>
        <w:ind w:left="425" w:hanging="425"/>
      </w:pPr>
      <w:rPr>
        <w:rFonts w:hint="default"/>
      </w:rPr>
    </w:lvl>
  </w:abstractNum>
  <w:abstractNum w:abstractNumId="1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4">
    <w:nsid w:val="00000026"/>
    <w:multiLevelType w:val="multilevel"/>
    <w:tmpl w:val="00000026"/>
    <w:lvl w:ilvl="0" w:tentative="0">
      <w:start w:val="1"/>
      <w:numFmt w:val="decimal"/>
      <w:pStyle w:val="9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9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9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9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9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9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9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5">
    <w:nsid w:val="0000002A"/>
    <w:multiLevelType w:val="multilevel"/>
    <w:tmpl w:val="0000002A"/>
    <w:lvl w:ilvl="0" w:tentative="0">
      <w:start w:val="1"/>
      <w:numFmt w:val="decimal"/>
      <w:pStyle w:val="84"/>
      <w:lvlText w:val="(%1)."/>
      <w:lvlJc w:val="left"/>
      <w:pPr>
        <w:tabs>
          <w:tab w:val="left" w:pos="964"/>
        </w:tabs>
        <w:ind w:left="964" w:hanging="482"/>
      </w:pPr>
      <w:rPr>
        <w:rFonts w:hint="eastAsia"/>
        <w:b w:val="0"/>
        <w:i w:val="0"/>
        <w:sz w:val="24"/>
        <w:szCs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00000039"/>
    <w:multiLevelType w:val="multilevel"/>
    <w:tmpl w:val="00000039"/>
    <w:lvl w:ilvl="0" w:tentative="0">
      <w:start w:val="1"/>
      <w:numFmt w:val="bullet"/>
      <w:pStyle w:val="105"/>
      <w:lvlText w:val=""/>
      <w:lvlJc w:val="left"/>
      <w:pPr>
        <w:tabs>
          <w:tab w:val="left" w:pos="576"/>
        </w:tabs>
        <w:ind w:left="576" w:hanging="288"/>
      </w:pPr>
      <w:rPr>
        <w:rFonts w:hint="default" w:ascii="Symbol" w:hAnsi="Symbol"/>
        <w:sz w:val="20"/>
        <w:szCs w:val="20"/>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01F54143"/>
    <w:multiLevelType w:val="multilevel"/>
    <w:tmpl w:val="01F5414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02575F61"/>
    <w:multiLevelType w:val="multilevel"/>
    <w:tmpl w:val="02575F6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02825C9E"/>
    <w:multiLevelType w:val="multilevel"/>
    <w:tmpl w:val="02825C9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03015EEA"/>
    <w:multiLevelType w:val="multilevel"/>
    <w:tmpl w:val="03015EEA"/>
    <w:lvl w:ilvl="0" w:tentative="0">
      <w:start w:val="1"/>
      <w:numFmt w:val="decimal"/>
      <w:lvlText w:val="%1、"/>
      <w:lvlJc w:val="left"/>
      <w:pPr>
        <w:ind w:left="840" w:hanging="360"/>
      </w:pPr>
      <w:rPr>
        <w:rFonts w:hint="eastAsia" w:asciiTheme="minorEastAsia" w:hAnsiTheme="minorEastAsia" w:eastAsiaTheme="minor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21">
    <w:nsid w:val="048064E2"/>
    <w:multiLevelType w:val="multilevel"/>
    <w:tmpl w:val="048064E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04816931"/>
    <w:multiLevelType w:val="multilevel"/>
    <w:tmpl w:val="0481693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9"/>
      <w:numFmt w:val="japaneseCounting"/>
      <w:lvlText w:val="%3、"/>
      <w:lvlJc w:val="left"/>
      <w:pPr>
        <w:ind w:left="2220" w:hanging="42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04915956"/>
    <w:multiLevelType w:val="multilevel"/>
    <w:tmpl w:val="0491595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4">
    <w:nsid w:val="052DA101"/>
    <w:multiLevelType w:val="singleLevel"/>
    <w:tmpl w:val="052DA101"/>
    <w:lvl w:ilvl="0" w:tentative="0">
      <w:start w:val="1"/>
      <w:numFmt w:val="decimalEnclosedCircleChinese"/>
      <w:suff w:val="nothing"/>
      <w:lvlText w:val="%1　"/>
      <w:lvlJc w:val="left"/>
      <w:pPr>
        <w:ind w:left="420" w:firstLine="400"/>
      </w:pPr>
      <w:rPr>
        <w:rFonts w:hint="eastAsia"/>
      </w:rPr>
    </w:lvl>
  </w:abstractNum>
  <w:abstractNum w:abstractNumId="25">
    <w:nsid w:val="06A63E97"/>
    <w:multiLevelType w:val="multilevel"/>
    <w:tmpl w:val="06A63E97"/>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26">
    <w:nsid w:val="07EE7929"/>
    <w:multiLevelType w:val="multilevel"/>
    <w:tmpl w:val="07EE7929"/>
    <w:lvl w:ilvl="0" w:tentative="0">
      <w:start w:val="1"/>
      <w:numFmt w:val="bullet"/>
      <w:lvlText w:val=""/>
      <w:lvlJc w:val="left"/>
      <w:pPr>
        <w:ind w:left="960" w:hanging="480"/>
      </w:pPr>
      <w:rPr>
        <w:rFonts w:hint="default" w:ascii="Wingdings" w:hAnsi="Wingdings"/>
      </w:rPr>
    </w:lvl>
    <w:lvl w:ilvl="1" w:tentative="0">
      <w:start w:val="0"/>
      <w:numFmt w:val="bullet"/>
      <w:lvlText w:val="◆"/>
      <w:lvlJc w:val="left"/>
      <w:pPr>
        <w:ind w:left="1320" w:hanging="360"/>
      </w:pPr>
      <w:rPr>
        <w:rFonts w:hint="eastAsia" w:ascii="宋体" w:hAnsi="宋体" w:eastAsia="宋体" w:cs="Times New Roman"/>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27">
    <w:nsid w:val="0A9E0A4C"/>
    <w:multiLevelType w:val="multilevel"/>
    <w:tmpl w:val="0A9E0A4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0B585169"/>
    <w:multiLevelType w:val="multilevel"/>
    <w:tmpl w:val="0B585169"/>
    <w:lvl w:ilvl="0" w:tentative="0">
      <w:start w:val="1"/>
      <w:numFmt w:val="bullet"/>
      <w:lvlText w:val=""/>
      <w:lvlJc w:val="left"/>
      <w:pPr>
        <w:ind w:left="640" w:hanging="440"/>
      </w:pPr>
      <w:rPr>
        <w:rFonts w:hint="default" w:ascii="Wingdings" w:hAnsi="Wingdings"/>
      </w:rPr>
    </w:lvl>
    <w:lvl w:ilvl="1" w:tentative="0">
      <w:start w:val="1"/>
      <w:numFmt w:val="bullet"/>
      <w:lvlText w:val=""/>
      <w:lvlJc w:val="left"/>
      <w:pPr>
        <w:ind w:left="1080" w:hanging="440"/>
      </w:pPr>
      <w:rPr>
        <w:rFonts w:hint="default" w:ascii="Wingdings" w:hAnsi="Wingdings"/>
      </w:rPr>
    </w:lvl>
    <w:lvl w:ilvl="2" w:tentative="0">
      <w:start w:val="1"/>
      <w:numFmt w:val="bullet"/>
      <w:lvlText w:val=""/>
      <w:lvlJc w:val="left"/>
      <w:pPr>
        <w:ind w:left="1520" w:hanging="440"/>
      </w:pPr>
      <w:rPr>
        <w:rFonts w:hint="default" w:ascii="Wingdings" w:hAnsi="Wingdings"/>
      </w:rPr>
    </w:lvl>
    <w:lvl w:ilvl="3" w:tentative="0">
      <w:start w:val="1"/>
      <w:numFmt w:val="bullet"/>
      <w:lvlText w:val=""/>
      <w:lvlJc w:val="left"/>
      <w:pPr>
        <w:ind w:left="1960" w:hanging="440"/>
      </w:pPr>
      <w:rPr>
        <w:rFonts w:hint="default" w:ascii="Wingdings" w:hAnsi="Wingdings"/>
      </w:rPr>
    </w:lvl>
    <w:lvl w:ilvl="4" w:tentative="0">
      <w:start w:val="1"/>
      <w:numFmt w:val="bullet"/>
      <w:lvlText w:val=""/>
      <w:lvlJc w:val="left"/>
      <w:pPr>
        <w:ind w:left="2400" w:hanging="440"/>
      </w:pPr>
      <w:rPr>
        <w:rFonts w:hint="default" w:ascii="Wingdings" w:hAnsi="Wingdings"/>
      </w:rPr>
    </w:lvl>
    <w:lvl w:ilvl="5" w:tentative="0">
      <w:start w:val="1"/>
      <w:numFmt w:val="bullet"/>
      <w:lvlText w:val=""/>
      <w:lvlJc w:val="left"/>
      <w:pPr>
        <w:ind w:left="2840" w:hanging="440"/>
      </w:pPr>
      <w:rPr>
        <w:rFonts w:hint="default" w:ascii="Wingdings" w:hAnsi="Wingdings"/>
      </w:rPr>
    </w:lvl>
    <w:lvl w:ilvl="6" w:tentative="0">
      <w:start w:val="1"/>
      <w:numFmt w:val="bullet"/>
      <w:lvlText w:val=""/>
      <w:lvlJc w:val="left"/>
      <w:pPr>
        <w:ind w:left="3280" w:hanging="440"/>
      </w:pPr>
      <w:rPr>
        <w:rFonts w:hint="default" w:ascii="Wingdings" w:hAnsi="Wingdings"/>
      </w:rPr>
    </w:lvl>
    <w:lvl w:ilvl="7" w:tentative="0">
      <w:start w:val="1"/>
      <w:numFmt w:val="bullet"/>
      <w:lvlText w:val=""/>
      <w:lvlJc w:val="left"/>
      <w:pPr>
        <w:ind w:left="3720" w:hanging="440"/>
      </w:pPr>
      <w:rPr>
        <w:rFonts w:hint="default" w:ascii="Wingdings" w:hAnsi="Wingdings"/>
      </w:rPr>
    </w:lvl>
    <w:lvl w:ilvl="8" w:tentative="0">
      <w:start w:val="1"/>
      <w:numFmt w:val="bullet"/>
      <w:lvlText w:val=""/>
      <w:lvlJc w:val="left"/>
      <w:pPr>
        <w:ind w:left="4160" w:hanging="440"/>
      </w:pPr>
      <w:rPr>
        <w:rFonts w:hint="default" w:ascii="Wingdings" w:hAnsi="Wingdings"/>
      </w:rPr>
    </w:lvl>
  </w:abstractNum>
  <w:abstractNum w:abstractNumId="29">
    <w:nsid w:val="0BC530F3"/>
    <w:multiLevelType w:val="multilevel"/>
    <w:tmpl w:val="0BC530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0BF325B2"/>
    <w:multiLevelType w:val="multilevel"/>
    <w:tmpl w:val="0BF325B2"/>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1">
    <w:nsid w:val="0C5D00C9"/>
    <w:multiLevelType w:val="multilevel"/>
    <w:tmpl w:val="0C5D00C9"/>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32">
    <w:nsid w:val="0E312508"/>
    <w:multiLevelType w:val="multilevel"/>
    <w:tmpl w:val="0E312508"/>
    <w:lvl w:ilvl="0" w:tentative="0">
      <w:start w:val="1"/>
      <w:numFmt w:val="bullet"/>
      <w:lvlText w:val=""/>
      <w:lvlJc w:val="left"/>
      <w:pPr>
        <w:tabs>
          <w:tab w:val="left" w:pos="780"/>
        </w:tabs>
        <w:ind w:left="780" w:hanging="420"/>
      </w:pPr>
      <w:rPr>
        <w:rFonts w:hint="default" w:ascii="Wingdings" w:hAnsi="Wingdings"/>
      </w:rPr>
    </w:lvl>
    <w:lvl w:ilvl="1" w:tentative="0">
      <w:start w:val="1"/>
      <w:numFmt w:val="decimal"/>
      <w:lvlText w:val="(%2)"/>
      <w:lvlJc w:val="left"/>
      <w:pPr>
        <w:tabs>
          <w:tab w:val="left" w:pos="1347"/>
        </w:tabs>
        <w:ind w:left="1347" w:hanging="567"/>
      </w:pPr>
      <w:rPr>
        <w:rFonts w:hint="eastAsia"/>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33">
    <w:nsid w:val="0F1A0258"/>
    <w:multiLevelType w:val="multilevel"/>
    <w:tmpl w:val="0F1A025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4">
    <w:nsid w:val="12266992"/>
    <w:multiLevelType w:val="multilevel"/>
    <w:tmpl w:val="12266992"/>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35">
    <w:nsid w:val="13090391"/>
    <w:multiLevelType w:val="multilevel"/>
    <w:tmpl w:val="13090391"/>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36">
    <w:nsid w:val="13305C39"/>
    <w:multiLevelType w:val="multilevel"/>
    <w:tmpl w:val="13305C39"/>
    <w:lvl w:ilvl="0" w:tentative="0">
      <w:start w:val="1"/>
      <w:numFmt w:val="bullet"/>
      <w:lvlText w:val=""/>
      <w:lvlJc w:val="left"/>
      <w:pPr>
        <w:ind w:left="1440" w:hanging="480"/>
      </w:pPr>
      <w:rPr>
        <w:rFonts w:hint="default" w:ascii="Wingdings" w:hAnsi="Wingdings"/>
      </w:rPr>
    </w:lvl>
    <w:lvl w:ilvl="1" w:tentative="0">
      <w:start w:val="1"/>
      <w:numFmt w:val="bullet"/>
      <w:lvlText w:val=""/>
      <w:lvlJc w:val="left"/>
      <w:pPr>
        <w:ind w:left="1920" w:hanging="480"/>
      </w:pPr>
      <w:rPr>
        <w:rFonts w:hint="default" w:ascii="Wingdings" w:hAnsi="Wingdings"/>
      </w:rPr>
    </w:lvl>
    <w:lvl w:ilvl="2" w:tentative="0">
      <w:start w:val="1"/>
      <w:numFmt w:val="bullet"/>
      <w:lvlText w:val=""/>
      <w:lvlJc w:val="left"/>
      <w:pPr>
        <w:ind w:left="2400" w:hanging="480"/>
      </w:pPr>
      <w:rPr>
        <w:rFonts w:hint="default" w:ascii="Wingdings" w:hAnsi="Wingdings"/>
      </w:rPr>
    </w:lvl>
    <w:lvl w:ilvl="3" w:tentative="0">
      <w:start w:val="1"/>
      <w:numFmt w:val="bullet"/>
      <w:lvlText w:val=""/>
      <w:lvlJc w:val="left"/>
      <w:pPr>
        <w:ind w:left="2880" w:hanging="480"/>
      </w:pPr>
      <w:rPr>
        <w:rFonts w:hint="default" w:ascii="Wingdings" w:hAnsi="Wingdings"/>
      </w:rPr>
    </w:lvl>
    <w:lvl w:ilvl="4" w:tentative="0">
      <w:start w:val="1"/>
      <w:numFmt w:val="bullet"/>
      <w:lvlText w:val=""/>
      <w:lvlJc w:val="left"/>
      <w:pPr>
        <w:ind w:left="3360" w:hanging="480"/>
      </w:pPr>
      <w:rPr>
        <w:rFonts w:hint="default" w:ascii="Wingdings" w:hAnsi="Wingdings"/>
      </w:rPr>
    </w:lvl>
    <w:lvl w:ilvl="5" w:tentative="0">
      <w:start w:val="1"/>
      <w:numFmt w:val="bullet"/>
      <w:lvlText w:val=""/>
      <w:lvlJc w:val="left"/>
      <w:pPr>
        <w:ind w:left="3840" w:hanging="480"/>
      </w:pPr>
      <w:rPr>
        <w:rFonts w:hint="default" w:ascii="Wingdings" w:hAnsi="Wingdings"/>
      </w:rPr>
    </w:lvl>
    <w:lvl w:ilvl="6" w:tentative="0">
      <w:start w:val="1"/>
      <w:numFmt w:val="bullet"/>
      <w:lvlText w:val=""/>
      <w:lvlJc w:val="left"/>
      <w:pPr>
        <w:ind w:left="4320" w:hanging="480"/>
      </w:pPr>
      <w:rPr>
        <w:rFonts w:hint="default" w:ascii="Wingdings" w:hAnsi="Wingdings"/>
      </w:rPr>
    </w:lvl>
    <w:lvl w:ilvl="7" w:tentative="0">
      <w:start w:val="1"/>
      <w:numFmt w:val="bullet"/>
      <w:lvlText w:val=""/>
      <w:lvlJc w:val="left"/>
      <w:pPr>
        <w:ind w:left="4800" w:hanging="480"/>
      </w:pPr>
      <w:rPr>
        <w:rFonts w:hint="default" w:ascii="Wingdings" w:hAnsi="Wingdings"/>
      </w:rPr>
    </w:lvl>
    <w:lvl w:ilvl="8" w:tentative="0">
      <w:start w:val="1"/>
      <w:numFmt w:val="bullet"/>
      <w:lvlText w:val=""/>
      <w:lvlJc w:val="left"/>
      <w:pPr>
        <w:ind w:left="5280" w:hanging="480"/>
      </w:pPr>
      <w:rPr>
        <w:rFonts w:hint="default" w:ascii="Wingdings" w:hAnsi="Wingdings"/>
      </w:rPr>
    </w:lvl>
  </w:abstractNum>
  <w:abstractNum w:abstractNumId="37">
    <w:nsid w:val="134B5666"/>
    <w:multiLevelType w:val="multilevel"/>
    <w:tmpl w:val="134B566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8">
    <w:nsid w:val="13526DF5"/>
    <w:multiLevelType w:val="multilevel"/>
    <w:tmpl w:val="13526DF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9">
    <w:nsid w:val="13AE7396"/>
    <w:multiLevelType w:val="multilevel"/>
    <w:tmpl w:val="13AE7396"/>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15AE6EEB"/>
    <w:multiLevelType w:val="multilevel"/>
    <w:tmpl w:val="15AE6EEB"/>
    <w:lvl w:ilvl="0" w:tentative="0">
      <w:start w:val="1"/>
      <w:numFmt w:val="lowerLetter"/>
      <w:lvlText w:val="%1)"/>
      <w:lvlJc w:val="left"/>
      <w:pPr>
        <w:tabs>
          <w:tab w:val="left" w:pos="8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162E504D"/>
    <w:multiLevelType w:val="singleLevel"/>
    <w:tmpl w:val="162E504D"/>
    <w:lvl w:ilvl="0" w:tentative="0">
      <w:start w:val="2"/>
      <w:numFmt w:val="decimal"/>
      <w:suff w:val="nothing"/>
      <w:lvlText w:val="%1、"/>
      <w:lvlJc w:val="left"/>
    </w:lvl>
  </w:abstractNum>
  <w:abstractNum w:abstractNumId="42">
    <w:nsid w:val="16BF40B3"/>
    <w:multiLevelType w:val="multilevel"/>
    <w:tmpl w:val="16BF40B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3">
    <w:nsid w:val="185230F2"/>
    <w:multiLevelType w:val="multilevel"/>
    <w:tmpl w:val="185230F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192A0D42"/>
    <w:multiLevelType w:val="multilevel"/>
    <w:tmpl w:val="192A0D4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1A1B411A"/>
    <w:multiLevelType w:val="multilevel"/>
    <w:tmpl w:val="1A1B411A"/>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46">
    <w:nsid w:val="1A223956"/>
    <w:multiLevelType w:val="multilevel"/>
    <w:tmpl w:val="1A22395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7">
    <w:nsid w:val="1A420E7C"/>
    <w:multiLevelType w:val="multilevel"/>
    <w:tmpl w:val="1A420E7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8">
    <w:nsid w:val="1B4D11E7"/>
    <w:multiLevelType w:val="multilevel"/>
    <w:tmpl w:val="1B4D11E7"/>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49">
    <w:nsid w:val="1CCE3FE8"/>
    <w:multiLevelType w:val="multilevel"/>
    <w:tmpl w:val="1CCE3FE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0">
    <w:nsid w:val="1E5257ED"/>
    <w:multiLevelType w:val="multilevel"/>
    <w:tmpl w:val="1E5257ED"/>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bullet"/>
      <w:lvlText w:val=""/>
      <w:lvlJc w:val="left"/>
      <w:pPr>
        <w:tabs>
          <w:tab w:val="left" w:pos="1620"/>
        </w:tabs>
        <w:ind w:left="1620" w:hanging="420"/>
      </w:pPr>
      <w:rPr>
        <w:rFonts w:hint="default" w:ascii="Wingdings" w:hAnsi="Wingdings"/>
      </w:rPr>
    </w:lvl>
    <w:lvl w:ilvl="3" w:tentative="0">
      <w:start w:val="1"/>
      <w:numFmt w:val="bullet"/>
      <w:lvlText w:val=""/>
      <w:lvlJc w:val="left"/>
      <w:pPr>
        <w:tabs>
          <w:tab w:val="left" w:pos="2040"/>
        </w:tabs>
        <w:ind w:left="2040" w:hanging="420"/>
      </w:pPr>
      <w:rPr>
        <w:rFonts w:hint="default" w:ascii="Wingdings" w:hAnsi="Wingdings"/>
      </w:rPr>
    </w:lvl>
    <w:lvl w:ilvl="4" w:tentative="0">
      <w:start w:val="1"/>
      <w:numFmt w:val="bullet"/>
      <w:lvlText w:val=""/>
      <w:lvlJc w:val="left"/>
      <w:pPr>
        <w:tabs>
          <w:tab w:val="left" w:pos="2460"/>
        </w:tabs>
        <w:ind w:left="2460" w:hanging="420"/>
      </w:pPr>
      <w:rPr>
        <w:rFonts w:hint="default" w:ascii="Wingdings" w:hAnsi="Wingdings"/>
      </w:rPr>
    </w:lvl>
    <w:lvl w:ilvl="5" w:tentative="0">
      <w:start w:val="1"/>
      <w:numFmt w:val="bullet"/>
      <w:lvlText w:val=""/>
      <w:lvlJc w:val="left"/>
      <w:pPr>
        <w:tabs>
          <w:tab w:val="left" w:pos="2880"/>
        </w:tabs>
        <w:ind w:left="2880" w:hanging="420"/>
      </w:pPr>
      <w:rPr>
        <w:rFonts w:hint="default" w:ascii="Wingdings" w:hAnsi="Wingdings"/>
      </w:rPr>
    </w:lvl>
    <w:lvl w:ilvl="6" w:tentative="0">
      <w:start w:val="1"/>
      <w:numFmt w:val="bullet"/>
      <w:lvlText w:val=""/>
      <w:lvlJc w:val="left"/>
      <w:pPr>
        <w:tabs>
          <w:tab w:val="left" w:pos="3300"/>
        </w:tabs>
        <w:ind w:left="3300" w:hanging="420"/>
      </w:pPr>
      <w:rPr>
        <w:rFonts w:hint="default" w:ascii="Wingdings" w:hAnsi="Wingdings"/>
      </w:rPr>
    </w:lvl>
    <w:lvl w:ilvl="7" w:tentative="0">
      <w:start w:val="1"/>
      <w:numFmt w:val="bullet"/>
      <w:lvlText w:val=""/>
      <w:lvlJc w:val="left"/>
      <w:pPr>
        <w:tabs>
          <w:tab w:val="left" w:pos="3720"/>
        </w:tabs>
        <w:ind w:left="3720" w:hanging="420"/>
      </w:pPr>
      <w:rPr>
        <w:rFonts w:hint="default" w:ascii="Wingdings" w:hAnsi="Wingdings"/>
      </w:rPr>
    </w:lvl>
    <w:lvl w:ilvl="8" w:tentative="0">
      <w:start w:val="1"/>
      <w:numFmt w:val="bullet"/>
      <w:lvlText w:val=""/>
      <w:lvlJc w:val="left"/>
      <w:pPr>
        <w:tabs>
          <w:tab w:val="left" w:pos="4140"/>
        </w:tabs>
        <w:ind w:left="4140" w:hanging="420"/>
      </w:pPr>
      <w:rPr>
        <w:rFonts w:hint="default" w:ascii="Wingdings" w:hAnsi="Wingdings"/>
      </w:rPr>
    </w:lvl>
  </w:abstractNum>
  <w:abstractNum w:abstractNumId="51">
    <w:nsid w:val="1F3F6872"/>
    <w:multiLevelType w:val="multilevel"/>
    <w:tmpl w:val="1F3F687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2">
    <w:nsid w:val="202721D2"/>
    <w:multiLevelType w:val="multilevel"/>
    <w:tmpl w:val="202721D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44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3">
    <w:nsid w:val="20341A25"/>
    <w:multiLevelType w:val="multilevel"/>
    <w:tmpl w:val="20341A2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4">
    <w:nsid w:val="22CB6CC1"/>
    <w:multiLevelType w:val="multilevel"/>
    <w:tmpl w:val="22CB6CC1"/>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55">
    <w:nsid w:val="22EF580C"/>
    <w:multiLevelType w:val="multilevel"/>
    <w:tmpl w:val="22EF580C"/>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56">
    <w:nsid w:val="23052191"/>
    <w:multiLevelType w:val="multilevel"/>
    <w:tmpl w:val="2305219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7">
    <w:nsid w:val="232F0219"/>
    <w:multiLevelType w:val="multilevel"/>
    <w:tmpl w:val="232F0219"/>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58">
    <w:nsid w:val="259B5506"/>
    <w:multiLevelType w:val="multilevel"/>
    <w:tmpl w:val="259B550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9">
    <w:nsid w:val="25DC2DBC"/>
    <w:multiLevelType w:val="multilevel"/>
    <w:tmpl w:val="25DC2DB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0">
    <w:nsid w:val="27022175"/>
    <w:multiLevelType w:val="multilevel"/>
    <w:tmpl w:val="27022175"/>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61">
    <w:nsid w:val="283B11E0"/>
    <w:multiLevelType w:val="multilevel"/>
    <w:tmpl w:val="283B11E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2">
    <w:nsid w:val="29101625"/>
    <w:multiLevelType w:val="multilevel"/>
    <w:tmpl w:val="2910162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3">
    <w:nsid w:val="2A194881"/>
    <w:multiLevelType w:val="multilevel"/>
    <w:tmpl w:val="2A194881"/>
    <w:lvl w:ilvl="0" w:tentative="0">
      <w:start w:val="1"/>
      <w:numFmt w:val="decimal"/>
      <w:suff w:val="nothing"/>
      <w:lvlText w:val="（%1）"/>
      <w:lvlJc w:val="left"/>
      <w:pPr>
        <w:ind w:left="842"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4">
    <w:nsid w:val="2AFE7B2C"/>
    <w:multiLevelType w:val="multilevel"/>
    <w:tmpl w:val="2AFE7B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2C700DA6"/>
    <w:multiLevelType w:val="multilevel"/>
    <w:tmpl w:val="2C700DA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6">
    <w:nsid w:val="2D5F4424"/>
    <w:multiLevelType w:val="multilevel"/>
    <w:tmpl w:val="2D5F442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7">
    <w:nsid w:val="307C4E46"/>
    <w:multiLevelType w:val="multilevel"/>
    <w:tmpl w:val="307C4E46"/>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68">
    <w:nsid w:val="30A5E70E"/>
    <w:multiLevelType w:val="singleLevel"/>
    <w:tmpl w:val="30A5E70E"/>
    <w:lvl w:ilvl="0" w:tentative="0">
      <w:start w:val="1"/>
      <w:numFmt w:val="decimal"/>
      <w:lvlText w:val="%1."/>
      <w:lvlJc w:val="left"/>
      <w:pPr>
        <w:ind w:left="440" w:hanging="440"/>
      </w:pPr>
    </w:lvl>
  </w:abstractNum>
  <w:abstractNum w:abstractNumId="69">
    <w:nsid w:val="313509CD"/>
    <w:multiLevelType w:val="multilevel"/>
    <w:tmpl w:val="313509CD"/>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70">
    <w:nsid w:val="316F0C92"/>
    <w:multiLevelType w:val="singleLevel"/>
    <w:tmpl w:val="316F0C92"/>
    <w:lvl w:ilvl="0" w:tentative="0">
      <w:start w:val="4"/>
      <w:numFmt w:val="chineseCounting"/>
      <w:suff w:val="nothing"/>
      <w:lvlText w:val="（%1）"/>
      <w:lvlJc w:val="left"/>
      <w:rPr>
        <w:rFonts w:hint="eastAsia"/>
      </w:rPr>
    </w:lvl>
  </w:abstractNum>
  <w:abstractNum w:abstractNumId="71">
    <w:nsid w:val="32424735"/>
    <w:multiLevelType w:val="multilevel"/>
    <w:tmpl w:val="3242473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2">
    <w:nsid w:val="32D01D06"/>
    <w:multiLevelType w:val="multilevel"/>
    <w:tmpl w:val="32D01D06"/>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73">
    <w:nsid w:val="332253C4"/>
    <w:multiLevelType w:val="multilevel"/>
    <w:tmpl w:val="332253C4"/>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74">
    <w:nsid w:val="345E39E9"/>
    <w:multiLevelType w:val="multilevel"/>
    <w:tmpl w:val="345E39E9"/>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75">
    <w:nsid w:val="34973984"/>
    <w:multiLevelType w:val="multilevel"/>
    <w:tmpl w:val="349739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6">
    <w:nsid w:val="34B37256"/>
    <w:multiLevelType w:val="multilevel"/>
    <w:tmpl w:val="34B3725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7">
    <w:nsid w:val="352745F8"/>
    <w:multiLevelType w:val="multilevel"/>
    <w:tmpl w:val="352745F8"/>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78">
    <w:nsid w:val="355258F6"/>
    <w:multiLevelType w:val="multilevel"/>
    <w:tmpl w:val="355258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9">
    <w:nsid w:val="36A92A78"/>
    <w:multiLevelType w:val="multilevel"/>
    <w:tmpl w:val="36A92A78"/>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0">
    <w:nsid w:val="37626197"/>
    <w:multiLevelType w:val="multilevel"/>
    <w:tmpl w:val="37626197"/>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81">
    <w:nsid w:val="37EB020B"/>
    <w:multiLevelType w:val="multilevel"/>
    <w:tmpl w:val="37EB020B"/>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82">
    <w:nsid w:val="382B1A6E"/>
    <w:multiLevelType w:val="multilevel"/>
    <w:tmpl w:val="382B1A6E"/>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83">
    <w:nsid w:val="392E4723"/>
    <w:multiLevelType w:val="multilevel"/>
    <w:tmpl w:val="392E4723"/>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4">
    <w:nsid w:val="3A370A45"/>
    <w:multiLevelType w:val="multilevel"/>
    <w:tmpl w:val="3A370A45"/>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85">
    <w:nsid w:val="3AD237C3"/>
    <w:multiLevelType w:val="multilevel"/>
    <w:tmpl w:val="3AD237C3"/>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86">
    <w:nsid w:val="3B032827"/>
    <w:multiLevelType w:val="multilevel"/>
    <w:tmpl w:val="3B03282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7">
    <w:nsid w:val="3B736985"/>
    <w:multiLevelType w:val="multilevel"/>
    <w:tmpl w:val="3B736985"/>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88">
    <w:nsid w:val="3BA279B6"/>
    <w:multiLevelType w:val="multilevel"/>
    <w:tmpl w:val="3BA279B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9">
    <w:nsid w:val="3C1C340D"/>
    <w:multiLevelType w:val="multilevel"/>
    <w:tmpl w:val="3C1C340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0">
    <w:nsid w:val="3C240473"/>
    <w:multiLevelType w:val="multilevel"/>
    <w:tmpl w:val="3C240473"/>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91">
    <w:nsid w:val="3D564364"/>
    <w:multiLevelType w:val="multilevel"/>
    <w:tmpl w:val="3D5643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2">
    <w:nsid w:val="3E0A3E5A"/>
    <w:multiLevelType w:val="multilevel"/>
    <w:tmpl w:val="3E0A3E5A"/>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3">
    <w:nsid w:val="3E417A2A"/>
    <w:multiLevelType w:val="multilevel"/>
    <w:tmpl w:val="3E417A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4">
    <w:nsid w:val="3EE516FB"/>
    <w:multiLevelType w:val="multilevel"/>
    <w:tmpl w:val="3EE516FB"/>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95">
    <w:nsid w:val="428B7F82"/>
    <w:multiLevelType w:val="multilevel"/>
    <w:tmpl w:val="428B7F8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6">
    <w:nsid w:val="42C70060"/>
    <w:multiLevelType w:val="multilevel"/>
    <w:tmpl w:val="42C7006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7">
    <w:nsid w:val="43F836A0"/>
    <w:multiLevelType w:val="multilevel"/>
    <w:tmpl w:val="43F836A0"/>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98">
    <w:nsid w:val="465CA13A"/>
    <w:multiLevelType w:val="multilevel"/>
    <w:tmpl w:val="465CA13A"/>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9">
    <w:nsid w:val="49411597"/>
    <w:multiLevelType w:val="multilevel"/>
    <w:tmpl w:val="4941159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0">
    <w:nsid w:val="4BD7350F"/>
    <w:multiLevelType w:val="multilevel"/>
    <w:tmpl w:val="4BD7350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1">
    <w:nsid w:val="4BED1A26"/>
    <w:multiLevelType w:val="multilevel"/>
    <w:tmpl w:val="4BED1A26"/>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02">
    <w:nsid w:val="4CA05FC4"/>
    <w:multiLevelType w:val="multilevel"/>
    <w:tmpl w:val="4CA05FC4"/>
    <w:lvl w:ilvl="0" w:tentative="0">
      <w:start w:val="13"/>
      <w:numFmt w:val="decimal"/>
      <w:pStyle w:val="113"/>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03">
    <w:nsid w:val="4E792BB0"/>
    <w:multiLevelType w:val="multilevel"/>
    <w:tmpl w:val="4E792B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4">
    <w:nsid w:val="4E7940BF"/>
    <w:multiLevelType w:val="multilevel"/>
    <w:tmpl w:val="4E7940B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5">
    <w:nsid w:val="4F4C5A33"/>
    <w:multiLevelType w:val="multilevel"/>
    <w:tmpl w:val="4F4C5A33"/>
    <w:lvl w:ilvl="0" w:tentative="0">
      <w:start w:val="16"/>
      <w:numFmt w:val="decimal"/>
      <w:lvlText w:val="%1."/>
      <w:lvlJc w:val="left"/>
      <w:pPr>
        <w:ind w:left="420" w:hanging="420"/>
      </w:pPr>
      <w:rPr>
        <w:rFonts w:hint="eastAsia"/>
      </w:rPr>
    </w:lvl>
    <w:lvl w:ilvl="1" w:tentative="0">
      <w:start w:val="1"/>
      <w:numFmt w:val="decimal"/>
      <w:isLgl/>
      <w:lvlText w:val="%1.%2"/>
      <w:lvlJc w:val="left"/>
      <w:pPr>
        <w:ind w:left="765" w:hanging="765"/>
      </w:pPr>
      <w:rPr>
        <w:rFonts w:hint="default"/>
      </w:rPr>
    </w:lvl>
    <w:lvl w:ilvl="2" w:tentative="0">
      <w:start w:val="1"/>
      <w:numFmt w:val="decimal"/>
      <w:isLgl/>
      <w:lvlText w:val="%1.%2.%3"/>
      <w:lvlJc w:val="left"/>
      <w:pPr>
        <w:ind w:left="765" w:hanging="765"/>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160" w:hanging="2160"/>
      </w:pPr>
      <w:rPr>
        <w:rFonts w:hint="default"/>
      </w:rPr>
    </w:lvl>
  </w:abstractNum>
  <w:abstractNum w:abstractNumId="106">
    <w:nsid w:val="50325C36"/>
    <w:multiLevelType w:val="multilevel"/>
    <w:tmpl w:val="50325C36"/>
    <w:lvl w:ilvl="0" w:tentative="0">
      <w:start w:val="1"/>
      <w:numFmt w:val="bullet"/>
      <w:lvlText w:val=""/>
      <w:lvlJc w:val="left"/>
      <w:pPr>
        <w:ind w:left="1320" w:hanging="480"/>
      </w:pPr>
      <w:rPr>
        <w:rFonts w:hint="default" w:ascii="Wingdings" w:hAnsi="Wingdings"/>
      </w:rPr>
    </w:lvl>
    <w:lvl w:ilvl="1" w:tentative="0">
      <w:start w:val="1"/>
      <w:numFmt w:val="bullet"/>
      <w:lvlText w:val=""/>
      <w:lvlJc w:val="left"/>
      <w:pPr>
        <w:ind w:left="1800" w:hanging="480"/>
      </w:pPr>
      <w:rPr>
        <w:rFonts w:hint="default" w:ascii="Wingdings" w:hAnsi="Wingdings"/>
      </w:rPr>
    </w:lvl>
    <w:lvl w:ilvl="2" w:tentative="0">
      <w:start w:val="1"/>
      <w:numFmt w:val="bullet"/>
      <w:lvlText w:val=""/>
      <w:lvlJc w:val="left"/>
      <w:pPr>
        <w:ind w:left="2280" w:hanging="480"/>
      </w:pPr>
      <w:rPr>
        <w:rFonts w:hint="default" w:ascii="Wingdings" w:hAnsi="Wingdings"/>
      </w:rPr>
    </w:lvl>
    <w:lvl w:ilvl="3" w:tentative="0">
      <w:start w:val="1"/>
      <w:numFmt w:val="bullet"/>
      <w:lvlText w:val=""/>
      <w:lvlJc w:val="left"/>
      <w:pPr>
        <w:ind w:left="2760" w:hanging="480"/>
      </w:pPr>
      <w:rPr>
        <w:rFonts w:hint="default" w:ascii="Wingdings" w:hAnsi="Wingdings"/>
      </w:rPr>
    </w:lvl>
    <w:lvl w:ilvl="4" w:tentative="0">
      <w:start w:val="1"/>
      <w:numFmt w:val="bullet"/>
      <w:lvlText w:val=""/>
      <w:lvlJc w:val="left"/>
      <w:pPr>
        <w:ind w:left="3240" w:hanging="480"/>
      </w:pPr>
      <w:rPr>
        <w:rFonts w:hint="default" w:ascii="Wingdings" w:hAnsi="Wingdings"/>
      </w:rPr>
    </w:lvl>
    <w:lvl w:ilvl="5" w:tentative="0">
      <w:start w:val="1"/>
      <w:numFmt w:val="bullet"/>
      <w:lvlText w:val=""/>
      <w:lvlJc w:val="left"/>
      <w:pPr>
        <w:ind w:left="3720" w:hanging="480"/>
      </w:pPr>
      <w:rPr>
        <w:rFonts w:hint="default" w:ascii="Wingdings" w:hAnsi="Wingdings"/>
      </w:rPr>
    </w:lvl>
    <w:lvl w:ilvl="6" w:tentative="0">
      <w:start w:val="1"/>
      <w:numFmt w:val="bullet"/>
      <w:lvlText w:val=""/>
      <w:lvlJc w:val="left"/>
      <w:pPr>
        <w:ind w:left="4200" w:hanging="480"/>
      </w:pPr>
      <w:rPr>
        <w:rFonts w:hint="default" w:ascii="Wingdings" w:hAnsi="Wingdings"/>
      </w:rPr>
    </w:lvl>
    <w:lvl w:ilvl="7" w:tentative="0">
      <w:start w:val="1"/>
      <w:numFmt w:val="bullet"/>
      <w:lvlText w:val=""/>
      <w:lvlJc w:val="left"/>
      <w:pPr>
        <w:ind w:left="4680" w:hanging="480"/>
      </w:pPr>
      <w:rPr>
        <w:rFonts w:hint="default" w:ascii="Wingdings" w:hAnsi="Wingdings"/>
      </w:rPr>
    </w:lvl>
    <w:lvl w:ilvl="8" w:tentative="0">
      <w:start w:val="1"/>
      <w:numFmt w:val="bullet"/>
      <w:lvlText w:val=""/>
      <w:lvlJc w:val="left"/>
      <w:pPr>
        <w:ind w:left="5160" w:hanging="480"/>
      </w:pPr>
      <w:rPr>
        <w:rFonts w:hint="default" w:ascii="Wingdings" w:hAnsi="Wingdings"/>
      </w:rPr>
    </w:lvl>
  </w:abstractNum>
  <w:abstractNum w:abstractNumId="107">
    <w:nsid w:val="5045433B"/>
    <w:multiLevelType w:val="singleLevel"/>
    <w:tmpl w:val="5045433B"/>
    <w:lvl w:ilvl="0" w:tentative="0">
      <w:start w:val="1"/>
      <w:numFmt w:val="decimalEnclosedCircleChinese"/>
      <w:suff w:val="nothing"/>
      <w:lvlText w:val="%1　"/>
      <w:lvlJc w:val="left"/>
      <w:pPr>
        <w:ind w:left="0" w:firstLine="400"/>
      </w:pPr>
      <w:rPr>
        <w:rFonts w:hint="eastAsia"/>
      </w:rPr>
    </w:lvl>
  </w:abstractNum>
  <w:abstractNum w:abstractNumId="108">
    <w:nsid w:val="50993478"/>
    <w:multiLevelType w:val="multilevel"/>
    <w:tmpl w:val="5099347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9">
    <w:nsid w:val="50C26337"/>
    <w:multiLevelType w:val="multilevel"/>
    <w:tmpl w:val="50C26337"/>
    <w:lvl w:ilvl="0" w:tentative="0">
      <w:start w:val="1"/>
      <w:numFmt w:val="decimal"/>
      <w:lvlText w:val="%1."/>
      <w:lvlJc w:val="left"/>
      <w:pPr>
        <w:tabs>
          <w:tab w:val="left" w:pos="1080"/>
        </w:tabs>
        <w:ind w:left="1080" w:hanging="360"/>
      </w:pPr>
    </w:lvl>
    <w:lvl w:ilvl="1" w:tentative="0">
      <w:start w:val="1"/>
      <w:numFmt w:val="bullet"/>
      <w:lvlText w:val="o"/>
      <w:lvlJc w:val="left"/>
      <w:pPr>
        <w:tabs>
          <w:tab w:val="left" w:pos="1800"/>
        </w:tabs>
        <w:ind w:left="1800" w:hanging="360"/>
      </w:pPr>
      <w:rPr>
        <w:rFonts w:hint="default" w:ascii="Courier New" w:hAnsi="Courier New"/>
        <w:sz w:val="20"/>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10">
    <w:nsid w:val="5129F53C"/>
    <w:multiLevelType w:val="singleLevel"/>
    <w:tmpl w:val="5129F53C"/>
    <w:lvl w:ilvl="0" w:tentative="0">
      <w:start w:val="1"/>
      <w:numFmt w:val="bullet"/>
      <w:lvlText w:val=""/>
      <w:lvlJc w:val="left"/>
      <w:pPr>
        <w:ind w:left="420" w:hanging="420"/>
      </w:pPr>
      <w:rPr>
        <w:rFonts w:hint="default" w:ascii="Wingdings" w:hAnsi="Wingdings"/>
      </w:rPr>
    </w:lvl>
  </w:abstractNum>
  <w:abstractNum w:abstractNumId="111">
    <w:nsid w:val="51493591"/>
    <w:multiLevelType w:val="multilevel"/>
    <w:tmpl w:val="5149359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2">
    <w:nsid w:val="5272230E"/>
    <w:multiLevelType w:val="singleLevel"/>
    <w:tmpl w:val="5272230E"/>
    <w:lvl w:ilvl="0" w:tentative="0">
      <w:start w:val="1"/>
      <w:numFmt w:val="decimal"/>
      <w:lvlText w:val="(%1)"/>
      <w:lvlJc w:val="left"/>
      <w:pPr>
        <w:ind w:left="425" w:hanging="425"/>
      </w:pPr>
      <w:rPr>
        <w:rFonts w:hint="default"/>
      </w:rPr>
    </w:lvl>
  </w:abstractNum>
  <w:abstractNum w:abstractNumId="113">
    <w:nsid w:val="52AB2602"/>
    <w:multiLevelType w:val="multilevel"/>
    <w:tmpl w:val="52AB2602"/>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14">
    <w:nsid w:val="5333090C"/>
    <w:multiLevelType w:val="multilevel"/>
    <w:tmpl w:val="5333090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5">
    <w:nsid w:val="538614E7"/>
    <w:multiLevelType w:val="multilevel"/>
    <w:tmpl w:val="538614E7"/>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16">
    <w:nsid w:val="540E7696"/>
    <w:multiLevelType w:val="multilevel"/>
    <w:tmpl w:val="540E7696"/>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7">
    <w:nsid w:val="54E34C8C"/>
    <w:multiLevelType w:val="multilevel"/>
    <w:tmpl w:val="54E34C8C"/>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8">
    <w:nsid w:val="54F159F6"/>
    <w:multiLevelType w:val="multilevel"/>
    <w:tmpl w:val="54F159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9">
    <w:nsid w:val="564E989D"/>
    <w:multiLevelType w:val="singleLevel"/>
    <w:tmpl w:val="564E989D"/>
    <w:lvl w:ilvl="0" w:tentative="0">
      <w:start w:val="1"/>
      <w:numFmt w:val="decimalEnclosedCircleChinese"/>
      <w:suff w:val="nothing"/>
      <w:lvlText w:val="%1　"/>
      <w:lvlJc w:val="left"/>
      <w:pPr>
        <w:ind w:left="0" w:firstLine="400"/>
      </w:pPr>
      <w:rPr>
        <w:rFonts w:hint="eastAsia"/>
      </w:rPr>
    </w:lvl>
  </w:abstractNum>
  <w:abstractNum w:abstractNumId="120">
    <w:nsid w:val="57467320"/>
    <w:multiLevelType w:val="multilevel"/>
    <w:tmpl w:val="57467320"/>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21">
    <w:nsid w:val="575F8DBF"/>
    <w:multiLevelType w:val="singleLevel"/>
    <w:tmpl w:val="575F8DBF"/>
    <w:lvl w:ilvl="0" w:tentative="0">
      <w:start w:val="1"/>
      <w:numFmt w:val="decimal"/>
      <w:lvlText w:val="(%1)"/>
      <w:lvlJc w:val="left"/>
      <w:pPr>
        <w:tabs>
          <w:tab w:val="left" w:pos="420"/>
        </w:tabs>
        <w:ind w:left="845" w:hanging="425"/>
      </w:pPr>
      <w:rPr>
        <w:rFonts w:hint="default"/>
      </w:rPr>
    </w:lvl>
  </w:abstractNum>
  <w:abstractNum w:abstractNumId="122">
    <w:nsid w:val="57AD56B3"/>
    <w:multiLevelType w:val="multilevel"/>
    <w:tmpl w:val="57AD56B3"/>
    <w:lvl w:ilvl="0" w:tentative="0">
      <w:start w:val="1"/>
      <w:numFmt w:val="bullet"/>
      <w:lvlText w:val=""/>
      <w:lvlJc w:val="left"/>
      <w:pPr>
        <w:ind w:left="950" w:hanging="420"/>
      </w:pPr>
      <w:rPr>
        <w:rFonts w:hint="default" w:ascii="Wingdings" w:hAnsi="Wingdings"/>
      </w:rPr>
    </w:lvl>
    <w:lvl w:ilvl="1" w:tentative="0">
      <w:start w:val="1"/>
      <w:numFmt w:val="bullet"/>
      <w:lvlText w:val=""/>
      <w:lvlJc w:val="left"/>
      <w:pPr>
        <w:ind w:left="1370" w:hanging="420"/>
      </w:pPr>
      <w:rPr>
        <w:rFonts w:hint="default" w:ascii="Wingdings" w:hAnsi="Wingdings"/>
      </w:rPr>
    </w:lvl>
    <w:lvl w:ilvl="2" w:tentative="0">
      <w:start w:val="1"/>
      <w:numFmt w:val="bullet"/>
      <w:lvlText w:val=""/>
      <w:lvlJc w:val="left"/>
      <w:pPr>
        <w:ind w:left="1790" w:hanging="420"/>
      </w:pPr>
      <w:rPr>
        <w:rFonts w:hint="default" w:ascii="Wingdings" w:hAnsi="Wingdings"/>
      </w:rPr>
    </w:lvl>
    <w:lvl w:ilvl="3" w:tentative="0">
      <w:start w:val="1"/>
      <w:numFmt w:val="bullet"/>
      <w:lvlText w:val=""/>
      <w:lvlJc w:val="left"/>
      <w:pPr>
        <w:ind w:left="2210" w:hanging="420"/>
      </w:pPr>
      <w:rPr>
        <w:rFonts w:hint="default" w:ascii="Wingdings" w:hAnsi="Wingdings"/>
      </w:rPr>
    </w:lvl>
    <w:lvl w:ilvl="4" w:tentative="0">
      <w:start w:val="1"/>
      <w:numFmt w:val="bullet"/>
      <w:lvlText w:val=""/>
      <w:lvlJc w:val="left"/>
      <w:pPr>
        <w:ind w:left="2630" w:hanging="420"/>
      </w:pPr>
      <w:rPr>
        <w:rFonts w:hint="default" w:ascii="Wingdings" w:hAnsi="Wingdings"/>
      </w:rPr>
    </w:lvl>
    <w:lvl w:ilvl="5" w:tentative="0">
      <w:start w:val="1"/>
      <w:numFmt w:val="bullet"/>
      <w:lvlText w:val=""/>
      <w:lvlJc w:val="left"/>
      <w:pPr>
        <w:ind w:left="3050" w:hanging="420"/>
      </w:pPr>
      <w:rPr>
        <w:rFonts w:hint="default" w:ascii="Wingdings" w:hAnsi="Wingdings"/>
      </w:rPr>
    </w:lvl>
    <w:lvl w:ilvl="6" w:tentative="0">
      <w:start w:val="1"/>
      <w:numFmt w:val="bullet"/>
      <w:lvlText w:val=""/>
      <w:lvlJc w:val="left"/>
      <w:pPr>
        <w:ind w:left="3470" w:hanging="420"/>
      </w:pPr>
      <w:rPr>
        <w:rFonts w:hint="default" w:ascii="Wingdings" w:hAnsi="Wingdings"/>
      </w:rPr>
    </w:lvl>
    <w:lvl w:ilvl="7" w:tentative="0">
      <w:start w:val="1"/>
      <w:numFmt w:val="bullet"/>
      <w:lvlText w:val=""/>
      <w:lvlJc w:val="left"/>
      <w:pPr>
        <w:ind w:left="3890" w:hanging="420"/>
      </w:pPr>
      <w:rPr>
        <w:rFonts w:hint="default" w:ascii="Wingdings" w:hAnsi="Wingdings"/>
      </w:rPr>
    </w:lvl>
    <w:lvl w:ilvl="8" w:tentative="0">
      <w:start w:val="1"/>
      <w:numFmt w:val="bullet"/>
      <w:lvlText w:val=""/>
      <w:lvlJc w:val="left"/>
      <w:pPr>
        <w:ind w:left="4310" w:hanging="420"/>
      </w:pPr>
      <w:rPr>
        <w:rFonts w:hint="default" w:ascii="Wingdings" w:hAnsi="Wingdings"/>
      </w:rPr>
    </w:lvl>
  </w:abstractNum>
  <w:abstractNum w:abstractNumId="123">
    <w:nsid w:val="586F6E1B"/>
    <w:multiLevelType w:val="multilevel"/>
    <w:tmpl w:val="586F6E1B"/>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24">
    <w:nsid w:val="5A09588A"/>
    <w:multiLevelType w:val="multilevel"/>
    <w:tmpl w:val="5A09588A"/>
    <w:lvl w:ilvl="0" w:tentative="0">
      <w:start w:val="1"/>
      <w:numFmt w:val="bullet"/>
      <w:lvlText w:val=""/>
      <w:lvlJc w:val="left"/>
      <w:pPr>
        <w:ind w:left="1440" w:hanging="480"/>
      </w:pPr>
      <w:rPr>
        <w:rFonts w:hint="default" w:ascii="Wingdings" w:hAnsi="Wingdings"/>
      </w:rPr>
    </w:lvl>
    <w:lvl w:ilvl="1" w:tentative="0">
      <w:start w:val="1"/>
      <w:numFmt w:val="bullet"/>
      <w:lvlText w:val=""/>
      <w:lvlJc w:val="left"/>
      <w:pPr>
        <w:ind w:left="1920" w:hanging="480"/>
      </w:pPr>
      <w:rPr>
        <w:rFonts w:hint="default" w:ascii="Wingdings" w:hAnsi="Wingdings"/>
      </w:rPr>
    </w:lvl>
    <w:lvl w:ilvl="2" w:tentative="0">
      <w:start w:val="1"/>
      <w:numFmt w:val="bullet"/>
      <w:lvlText w:val=""/>
      <w:lvlJc w:val="left"/>
      <w:pPr>
        <w:ind w:left="2400" w:hanging="480"/>
      </w:pPr>
      <w:rPr>
        <w:rFonts w:hint="default" w:ascii="Wingdings" w:hAnsi="Wingdings"/>
      </w:rPr>
    </w:lvl>
    <w:lvl w:ilvl="3" w:tentative="0">
      <w:start w:val="1"/>
      <w:numFmt w:val="bullet"/>
      <w:lvlText w:val=""/>
      <w:lvlJc w:val="left"/>
      <w:pPr>
        <w:ind w:left="2880" w:hanging="480"/>
      </w:pPr>
      <w:rPr>
        <w:rFonts w:hint="default" w:ascii="Wingdings" w:hAnsi="Wingdings"/>
      </w:rPr>
    </w:lvl>
    <w:lvl w:ilvl="4" w:tentative="0">
      <w:start w:val="1"/>
      <w:numFmt w:val="bullet"/>
      <w:lvlText w:val=""/>
      <w:lvlJc w:val="left"/>
      <w:pPr>
        <w:ind w:left="3360" w:hanging="480"/>
      </w:pPr>
      <w:rPr>
        <w:rFonts w:hint="default" w:ascii="Wingdings" w:hAnsi="Wingdings"/>
      </w:rPr>
    </w:lvl>
    <w:lvl w:ilvl="5" w:tentative="0">
      <w:start w:val="1"/>
      <w:numFmt w:val="bullet"/>
      <w:lvlText w:val=""/>
      <w:lvlJc w:val="left"/>
      <w:pPr>
        <w:ind w:left="3840" w:hanging="480"/>
      </w:pPr>
      <w:rPr>
        <w:rFonts w:hint="default" w:ascii="Wingdings" w:hAnsi="Wingdings"/>
      </w:rPr>
    </w:lvl>
    <w:lvl w:ilvl="6" w:tentative="0">
      <w:start w:val="1"/>
      <w:numFmt w:val="bullet"/>
      <w:lvlText w:val=""/>
      <w:lvlJc w:val="left"/>
      <w:pPr>
        <w:ind w:left="4320" w:hanging="480"/>
      </w:pPr>
      <w:rPr>
        <w:rFonts w:hint="default" w:ascii="Wingdings" w:hAnsi="Wingdings"/>
      </w:rPr>
    </w:lvl>
    <w:lvl w:ilvl="7" w:tentative="0">
      <w:start w:val="1"/>
      <w:numFmt w:val="bullet"/>
      <w:lvlText w:val=""/>
      <w:lvlJc w:val="left"/>
      <w:pPr>
        <w:ind w:left="4800" w:hanging="480"/>
      </w:pPr>
      <w:rPr>
        <w:rFonts w:hint="default" w:ascii="Wingdings" w:hAnsi="Wingdings"/>
      </w:rPr>
    </w:lvl>
    <w:lvl w:ilvl="8" w:tentative="0">
      <w:start w:val="1"/>
      <w:numFmt w:val="bullet"/>
      <w:lvlText w:val=""/>
      <w:lvlJc w:val="left"/>
      <w:pPr>
        <w:ind w:left="5280" w:hanging="480"/>
      </w:pPr>
      <w:rPr>
        <w:rFonts w:hint="default" w:ascii="Wingdings" w:hAnsi="Wingdings"/>
      </w:rPr>
    </w:lvl>
  </w:abstractNum>
  <w:abstractNum w:abstractNumId="125">
    <w:nsid w:val="5A5950D5"/>
    <w:multiLevelType w:val="multilevel"/>
    <w:tmpl w:val="5A5950D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6">
    <w:nsid w:val="5B4113C2"/>
    <w:multiLevelType w:val="multilevel"/>
    <w:tmpl w:val="5B4113C2"/>
    <w:lvl w:ilvl="0" w:tentative="0">
      <w:start w:val="1"/>
      <w:numFmt w:val="decimal"/>
      <w:lvlText w:val="（%1）"/>
      <w:lvlJc w:val="left"/>
      <w:pPr>
        <w:tabs>
          <w:tab w:val="left" w:pos="720"/>
        </w:tabs>
        <w:ind w:left="720" w:hanging="72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7">
    <w:nsid w:val="5C056E93"/>
    <w:multiLevelType w:val="multilevel"/>
    <w:tmpl w:val="5C056E93"/>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28">
    <w:nsid w:val="5C7374C9"/>
    <w:multiLevelType w:val="multilevel"/>
    <w:tmpl w:val="5C7374C9"/>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29">
    <w:nsid w:val="5D59595A"/>
    <w:multiLevelType w:val="multilevel"/>
    <w:tmpl w:val="5D59595A"/>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30">
    <w:nsid w:val="5DD463D8"/>
    <w:multiLevelType w:val="multilevel"/>
    <w:tmpl w:val="5DD463D8"/>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1">
    <w:nsid w:val="5EA22D45"/>
    <w:multiLevelType w:val="multilevel"/>
    <w:tmpl w:val="5EA22D45"/>
    <w:lvl w:ilvl="0" w:tentative="0">
      <w:start w:val="1"/>
      <w:numFmt w:val="decimal"/>
      <w:lvlText w:val="%1."/>
      <w:lvlJc w:val="left"/>
      <w:pPr>
        <w:tabs>
          <w:tab w:val="left" w:pos="1080"/>
        </w:tabs>
        <w:ind w:left="1080" w:hanging="360"/>
      </w:pPr>
    </w:lvl>
    <w:lvl w:ilvl="1" w:tentative="0">
      <w:start w:val="1"/>
      <w:numFmt w:val="bullet"/>
      <w:lvlText w:val="o"/>
      <w:lvlJc w:val="left"/>
      <w:pPr>
        <w:tabs>
          <w:tab w:val="left" w:pos="1800"/>
        </w:tabs>
        <w:ind w:left="1800" w:hanging="360"/>
      </w:pPr>
      <w:rPr>
        <w:rFonts w:hint="default" w:ascii="Courier New" w:hAnsi="Courier New"/>
        <w:sz w:val="20"/>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32">
    <w:nsid w:val="5EB17FC2"/>
    <w:multiLevelType w:val="multilevel"/>
    <w:tmpl w:val="5EB17FC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3">
    <w:nsid w:val="5F440530"/>
    <w:multiLevelType w:val="multilevel"/>
    <w:tmpl w:val="5F44053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4">
    <w:nsid w:val="5F7857CB"/>
    <w:multiLevelType w:val="multilevel"/>
    <w:tmpl w:val="5F7857CB"/>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35">
    <w:nsid w:val="5FC03767"/>
    <w:multiLevelType w:val="singleLevel"/>
    <w:tmpl w:val="5FC03767"/>
    <w:lvl w:ilvl="0" w:tentative="0">
      <w:start w:val="1"/>
      <w:numFmt w:val="bullet"/>
      <w:lvlText w:val=""/>
      <w:lvlJc w:val="left"/>
      <w:pPr>
        <w:tabs>
          <w:tab w:val="left" w:pos="840"/>
        </w:tabs>
        <w:ind w:left="1260" w:hanging="420"/>
      </w:pPr>
      <w:rPr>
        <w:rFonts w:hint="default" w:ascii="Wingdings" w:hAnsi="Wingdings"/>
      </w:rPr>
    </w:lvl>
  </w:abstractNum>
  <w:abstractNum w:abstractNumId="136">
    <w:nsid w:val="5FC84844"/>
    <w:multiLevelType w:val="multilevel"/>
    <w:tmpl w:val="5FC84844"/>
    <w:lvl w:ilvl="0" w:tentative="0">
      <w:start w:val="4"/>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37">
    <w:nsid w:val="5FF7805C"/>
    <w:multiLevelType w:val="singleLevel"/>
    <w:tmpl w:val="5FF7805C"/>
    <w:lvl w:ilvl="0" w:tentative="0">
      <w:start w:val="1"/>
      <w:numFmt w:val="bullet"/>
      <w:lvlText w:val=""/>
      <w:lvlJc w:val="left"/>
      <w:pPr>
        <w:tabs>
          <w:tab w:val="left" w:pos="420"/>
        </w:tabs>
        <w:ind w:left="840" w:hanging="420"/>
      </w:pPr>
      <w:rPr>
        <w:rFonts w:hint="default" w:ascii="Wingdings" w:hAnsi="Wingdings"/>
      </w:rPr>
    </w:lvl>
  </w:abstractNum>
  <w:abstractNum w:abstractNumId="138">
    <w:nsid w:val="603A636A"/>
    <w:multiLevelType w:val="multilevel"/>
    <w:tmpl w:val="603A636A"/>
    <w:lvl w:ilvl="0" w:tentative="0">
      <w:start w:val="1"/>
      <w:numFmt w:val="bullet"/>
      <w:lvlText w:val=""/>
      <w:lvlJc w:val="left"/>
      <w:pPr>
        <w:ind w:left="1317" w:hanging="480"/>
      </w:pPr>
      <w:rPr>
        <w:rFonts w:hint="default" w:ascii="Wingdings" w:hAnsi="Wingdings"/>
      </w:rPr>
    </w:lvl>
    <w:lvl w:ilvl="1" w:tentative="0">
      <w:start w:val="1"/>
      <w:numFmt w:val="bullet"/>
      <w:lvlText w:val=""/>
      <w:lvlJc w:val="left"/>
      <w:pPr>
        <w:ind w:left="1797" w:hanging="480"/>
      </w:pPr>
      <w:rPr>
        <w:rFonts w:hint="default" w:ascii="Wingdings" w:hAnsi="Wingdings"/>
      </w:rPr>
    </w:lvl>
    <w:lvl w:ilvl="2" w:tentative="0">
      <w:start w:val="1"/>
      <w:numFmt w:val="bullet"/>
      <w:lvlText w:val=""/>
      <w:lvlJc w:val="left"/>
      <w:pPr>
        <w:ind w:left="2277" w:hanging="480"/>
      </w:pPr>
      <w:rPr>
        <w:rFonts w:hint="default" w:ascii="Wingdings" w:hAnsi="Wingdings"/>
      </w:rPr>
    </w:lvl>
    <w:lvl w:ilvl="3" w:tentative="0">
      <w:start w:val="1"/>
      <w:numFmt w:val="bullet"/>
      <w:lvlText w:val=""/>
      <w:lvlJc w:val="left"/>
      <w:pPr>
        <w:ind w:left="2757" w:hanging="480"/>
      </w:pPr>
      <w:rPr>
        <w:rFonts w:hint="default" w:ascii="Wingdings" w:hAnsi="Wingdings"/>
      </w:rPr>
    </w:lvl>
    <w:lvl w:ilvl="4" w:tentative="0">
      <w:start w:val="1"/>
      <w:numFmt w:val="bullet"/>
      <w:lvlText w:val=""/>
      <w:lvlJc w:val="left"/>
      <w:pPr>
        <w:ind w:left="3237" w:hanging="480"/>
      </w:pPr>
      <w:rPr>
        <w:rFonts w:hint="default" w:ascii="Wingdings" w:hAnsi="Wingdings"/>
      </w:rPr>
    </w:lvl>
    <w:lvl w:ilvl="5" w:tentative="0">
      <w:start w:val="1"/>
      <w:numFmt w:val="bullet"/>
      <w:lvlText w:val=""/>
      <w:lvlJc w:val="left"/>
      <w:pPr>
        <w:ind w:left="3717" w:hanging="480"/>
      </w:pPr>
      <w:rPr>
        <w:rFonts w:hint="default" w:ascii="Wingdings" w:hAnsi="Wingdings"/>
      </w:rPr>
    </w:lvl>
    <w:lvl w:ilvl="6" w:tentative="0">
      <w:start w:val="1"/>
      <w:numFmt w:val="bullet"/>
      <w:lvlText w:val=""/>
      <w:lvlJc w:val="left"/>
      <w:pPr>
        <w:ind w:left="4197" w:hanging="480"/>
      </w:pPr>
      <w:rPr>
        <w:rFonts w:hint="default" w:ascii="Wingdings" w:hAnsi="Wingdings"/>
      </w:rPr>
    </w:lvl>
    <w:lvl w:ilvl="7" w:tentative="0">
      <w:start w:val="1"/>
      <w:numFmt w:val="bullet"/>
      <w:lvlText w:val=""/>
      <w:lvlJc w:val="left"/>
      <w:pPr>
        <w:ind w:left="4677" w:hanging="480"/>
      </w:pPr>
      <w:rPr>
        <w:rFonts w:hint="default" w:ascii="Wingdings" w:hAnsi="Wingdings"/>
      </w:rPr>
    </w:lvl>
    <w:lvl w:ilvl="8" w:tentative="0">
      <w:start w:val="1"/>
      <w:numFmt w:val="bullet"/>
      <w:lvlText w:val=""/>
      <w:lvlJc w:val="left"/>
      <w:pPr>
        <w:ind w:left="5157" w:hanging="480"/>
      </w:pPr>
      <w:rPr>
        <w:rFonts w:hint="default" w:ascii="Wingdings" w:hAnsi="Wingdings"/>
      </w:rPr>
    </w:lvl>
  </w:abstractNum>
  <w:abstractNum w:abstractNumId="139">
    <w:nsid w:val="607129C6"/>
    <w:multiLevelType w:val="multilevel"/>
    <w:tmpl w:val="607129C6"/>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40">
    <w:nsid w:val="61071B8F"/>
    <w:multiLevelType w:val="multilevel"/>
    <w:tmpl w:val="61071B8F"/>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41">
    <w:nsid w:val="61601565"/>
    <w:multiLevelType w:val="multilevel"/>
    <w:tmpl w:val="61601565"/>
    <w:lvl w:ilvl="0" w:tentative="0">
      <w:start w:val="1"/>
      <w:numFmt w:val="bullet"/>
      <w:lvlText w:val=""/>
      <w:lvlJc w:val="left"/>
      <w:pPr>
        <w:tabs>
          <w:tab w:val="left" w:pos="840"/>
        </w:tabs>
        <w:ind w:left="1260" w:hanging="420"/>
      </w:pPr>
      <w:rPr>
        <w:rFonts w:hint="default" w:ascii="Wingdings" w:hAnsi="Wingdings"/>
      </w:rPr>
    </w:lvl>
    <w:lvl w:ilvl="1" w:tentative="0">
      <w:start w:val="1"/>
      <w:numFmt w:val="bullet"/>
      <w:lvlText w:val=""/>
      <w:lvlJc w:val="left"/>
      <w:pPr>
        <w:tabs>
          <w:tab w:val="left" w:pos="1260"/>
        </w:tabs>
        <w:ind w:left="1680" w:hanging="420"/>
      </w:pPr>
      <w:rPr>
        <w:rFonts w:hint="default" w:ascii="Wingdings" w:hAnsi="Wingdings"/>
      </w:rPr>
    </w:lvl>
    <w:lvl w:ilvl="2" w:tentative="0">
      <w:start w:val="1"/>
      <w:numFmt w:val="bullet"/>
      <w:lvlText w:val=""/>
      <w:lvlJc w:val="left"/>
      <w:pPr>
        <w:tabs>
          <w:tab w:val="left" w:pos="1680"/>
        </w:tabs>
        <w:ind w:left="2100" w:hanging="420"/>
      </w:pPr>
      <w:rPr>
        <w:rFonts w:hint="default" w:ascii="Wingdings" w:hAnsi="Wingdings"/>
      </w:rPr>
    </w:lvl>
    <w:lvl w:ilvl="3" w:tentative="0">
      <w:start w:val="1"/>
      <w:numFmt w:val="bullet"/>
      <w:lvlText w:val=""/>
      <w:lvlJc w:val="left"/>
      <w:pPr>
        <w:tabs>
          <w:tab w:val="left" w:pos="2100"/>
        </w:tabs>
        <w:ind w:left="2520" w:hanging="420"/>
      </w:pPr>
      <w:rPr>
        <w:rFonts w:hint="default" w:ascii="Wingdings" w:hAnsi="Wingdings"/>
      </w:rPr>
    </w:lvl>
    <w:lvl w:ilvl="4" w:tentative="0">
      <w:start w:val="1"/>
      <w:numFmt w:val="bullet"/>
      <w:lvlText w:val=""/>
      <w:lvlJc w:val="left"/>
      <w:pPr>
        <w:tabs>
          <w:tab w:val="left" w:pos="2520"/>
        </w:tabs>
        <w:ind w:left="2940" w:hanging="420"/>
      </w:pPr>
      <w:rPr>
        <w:rFonts w:hint="default" w:ascii="Wingdings" w:hAnsi="Wingdings"/>
      </w:rPr>
    </w:lvl>
    <w:lvl w:ilvl="5" w:tentative="0">
      <w:start w:val="1"/>
      <w:numFmt w:val="bullet"/>
      <w:lvlText w:val=""/>
      <w:lvlJc w:val="left"/>
      <w:pPr>
        <w:tabs>
          <w:tab w:val="left" w:pos="2940"/>
        </w:tabs>
        <w:ind w:left="3360" w:hanging="420"/>
      </w:pPr>
      <w:rPr>
        <w:rFonts w:hint="default" w:ascii="Wingdings" w:hAnsi="Wingdings"/>
      </w:rPr>
    </w:lvl>
    <w:lvl w:ilvl="6" w:tentative="0">
      <w:start w:val="1"/>
      <w:numFmt w:val="bullet"/>
      <w:lvlText w:val=""/>
      <w:lvlJc w:val="left"/>
      <w:pPr>
        <w:tabs>
          <w:tab w:val="left" w:pos="3360"/>
        </w:tabs>
        <w:ind w:left="3780" w:hanging="420"/>
      </w:pPr>
      <w:rPr>
        <w:rFonts w:hint="default" w:ascii="Wingdings" w:hAnsi="Wingdings"/>
      </w:rPr>
    </w:lvl>
    <w:lvl w:ilvl="7" w:tentative="0">
      <w:start w:val="1"/>
      <w:numFmt w:val="bullet"/>
      <w:lvlText w:val=""/>
      <w:lvlJc w:val="left"/>
      <w:pPr>
        <w:tabs>
          <w:tab w:val="left" w:pos="3780"/>
        </w:tabs>
        <w:ind w:left="4200" w:hanging="420"/>
      </w:pPr>
      <w:rPr>
        <w:rFonts w:hint="default" w:ascii="Wingdings" w:hAnsi="Wingdings"/>
      </w:rPr>
    </w:lvl>
    <w:lvl w:ilvl="8" w:tentative="0">
      <w:start w:val="1"/>
      <w:numFmt w:val="bullet"/>
      <w:lvlText w:val=""/>
      <w:lvlJc w:val="left"/>
      <w:pPr>
        <w:tabs>
          <w:tab w:val="left" w:pos="4200"/>
        </w:tabs>
        <w:ind w:left="4620" w:hanging="420"/>
      </w:pPr>
      <w:rPr>
        <w:rFonts w:hint="default" w:ascii="Wingdings" w:hAnsi="Wingdings"/>
      </w:rPr>
    </w:lvl>
  </w:abstractNum>
  <w:abstractNum w:abstractNumId="142">
    <w:nsid w:val="62DE1CDC"/>
    <w:multiLevelType w:val="multilevel"/>
    <w:tmpl w:val="62DE1CDC"/>
    <w:lvl w:ilvl="0" w:tentative="0">
      <w:start w:val="1"/>
      <w:numFmt w:val="bullet"/>
      <w:lvlText w:val=""/>
      <w:lvlJc w:val="left"/>
      <w:pPr>
        <w:ind w:left="1317" w:hanging="480"/>
      </w:pPr>
      <w:rPr>
        <w:rFonts w:hint="default" w:ascii="Wingdings" w:hAnsi="Wingdings"/>
      </w:rPr>
    </w:lvl>
    <w:lvl w:ilvl="1" w:tentative="0">
      <w:start w:val="1"/>
      <w:numFmt w:val="bullet"/>
      <w:lvlText w:val=""/>
      <w:lvlJc w:val="left"/>
      <w:pPr>
        <w:ind w:left="1797" w:hanging="480"/>
      </w:pPr>
      <w:rPr>
        <w:rFonts w:hint="default" w:ascii="Wingdings" w:hAnsi="Wingdings"/>
      </w:rPr>
    </w:lvl>
    <w:lvl w:ilvl="2" w:tentative="0">
      <w:start w:val="1"/>
      <w:numFmt w:val="bullet"/>
      <w:lvlText w:val=""/>
      <w:lvlJc w:val="left"/>
      <w:pPr>
        <w:ind w:left="2277" w:hanging="480"/>
      </w:pPr>
      <w:rPr>
        <w:rFonts w:hint="default" w:ascii="Wingdings" w:hAnsi="Wingdings"/>
      </w:rPr>
    </w:lvl>
    <w:lvl w:ilvl="3" w:tentative="0">
      <w:start w:val="1"/>
      <w:numFmt w:val="bullet"/>
      <w:lvlText w:val=""/>
      <w:lvlJc w:val="left"/>
      <w:pPr>
        <w:ind w:left="2757" w:hanging="480"/>
      </w:pPr>
      <w:rPr>
        <w:rFonts w:hint="default" w:ascii="Wingdings" w:hAnsi="Wingdings"/>
      </w:rPr>
    </w:lvl>
    <w:lvl w:ilvl="4" w:tentative="0">
      <w:start w:val="1"/>
      <w:numFmt w:val="bullet"/>
      <w:lvlText w:val=""/>
      <w:lvlJc w:val="left"/>
      <w:pPr>
        <w:ind w:left="3237" w:hanging="480"/>
      </w:pPr>
      <w:rPr>
        <w:rFonts w:hint="default" w:ascii="Wingdings" w:hAnsi="Wingdings"/>
      </w:rPr>
    </w:lvl>
    <w:lvl w:ilvl="5" w:tentative="0">
      <w:start w:val="1"/>
      <w:numFmt w:val="bullet"/>
      <w:lvlText w:val=""/>
      <w:lvlJc w:val="left"/>
      <w:pPr>
        <w:ind w:left="3717" w:hanging="480"/>
      </w:pPr>
      <w:rPr>
        <w:rFonts w:hint="default" w:ascii="Wingdings" w:hAnsi="Wingdings"/>
      </w:rPr>
    </w:lvl>
    <w:lvl w:ilvl="6" w:tentative="0">
      <w:start w:val="1"/>
      <w:numFmt w:val="bullet"/>
      <w:lvlText w:val=""/>
      <w:lvlJc w:val="left"/>
      <w:pPr>
        <w:ind w:left="4197" w:hanging="480"/>
      </w:pPr>
      <w:rPr>
        <w:rFonts w:hint="default" w:ascii="Wingdings" w:hAnsi="Wingdings"/>
      </w:rPr>
    </w:lvl>
    <w:lvl w:ilvl="7" w:tentative="0">
      <w:start w:val="1"/>
      <w:numFmt w:val="bullet"/>
      <w:lvlText w:val=""/>
      <w:lvlJc w:val="left"/>
      <w:pPr>
        <w:ind w:left="4677" w:hanging="480"/>
      </w:pPr>
      <w:rPr>
        <w:rFonts w:hint="default" w:ascii="Wingdings" w:hAnsi="Wingdings"/>
      </w:rPr>
    </w:lvl>
    <w:lvl w:ilvl="8" w:tentative="0">
      <w:start w:val="1"/>
      <w:numFmt w:val="bullet"/>
      <w:lvlText w:val=""/>
      <w:lvlJc w:val="left"/>
      <w:pPr>
        <w:ind w:left="5157" w:hanging="480"/>
      </w:pPr>
      <w:rPr>
        <w:rFonts w:hint="default" w:ascii="Wingdings" w:hAnsi="Wingdings"/>
      </w:rPr>
    </w:lvl>
  </w:abstractNum>
  <w:abstractNum w:abstractNumId="143">
    <w:nsid w:val="62EDBDF5"/>
    <w:multiLevelType w:val="singleLevel"/>
    <w:tmpl w:val="62EDBDF5"/>
    <w:lvl w:ilvl="0" w:tentative="0">
      <w:start w:val="1"/>
      <w:numFmt w:val="decimal"/>
      <w:lvlText w:val="%1."/>
      <w:lvlJc w:val="left"/>
      <w:pPr>
        <w:ind w:left="440" w:hanging="440"/>
      </w:pPr>
    </w:lvl>
  </w:abstractNum>
  <w:abstractNum w:abstractNumId="144">
    <w:nsid w:val="62F81265"/>
    <w:multiLevelType w:val="multilevel"/>
    <w:tmpl w:val="62F81265"/>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45">
    <w:nsid w:val="654D1974"/>
    <w:multiLevelType w:val="multilevel"/>
    <w:tmpl w:val="654D1974"/>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46">
    <w:nsid w:val="67C94771"/>
    <w:multiLevelType w:val="multilevel"/>
    <w:tmpl w:val="67C9477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7">
    <w:nsid w:val="68C107BB"/>
    <w:multiLevelType w:val="multilevel"/>
    <w:tmpl w:val="68C107BB"/>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48">
    <w:nsid w:val="690B2825"/>
    <w:multiLevelType w:val="multilevel"/>
    <w:tmpl w:val="690B2825"/>
    <w:lvl w:ilvl="0" w:tentative="0">
      <w:start w:val="1"/>
      <w:numFmt w:val="decimal"/>
      <w:lvlText w:val="%1、"/>
      <w:lvlJc w:val="left"/>
      <w:pPr>
        <w:ind w:left="840" w:hanging="360"/>
      </w:pPr>
      <w:rPr>
        <w:rFonts w:hint="default"/>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49">
    <w:nsid w:val="6BCB18DD"/>
    <w:multiLevelType w:val="multilevel"/>
    <w:tmpl w:val="6BCB18DD"/>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50">
    <w:nsid w:val="6C990613"/>
    <w:multiLevelType w:val="multilevel"/>
    <w:tmpl w:val="6C990613"/>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51">
    <w:nsid w:val="6D6753A5"/>
    <w:multiLevelType w:val="multilevel"/>
    <w:tmpl w:val="6D6753A5"/>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52">
    <w:nsid w:val="6D8895A0"/>
    <w:multiLevelType w:val="singleLevel"/>
    <w:tmpl w:val="6D8895A0"/>
    <w:lvl w:ilvl="0" w:tentative="0">
      <w:start w:val="1"/>
      <w:numFmt w:val="bullet"/>
      <w:lvlText w:val=""/>
      <w:lvlJc w:val="left"/>
      <w:pPr>
        <w:ind w:left="420" w:hanging="420"/>
      </w:pPr>
      <w:rPr>
        <w:rFonts w:hint="default" w:ascii="Wingdings" w:hAnsi="Wingdings"/>
      </w:rPr>
    </w:lvl>
  </w:abstractNum>
  <w:abstractNum w:abstractNumId="153">
    <w:nsid w:val="6E452927"/>
    <w:multiLevelType w:val="multilevel"/>
    <w:tmpl w:val="6E45292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4">
    <w:nsid w:val="6F9D1D88"/>
    <w:multiLevelType w:val="multilevel"/>
    <w:tmpl w:val="6F9D1D88"/>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55">
    <w:nsid w:val="70C1BDC0"/>
    <w:multiLevelType w:val="singleLevel"/>
    <w:tmpl w:val="70C1BDC0"/>
    <w:lvl w:ilvl="0" w:tentative="0">
      <w:start w:val="1"/>
      <w:numFmt w:val="decimal"/>
      <w:suff w:val="nothing"/>
      <w:lvlText w:val="（%1）"/>
      <w:lvlJc w:val="left"/>
    </w:lvl>
  </w:abstractNum>
  <w:abstractNum w:abstractNumId="156">
    <w:nsid w:val="715C37E0"/>
    <w:multiLevelType w:val="multilevel"/>
    <w:tmpl w:val="715C37E0"/>
    <w:lvl w:ilvl="0" w:tentative="0">
      <w:start w:val="1"/>
      <w:numFmt w:val="bullet"/>
      <w:lvlText w:val=""/>
      <w:lvlJc w:val="left"/>
      <w:pPr>
        <w:ind w:left="960" w:hanging="480"/>
      </w:pPr>
      <w:rPr>
        <w:rFonts w:hint="default" w:ascii="Wingdings" w:hAnsi="Wingdings"/>
      </w:rPr>
    </w:lvl>
    <w:lvl w:ilvl="1" w:tentative="0">
      <w:start w:val="1"/>
      <w:numFmt w:val="bullet"/>
      <w:lvlText w:val=""/>
      <w:lvlJc w:val="left"/>
      <w:pPr>
        <w:ind w:left="1440" w:hanging="480"/>
      </w:pPr>
      <w:rPr>
        <w:rFonts w:hint="default" w:ascii="Wingdings" w:hAnsi="Wingdings"/>
      </w:rPr>
    </w:lvl>
    <w:lvl w:ilvl="2" w:tentative="0">
      <w:start w:val="1"/>
      <w:numFmt w:val="bullet"/>
      <w:lvlText w:val=""/>
      <w:lvlJc w:val="left"/>
      <w:pPr>
        <w:ind w:left="1920" w:hanging="480"/>
      </w:pPr>
      <w:rPr>
        <w:rFonts w:hint="default" w:ascii="Wingdings" w:hAnsi="Wingdings"/>
      </w:rPr>
    </w:lvl>
    <w:lvl w:ilvl="3" w:tentative="0">
      <w:start w:val="1"/>
      <w:numFmt w:val="bullet"/>
      <w:lvlText w:val=""/>
      <w:lvlJc w:val="left"/>
      <w:pPr>
        <w:ind w:left="2400" w:hanging="480"/>
      </w:pPr>
      <w:rPr>
        <w:rFonts w:hint="default" w:ascii="Wingdings" w:hAnsi="Wingdings"/>
      </w:rPr>
    </w:lvl>
    <w:lvl w:ilvl="4" w:tentative="0">
      <w:start w:val="1"/>
      <w:numFmt w:val="bullet"/>
      <w:lvlText w:val=""/>
      <w:lvlJc w:val="left"/>
      <w:pPr>
        <w:ind w:left="2880" w:hanging="480"/>
      </w:pPr>
      <w:rPr>
        <w:rFonts w:hint="default" w:ascii="Wingdings" w:hAnsi="Wingdings"/>
      </w:rPr>
    </w:lvl>
    <w:lvl w:ilvl="5" w:tentative="0">
      <w:start w:val="1"/>
      <w:numFmt w:val="bullet"/>
      <w:lvlText w:val=""/>
      <w:lvlJc w:val="left"/>
      <w:pPr>
        <w:ind w:left="3360" w:hanging="480"/>
      </w:pPr>
      <w:rPr>
        <w:rFonts w:hint="default" w:ascii="Wingdings" w:hAnsi="Wingdings"/>
      </w:rPr>
    </w:lvl>
    <w:lvl w:ilvl="6" w:tentative="0">
      <w:start w:val="1"/>
      <w:numFmt w:val="bullet"/>
      <w:lvlText w:val=""/>
      <w:lvlJc w:val="left"/>
      <w:pPr>
        <w:ind w:left="3840" w:hanging="480"/>
      </w:pPr>
      <w:rPr>
        <w:rFonts w:hint="default" w:ascii="Wingdings" w:hAnsi="Wingdings"/>
      </w:rPr>
    </w:lvl>
    <w:lvl w:ilvl="7" w:tentative="0">
      <w:start w:val="1"/>
      <w:numFmt w:val="bullet"/>
      <w:lvlText w:val=""/>
      <w:lvlJc w:val="left"/>
      <w:pPr>
        <w:ind w:left="4320" w:hanging="480"/>
      </w:pPr>
      <w:rPr>
        <w:rFonts w:hint="default" w:ascii="Wingdings" w:hAnsi="Wingdings"/>
      </w:rPr>
    </w:lvl>
    <w:lvl w:ilvl="8" w:tentative="0">
      <w:start w:val="1"/>
      <w:numFmt w:val="bullet"/>
      <w:lvlText w:val=""/>
      <w:lvlJc w:val="left"/>
      <w:pPr>
        <w:ind w:left="4800" w:hanging="480"/>
      </w:pPr>
      <w:rPr>
        <w:rFonts w:hint="default" w:ascii="Wingdings" w:hAnsi="Wingdings"/>
      </w:rPr>
    </w:lvl>
  </w:abstractNum>
  <w:abstractNum w:abstractNumId="157">
    <w:nsid w:val="71E538B1"/>
    <w:multiLevelType w:val="multilevel"/>
    <w:tmpl w:val="71E538B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8">
    <w:nsid w:val="728765A4"/>
    <w:multiLevelType w:val="multilevel"/>
    <w:tmpl w:val="728765A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9">
    <w:nsid w:val="754CA126"/>
    <w:multiLevelType w:val="singleLevel"/>
    <w:tmpl w:val="754CA126"/>
    <w:lvl w:ilvl="0" w:tentative="0">
      <w:start w:val="1"/>
      <w:numFmt w:val="decimalEnclosedCircleChinese"/>
      <w:suff w:val="nothing"/>
      <w:lvlText w:val="%1　"/>
      <w:lvlJc w:val="left"/>
      <w:pPr>
        <w:ind w:left="0" w:firstLine="400"/>
      </w:pPr>
      <w:rPr>
        <w:rFonts w:hint="eastAsia"/>
      </w:rPr>
    </w:lvl>
  </w:abstractNum>
  <w:abstractNum w:abstractNumId="160">
    <w:nsid w:val="759641B6"/>
    <w:multiLevelType w:val="multilevel"/>
    <w:tmpl w:val="759641B6"/>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1">
    <w:nsid w:val="763771A7"/>
    <w:multiLevelType w:val="multilevel"/>
    <w:tmpl w:val="763771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2">
    <w:nsid w:val="76BD766D"/>
    <w:multiLevelType w:val="multilevel"/>
    <w:tmpl w:val="76BD766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3">
    <w:nsid w:val="77553A4B"/>
    <w:multiLevelType w:val="multilevel"/>
    <w:tmpl w:val="77553A4B"/>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2"/>
      <w:numFmt w:val="japaneseCounting"/>
      <w:lvlText w:val="%3、"/>
      <w:lvlJc w:val="left"/>
      <w:pPr>
        <w:ind w:left="2250" w:hanging="450"/>
      </w:pPr>
      <w:rPr>
        <w:rFonts w:hint="default"/>
      </w:rPr>
    </w:lvl>
    <w:lvl w:ilvl="3" w:tentative="0">
      <w:start w:val="1"/>
      <w:numFmt w:val="japaneseCounting"/>
      <w:lvlText w:val="（%4）"/>
      <w:lvlJc w:val="left"/>
      <w:pPr>
        <w:ind w:left="3240" w:hanging="72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4">
    <w:nsid w:val="77890C4F"/>
    <w:multiLevelType w:val="multilevel"/>
    <w:tmpl w:val="77890C4F"/>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japaneseCounting"/>
      <w:lvlText w:val="%3、"/>
      <w:lvlJc w:val="left"/>
      <w:pPr>
        <w:ind w:left="2250" w:hanging="450"/>
      </w:pPr>
      <w:rPr>
        <w:rFonts w:hint="default"/>
      </w:rPr>
    </w:lvl>
    <w:lvl w:ilvl="3" w:tentative="0">
      <w:start w:val="11"/>
      <w:numFmt w:val="decimal"/>
      <w:lvlText w:val="%4、"/>
      <w:lvlJc w:val="left"/>
      <w:pPr>
        <w:ind w:left="2940" w:hanging="420"/>
      </w:pPr>
      <w:rPr>
        <w:rFonts w:hint="default"/>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5">
    <w:nsid w:val="7A1019EB"/>
    <w:multiLevelType w:val="multilevel"/>
    <w:tmpl w:val="7A1019EB"/>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6">
    <w:nsid w:val="7C6033A8"/>
    <w:multiLevelType w:val="multilevel"/>
    <w:tmpl w:val="7C6033A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7">
    <w:nsid w:val="7CA92D1C"/>
    <w:multiLevelType w:val="multilevel"/>
    <w:tmpl w:val="7CA92D1C"/>
    <w:lvl w:ilvl="0" w:tentative="0">
      <w:start w:val="1"/>
      <w:numFmt w:val="decimal"/>
      <w:lvlText w:val="%1、"/>
      <w:lvlJc w:val="left"/>
      <w:pPr>
        <w:ind w:left="840" w:hanging="360"/>
      </w:pPr>
      <w:rPr>
        <w:rFonts w:hint="eastAsia"/>
      </w:r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abstractNum w:abstractNumId="168">
    <w:nsid w:val="7DC125ED"/>
    <w:multiLevelType w:val="multilevel"/>
    <w:tmpl w:val="7DC125ED"/>
    <w:lvl w:ilvl="0" w:tentative="0">
      <w:start w:val="1"/>
      <w:numFmt w:val="decimal"/>
      <w:lvlText w:val="%1."/>
      <w:lvlJc w:val="left"/>
      <w:pPr>
        <w:tabs>
          <w:tab w:val="left" w:pos="360"/>
        </w:tabs>
        <w:ind w:left="360" w:hanging="360"/>
      </w:pPr>
    </w:lvl>
    <w:lvl w:ilvl="1" w:tentative="0">
      <w:start w:val="1"/>
      <w:numFmt w:val="decimal"/>
      <w:pStyle w:val="79"/>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9">
    <w:nsid w:val="7DFD1A1B"/>
    <w:multiLevelType w:val="multilevel"/>
    <w:tmpl w:val="7DFD1A1B"/>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70">
    <w:nsid w:val="7EEC6C61"/>
    <w:multiLevelType w:val="multilevel"/>
    <w:tmpl w:val="7EEC6C61"/>
    <w:lvl w:ilvl="0" w:tentative="0">
      <w:start w:val="1"/>
      <w:numFmt w:val="decimal"/>
      <w:lvlText w:val="%1."/>
      <w:lvlJc w:val="left"/>
      <w:pPr>
        <w:tabs>
          <w:tab w:val="left" w:pos="1080"/>
        </w:tabs>
        <w:ind w:left="1080" w:hanging="360"/>
      </w:pPr>
    </w:lvl>
    <w:lvl w:ilvl="1" w:tentative="0">
      <w:start w:val="1"/>
      <w:numFmt w:val="bullet"/>
      <w:lvlText w:val="o"/>
      <w:lvlJc w:val="left"/>
      <w:pPr>
        <w:tabs>
          <w:tab w:val="left" w:pos="1800"/>
        </w:tabs>
        <w:ind w:left="1800" w:hanging="360"/>
      </w:pPr>
      <w:rPr>
        <w:rFonts w:hint="default" w:ascii="Courier New" w:hAnsi="Courier New"/>
        <w:sz w:val="20"/>
      </w:rPr>
    </w:lvl>
    <w:lvl w:ilvl="2" w:tentative="0">
      <w:start w:val="1"/>
      <w:numFmt w:val="decimal"/>
      <w:lvlText w:val="%3."/>
      <w:lvlJc w:val="left"/>
      <w:pPr>
        <w:tabs>
          <w:tab w:val="left" w:pos="2520"/>
        </w:tabs>
        <w:ind w:left="2520" w:hanging="360"/>
      </w:pPr>
    </w:lvl>
    <w:lvl w:ilvl="3" w:tentative="0">
      <w:start w:val="1"/>
      <w:numFmt w:val="decimal"/>
      <w:lvlText w:val="%4."/>
      <w:lvlJc w:val="left"/>
      <w:pPr>
        <w:tabs>
          <w:tab w:val="left" w:pos="3240"/>
        </w:tabs>
        <w:ind w:left="3240" w:hanging="360"/>
      </w:pPr>
    </w:lvl>
    <w:lvl w:ilvl="4" w:tentative="0">
      <w:start w:val="1"/>
      <w:numFmt w:val="decimal"/>
      <w:lvlText w:val="%5."/>
      <w:lvlJc w:val="left"/>
      <w:pPr>
        <w:tabs>
          <w:tab w:val="left" w:pos="3960"/>
        </w:tabs>
        <w:ind w:left="3960" w:hanging="360"/>
      </w:pPr>
    </w:lvl>
    <w:lvl w:ilvl="5" w:tentative="0">
      <w:start w:val="1"/>
      <w:numFmt w:val="decimal"/>
      <w:lvlText w:val="%6."/>
      <w:lvlJc w:val="left"/>
      <w:pPr>
        <w:tabs>
          <w:tab w:val="left" w:pos="4680"/>
        </w:tabs>
        <w:ind w:left="4680" w:hanging="360"/>
      </w:pPr>
    </w:lvl>
    <w:lvl w:ilvl="6" w:tentative="0">
      <w:start w:val="1"/>
      <w:numFmt w:val="decimal"/>
      <w:lvlText w:val="%7."/>
      <w:lvlJc w:val="left"/>
      <w:pPr>
        <w:tabs>
          <w:tab w:val="left" w:pos="5400"/>
        </w:tabs>
        <w:ind w:left="5400" w:hanging="360"/>
      </w:pPr>
    </w:lvl>
    <w:lvl w:ilvl="7" w:tentative="0">
      <w:start w:val="1"/>
      <w:numFmt w:val="decimal"/>
      <w:lvlText w:val="%8."/>
      <w:lvlJc w:val="left"/>
      <w:pPr>
        <w:tabs>
          <w:tab w:val="left" w:pos="6120"/>
        </w:tabs>
        <w:ind w:left="6120" w:hanging="360"/>
      </w:pPr>
    </w:lvl>
    <w:lvl w:ilvl="8" w:tentative="0">
      <w:start w:val="1"/>
      <w:numFmt w:val="decimal"/>
      <w:lvlText w:val="%9."/>
      <w:lvlJc w:val="left"/>
      <w:pPr>
        <w:tabs>
          <w:tab w:val="left" w:pos="6840"/>
        </w:tabs>
        <w:ind w:left="6840" w:hanging="360"/>
      </w:pPr>
    </w:lvl>
  </w:abstractNum>
  <w:abstractNum w:abstractNumId="171">
    <w:nsid w:val="7F7C123A"/>
    <w:multiLevelType w:val="multilevel"/>
    <w:tmpl w:val="7F7C123A"/>
    <w:lvl w:ilvl="0" w:tentative="0">
      <w:start w:val="1"/>
      <w:numFmt w:val="decimal"/>
      <w:lvlText w:val="%1)"/>
      <w:lvlJc w:val="left"/>
      <w:pPr>
        <w:ind w:left="960" w:hanging="480"/>
      </w:pPr>
    </w:lvl>
    <w:lvl w:ilvl="1" w:tentative="0">
      <w:start w:val="1"/>
      <w:numFmt w:val="lowerLetter"/>
      <w:lvlText w:val="%2)"/>
      <w:lvlJc w:val="left"/>
      <w:pPr>
        <w:ind w:left="1440" w:hanging="480"/>
      </w:pPr>
    </w:lvl>
    <w:lvl w:ilvl="2" w:tentative="0">
      <w:start w:val="1"/>
      <w:numFmt w:val="lowerRoman"/>
      <w:lvlText w:val="%3."/>
      <w:lvlJc w:val="right"/>
      <w:pPr>
        <w:ind w:left="1920" w:hanging="480"/>
      </w:pPr>
    </w:lvl>
    <w:lvl w:ilvl="3" w:tentative="0">
      <w:start w:val="1"/>
      <w:numFmt w:val="decimal"/>
      <w:lvlText w:val="%4."/>
      <w:lvlJc w:val="left"/>
      <w:pPr>
        <w:ind w:left="2400" w:hanging="480"/>
      </w:pPr>
    </w:lvl>
    <w:lvl w:ilvl="4" w:tentative="0">
      <w:start w:val="1"/>
      <w:numFmt w:val="lowerLetter"/>
      <w:lvlText w:val="%5)"/>
      <w:lvlJc w:val="left"/>
      <w:pPr>
        <w:ind w:left="2880" w:hanging="480"/>
      </w:pPr>
    </w:lvl>
    <w:lvl w:ilvl="5" w:tentative="0">
      <w:start w:val="1"/>
      <w:numFmt w:val="lowerRoman"/>
      <w:lvlText w:val="%6."/>
      <w:lvlJc w:val="right"/>
      <w:pPr>
        <w:ind w:left="3360" w:hanging="480"/>
      </w:pPr>
    </w:lvl>
    <w:lvl w:ilvl="6" w:tentative="0">
      <w:start w:val="1"/>
      <w:numFmt w:val="decimal"/>
      <w:lvlText w:val="%7."/>
      <w:lvlJc w:val="left"/>
      <w:pPr>
        <w:ind w:left="3840" w:hanging="480"/>
      </w:pPr>
    </w:lvl>
    <w:lvl w:ilvl="7" w:tentative="0">
      <w:start w:val="1"/>
      <w:numFmt w:val="lowerLetter"/>
      <w:lvlText w:val="%8)"/>
      <w:lvlJc w:val="left"/>
      <w:pPr>
        <w:ind w:left="4320" w:hanging="480"/>
      </w:pPr>
    </w:lvl>
    <w:lvl w:ilvl="8" w:tentative="0">
      <w:start w:val="1"/>
      <w:numFmt w:val="lowerRoman"/>
      <w:lvlText w:val="%9."/>
      <w:lvlJc w:val="right"/>
      <w:pPr>
        <w:ind w:left="4800" w:hanging="480"/>
      </w:pPr>
    </w:lvl>
  </w:abstractNum>
  <w:num w:numId="1">
    <w:abstractNumId w:val="11"/>
  </w:num>
  <w:num w:numId="2">
    <w:abstractNumId w:val="13"/>
  </w:num>
  <w:num w:numId="3">
    <w:abstractNumId w:val="168"/>
  </w:num>
  <w:num w:numId="4">
    <w:abstractNumId w:val="15"/>
  </w:num>
  <w:num w:numId="5">
    <w:abstractNumId w:val="14"/>
  </w:num>
  <w:num w:numId="6">
    <w:abstractNumId w:val="16"/>
  </w:num>
  <w:num w:numId="7">
    <w:abstractNumId w:val="102"/>
  </w:num>
  <w:num w:numId="8">
    <w:abstractNumId w:val="65"/>
  </w:num>
  <w:num w:numId="9">
    <w:abstractNumId w:val="132"/>
  </w:num>
  <w:num w:numId="10">
    <w:abstractNumId w:val="122"/>
  </w:num>
  <w:num w:numId="11">
    <w:abstractNumId w:val="10"/>
  </w:num>
  <w:num w:numId="12">
    <w:abstractNumId w:val="88"/>
  </w:num>
  <w:num w:numId="13">
    <w:abstractNumId w:val="153"/>
  </w:num>
  <w:num w:numId="14">
    <w:abstractNumId w:val="62"/>
  </w:num>
  <w:num w:numId="15">
    <w:abstractNumId w:val="70"/>
  </w:num>
  <w:num w:numId="16">
    <w:abstractNumId w:val="99"/>
  </w:num>
  <w:num w:numId="17">
    <w:abstractNumId w:val="119"/>
  </w:num>
  <w:num w:numId="18">
    <w:abstractNumId w:val="96"/>
  </w:num>
  <w:num w:numId="19">
    <w:abstractNumId w:val="7"/>
  </w:num>
  <w:num w:numId="20">
    <w:abstractNumId w:val="2"/>
  </w:num>
  <w:num w:numId="21">
    <w:abstractNumId w:val="143"/>
  </w:num>
  <w:num w:numId="22">
    <w:abstractNumId w:val="9"/>
  </w:num>
  <w:num w:numId="23">
    <w:abstractNumId w:val="68"/>
  </w:num>
  <w:num w:numId="24">
    <w:abstractNumId w:val="0"/>
  </w:num>
  <w:num w:numId="25">
    <w:abstractNumId w:val="147"/>
  </w:num>
  <w:num w:numId="26">
    <w:abstractNumId w:val="53"/>
  </w:num>
  <w:num w:numId="27">
    <w:abstractNumId w:val="52"/>
  </w:num>
  <w:num w:numId="28">
    <w:abstractNumId w:val="127"/>
  </w:num>
  <w:num w:numId="29">
    <w:abstractNumId w:val="128"/>
  </w:num>
  <w:num w:numId="30">
    <w:abstractNumId w:val="85"/>
  </w:num>
  <w:num w:numId="31">
    <w:abstractNumId w:val="67"/>
  </w:num>
  <w:num w:numId="32">
    <w:abstractNumId w:val="169"/>
  </w:num>
  <w:num w:numId="33">
    <w:abstractNumId w:val="4"/>
  </w:num>
  <w:num w:numId="34">
    <w:abstractNumId w:val="24"/>
  </w:num>
  <w:num w:numId="35">
    <w:abstractNumId w:val="159"/>
  </w:num>
  <w:num w:numId="36">
    <w:abstractNumId w:val="107"/>
  </w:num>
  <w:num w:numId="37">
    <w:abstractNumId w:val="28"/>
  </w:num>
  <w:num w:numId="38">
    <w:abstractNumId w:val="137"/>
  </w:num>
  <w:num w:numId="39">
    <w:abstractNumId w:val="105"/>
  </w:num>
  <w:num w:numId="40">
    <w:abstractNumId w:val="114"/>
  </w:num>
  <w:num w:numId="41">
    <w:abstractNumId w:val="18"/>
  </w:num>
  <w:num w:numId="42">
    <w:abstractNumId w:val="59"/>
  </w:num>
  <w:num w:numId="43">
    <w:abstractNumId w:val="133"/>
  </w:num>
  <w:num w:numId="44">
    <w:abstractNumId w:val="86"/>
  </w:num>
  <w:num w:numId="45">
    <w:abstractNumId w:val="17"/>
  </w:num>
  <w:num w:numId="46">
    <w:abstractNumId w:val="158"/>
  </w:num>
  <w:num w:numId="47">
    <w:abstractNumId w:val="23"/>
  </w:num>
  <w:num w:numId="48">
    <w:abstractNumId w:val="29"/>
  </w:num>
  <w:num w:numId="49">
    <w:abstractNumId w:val="161"/>
  </w:num>
  <w:num w:numId="50">
    <w:abstractNumId w:val="93"/>
  </w:num>
  <w:num w:numId="51">
    <w:abstractNumId w:val="49"/>
  </w:num>
  <w:num w:numId="52">
    <w:abstractNumId w:val="19"/>
  </w:num>
  <w:num w:numId="53">
    <w:abstractNumId w:val="46"/>
  </w:num>
  <w:num w:numId="54">
    <w:abstractNumId w:val="58"/>
  </w:num>
  <w:num w:numId="55">
    <w:abstractNumId w:val="162"/>
  </w:num>
  <w:num w:numId="56">
    <w:abstractNumId w:val="75"/>
  </w:num>
  <w:num w:numId="57">
    <w:abstractNumId w:val="166"/>
  </w:num>
  <w:num w:numId="58">
    <w:abstractNumId w:val="103"/>
  </w:num>
  <w:num w:numId="59">
    <w:abstractNumId w:val="108"/>
  </w:num>
  <w:num w:numId="60">
    <w:abstractNumId w:val="91"/>
  </w:num>
  <w:num w:numId="61">
    <w:abstractNumId w:val="33"/>
  </w:num>
  <w:num w:numId="62">
    <w:abstractNumId w:val="76"/>
  </w:num>
  <w:num w:numId="63">
    <w:abstractNumId w:val="118"/>
  </w:num>
  <w:num w:numId="64">
    <w:abstractNumId w:val="51"/>
  </w:num>
  <w:num w:numId="65">
    <w:abstractNumId w:val="131"/>
  </w:num>
  <w:num w:numId="66">
    <w:abstractNumId w:val="21"/>
  </w:num>
  <w:num w:numId="67">
    <w:abstractNumId w:val="66"/>
  </w:num>
  <w:num w:numId="68">
    <w:abstractNumId w:val="95"/>
  </w:num>
  <w:num w:numId="69">
    <w:abstractNumId w:val="117"/>
  </w:num>
  <w:num w:numId="70">
    <w:abstractNumId w:val="100"/>
  </w:num>
  <w:num w:numId="71">
    <w:abstractNumId w:val="165"/>
  </w:num>
  <w:num w:numId="72">
    <w:abstractNumId w:val="157"/>
  </w:num>
  <w:num w:numId="73">
    <w:abstractNumId w:val="44"/>
  </w:num>
  <w:num w:numId="74">
    <w:abstractNumId w:val="111"/>
  </w:num>
  <w:num w:numId="75">
    <w:abstractNumId w:val="78"/>
  </w:num>
  <w:num w:numId="76">
    <w:abstractNumId w:val="38"/>
  </w:num>
  <w:num w:numId="77">
    <w:abstractNumId w:val="125"/>
  </w:num>
  <w:num w:numId="78">
    <w:abstractNumId w:val="61"/>
  </w:num>
  <w:num w:numId="79">
    <w:abstractNumId w:val="30"/>
  </w:num>
  <w:num w:numId="80">
    <w:abstractNumId w:val="109"/>
  </w:num>
  <w:num w:numId="81">
    <w:abstractNumId w:val="170"/>
  </w:num>
  <w:num w:numId="82">
    <w:abstractNumId w:val="92"/>
  </w:num>
  <w:num w:numId="83">
    <w:abstractNumId w:val="104"/>
  </w:num>
  <w:num w:numId="84">
    <w:abstractNumId w:val="56"/>
  </w:num>
  <w:num w:numId="85">
    <w:abstractNumId w:val="27"/>
  </w:num>
  <w:num w:numId="86">
    <w:abstractNumId w:val="47"/>
  </w:num>
  <w:num w:numId="87">
    <w:abstractNumId w:val="152"/>
  </w:num>
  <w:num w:numId="88">
    <w:abstractNumId w:val="121"/>
  </w:num>
  <w:num w:numId="89">
    <w:abstractNumId w:val="160"/>
  </w:num>
  <w:num w:numId="90">
    <w:abstractNumId w:val="130"/>
  </w:num>
  <w:num w:numId="91">
    <w:abstractNumId w:val="22"/>
  </w:num>
  <w:num w:numId="92">
    <w:abstractNumId w:val="163"/>
  </w:num>
  <w:num w:numId="93">
    <w:abstractNumId w:val="164"/>
  </w:num>
  <w:num w:numId="94">
    <w:abstractNumId w:val="39"/>
  </w:num>
  <w:num w:numId="95">
    <w:abstractNumId w:val="71"/>
  </w:num>
  <w:num w:numId="96">
    <w:abstractNumId w:val="116"/>
  </w:num>
  <w:num w:numId="97">
    <w:abstractNumId w:val="83"/>
  </w:num>
  <w:num w:numId="98">
    <w:abstractNumId w:val="79"/>
  </w:num>
  <w:num w:numId="99">
    <w:abstractNumId w:val="89"/>
  </w:num>
  <w:num w:numId="100">
    <w:abstractNumId w:val="43"/>
  </w:num>
  <w:num w:numId="101">
    <w:abstractNumId w:val="63"/>
  </w:num>
  <w:num w:numId="102">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5"/>
  </w:num>
  <w:num w:numId="104">
    <w:abstractNumId w:val="110"/>
  </w:num>
  <w:num w:numId="105">
    <w:abstractNumId w:val="5"/>
  </w:num>
  <w:num w:numId="106">
    <w:abstractNumId w:val="64"/>
  </w:num>
  <w:num w:numId="107">
    <w:abstractNumId w:val="1"/>
  </w:num>
  <w:num w:numId="108">
    <w:abstractNumId w:val="146"/>
  </w:num>
  <w:num w:numId="109">
    <w:abstractNumId w:val="42"/>
  </w:num>
  <w:num w:numId="110">
    <w:abstractNumId w:val="37"/>
  </w:num>
  <w:num w:numId="111">
    <w:abstractNumId w:val="8"/>
  </w:num>
  <w:num w:numId="112">
    <w:abstractNumId w:val="94"/>
  </w:num>
  <w:num w:numId="113">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
  </w:num>
  <w:num w:numId="116">
    <w:abstractNumId w:val="41"/>
  </w:num>
  <w:num w:numId="117">
    <w:abstractNumId w:val="141"/>
  </w:num>
  <w:num w:numId="118">
    <w:abstractNumId w:val="135"/>
  </w:num>
  <w:num w:numId="119">
    <w:abstractNumId w:val="12"/>
  </w:num>
  <w:num w:numId="12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4"/>
  </w:num>
  <w:num w:numId="122">
    <w:abstractNumId w:val="35"/>
  </w:num>
  <w:num w:numId="123">
    <w:abstractNumId w:val="123"/>
  </w:num>
  <w:num w:numId="124">
    <w:abstractNumId w:val="98"/>
  </w:num>
  <w:num w:numId="125">
    <w:abstractNumId w:val="69"/>
  </w:num>
  <w:num w:numId="126">
    <w:abstractNumId w:val="80"/>
  </w:num>
  <w:num w:numId="127">
    <w:abstractNumId w:val="55"/>
  </w:num>
  <w:num w:numId="128">
    <w:abstractNumId w:val="48"/>
  </w:num>
  <w:num w:numId="129">
    <w:abstractNumId w:val="115"/>
  </w:num>
  <w:num w:numId="130">
    <w:abstractNumId w:val="81"/>
  </w:num>
  <w:num w:numId="131">
    <w:abstractNumId w:val="87"/>
  </w:num>
  <w:num w:numId="132">
    <w:abstractNumId w:val="167"/>
  </w:num>
  <w:num w:numId="133">
    <w:abstractNumId w:val="149"/>
  </w:num>
  <w:num w:numId="134">
    <w:abstractNumId w:val="145"/>
  </w:num>
  <w:num w:numId="135">
    <w:abstractNumId w:val="148"/>
  </w:num>
  <w:num w:numId="136">
    <w:abstractNumId w:val="26"/>
  </w:num>
  <w:num w:numId="137">
    <w:abstractNumId w:val="57"/>
  </w:num>
  <w:num w:numId="138">
    <w:abstractNumId w:val="138"/>
  </w:num>
  <w:num w:numId="139">
    <w:abstractNumId w:val="142"/>
  </w:num>
  <w:num w:numId="140">
    <w:abstractNumId w:val="45"/>
  </w:num>
  <w:num w:numId="141">
    <w:abstractNumId w:val="171"/>
  </w:num>
  <w:num w:numId="142">
    <w:abstractNumId w:val="151"/>
  </w:num>
  <w:num w:numId="143">
    <w:abstractNumId w:val="112"/>
  </w:num>
  <w:num w:numId="144">
    <w:abstractNumId w:val="54"/>
  </w:num>
  <w:num w:numId="145">
    <w:abstractNumId w:val="32"/>
  </w:num>
  <w:num w:numId="146">
    <w:abstractNumId w:val="40"/>
  </w:num>
  <w:num w:numId="147">
    <w:abstractNumId w:val="126"/>
  </w:num>
  <w:num w:numId="148">
    <w:abstractNumId w:val="50"/>
  </w:num>
  <w:num w:numId="149">
    <w:abstractNumId w:val="150"/>
  </w:num>
  <w:num w:numId="150">
    <w:abstractNumId w:val="101"/>
  </w:num>
  <w:num w:numId="151">
    <w:abstractNumId w:val="72"/>
  </w:num>
  <w:num w:numId="152">
    <w:abstractNumId w:val="36"/>
  </w:num>
  <w:num w:numId="153">
    <w:abstractNumId w:val="106"/>
  </w:num>
  <w:num w:numId="154">
    <w:abstractNumId w:val="113"/>
  </w:num>
  <w:num w:numId="155">
    <w:abstractNumId w:val="20"/>
  </w:num>
  <w:num w:numId="156">
    <w:abstractNumId w:val="25"/>
  </w:num>
  <w:num w:numId="157">
    <w:abstractNumId w:val="77"/>
  </w:num>
  <w:num w:numId="158">
    <w:abstractNumId w:val="6"/>
  </w:num>
  <w:num w:numId="159">
    <w:abstractNumId w:val="90"/>
  </w:num>
  <w:num w:numId="160">
    <w:abstractNumId w:val="156"/>
  </w:num>
  <w:num w:numId="161">
    <w:abstractNumId w:val="73"/>
  </w:num>
  <w:num w:numId="162">
    <w:abstractNumId w:val="84"/>
  </w:num>
  <w:num w:numId="163">
    <w:abstractNumId w:val="97"/>
  </w:num>
  <w:num w:numId="164">
    <w:abstractNumId w:val="134"/>
  </w:num>
  <w:num w:numId="165">
    <w:abstractNumId w:val="140"/>
  </w:num>
  <w:num w:numId="166">
    <w:abstractNumId w:val="154"/>
  </w:num>
  <w:num w:numId="167">
    <w:abstractNumId w:val="139"/>
  </w:num>
  <w:num w:numId="168">
    <w:abstractNumId w:val="31"/>
  </w:num>
  <w:num w:numId="169">
    <w:abstractNumId w:val="124"/>
  </w:num>
  <w:num w:numId="170">
    <w:abstractNumId w:val="120"/>
  </w:num>
  <w:num w:numId="171">
    <w:abstractNumId w:val="60"/>
  </w:num>
  <w:num w:numId="172">
    <w:abstractNumId w:val="144"/>
  </w:num>
  <w:num w:numId="173">
    <w:abstractNumId w:val="136"/>
  </w:num>
  <w:num w:numId="174">
    <w:abstractNumId w:val="82"/>
  </w:num>
  <w:num w:numId="175">
    <w:abstractNumId w:val="129"/>
  </w:num>
  <w:num w:numId="1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4NjYxOWRhZGU3ODY2NzE0YjE1ZWZlNDFmOTU2NTIifQ=="/>
  </w:docVars>
  <w:rsids>
    <w:rsidRoot w:val="00DB6333"/>
    <w:rsid w:val="00000095"/>
    <w:rsid w:val="00001540"/>
    <w:rsid w:val="000034A5"/>
    <w:rsid w:val="0000477E"/>
    <w:rsid w:val="0000560E"/>
    <w:rsid w:val="000056C6"/>
    <w:rsid w:val="00010CAB"/>
    <w:rsid w:val="00010CAF"/>
    <w:rsid w:val="00010CC0"/>
    <w:rsid w:val="00010E5F"/>
    <w:rsid w:val="00010E6F"/>
    <w:rsid w:val="00010EF6"/>
    <w:rsid w:val="00011650"/>
    <w:rsid w:val="000129F9"/>
    <w:rsid w:val="00013035"/>
    <w:rsid w:val="00013AE3"/>
    <w:rsid w:val="00013D3D"/>
    <w:rsid w:val="000147A6"/>
    <w:rsid w:val="00015DB1"/>
    <w:rsid w:val="00016122"/>
    <w:rsid w:val="00016FF0"/>
    <w:rsid w:val="000201E0"/>
    <w:rsid w:val="00021B19"/>
    <w:rsid w:val="0002265D"/>
    <w:rsid w:val="000226C7"/>
    <w:rsid w:val="0002285B"/>
    <w:rsid w:val="00024B87"/>
    <w:rsid w:val="00024D6F"/>
    <w:rsid w:val="00025DA8"/>
    <w:rsid w:val="00027638"/>
    <w:rsid w:val="000278F3"/>
    <w:rsid w:val="00030E40"/>
    <w:rsid w:val="00031D65"/>
    <w:rsid w:val="000330A6"/>
    <w:rsid w:val="000338C4"/>
    <w:rsid w:val="000354B8"/>
    <w:rsid w:val="00035584"/>
    <w:rsid w:val="00035892"/>
    <w:rsid w:val="00035B63"/>
    <w:rsid w:val="00035F47"/>
    <w:rsid w:val="000364B0"/>
    <w:rsid w:val="00036942"/>
    <w:rsid w:val="00036A3F"/>
    <w:rsid w:val="000374EA"/>
    <w:rsid w:val="000378C0"/>
    <w:rsid w:val="000400DF"/>
    <w:rsid w:val="0004278A"/>
    <w:rsid w:val="00042A5B"/>
    <w:rsid w:val="00042D12"/>
    <w:rsid w:val="0004459E"/>
    <w:rsid w:val="00047101"/>
    <w:rsid w:val="000517FE"/>
    <w:rsid w:val="0005225C"/>
    <w:rsid w:val="000523F1"/>
    <w:rsid w:val="0005359A"/>
    <w:rsid w:val="00053AB9"/>
    <w:rsid w:val="0005573A"/>
    <w:rsid w:val="00056566"/>
    <w:rsid w:val="00056C53"/>
    <w:rsid w:val="0006050B"/>
    <w:rsid w:val="000610A7"/>
    <w:rsid w:val="00063041"/>
    <w:rsid w:val="0006567D"/>
    <w:rsid w:val="000714B2"/>
    <w:rsid w:val="000726E4"/>
    <w:rsid w:val="0007387F"/>
    <w:rsid w:val="00073F6F"/>
    <w:rsid w:val="00074061"/>
    <w:rsid w:val="00074A63"/>
    <w:rsid w:val="0007504B"/>
    <w:rsid w:val="00076C13"/>
    <w:rsid w:val="00077B2B"/>
    <w:rsid w:val="00080EF4"/>
    <w:rsid w:val="00080FFB"/>
    <w:rsid w:val="000814BC"/>
    <w:rsid w:val="000815C3"/>
    <w:rsid w:val="00081BF3"/>
    <w:rsid w:val="00083AAD"/>
    <w:rsid w:val="00086A91"/>
    <w:rsid w:val="00087DC7"/>
    <w:rsid w:val="00091104"/>
    <w:rsid w:val="000941F1"/>
    <w:rsid w:val="00094F6C"/>
    <w:rsid w:val="00096C3C"/>
    <w:rsid w:val="000974B0"/>
    <w:rsid w:val="000A2AF5"/>
    <w:rsid w:val="000A2CDF"/>
    <w:rsid w:val="000A31AD"/>
    <w:rsid w:val="000A3A49"/>
    <w:rsid w:val="000A5AE2"/>
    <w:rsid w:val="000A6309"/>
    <w:rsid w:val="000A7FD9"/>
    <w:rsid w:val="000B0A33"/>
    <w:rsid w:val="000B0CF0"/>
    <w:rsid w:val="000B1941"/>
    <w:rsid w:val="000B21E6"/>
    <w:rsid w:val="000B3871"/>
    <w:rsid w:val="000B50A9"/>
    <w:rsid w:val="000B51EB"/>
    <w:rsid w:val="000B5A84"/>
    <w:rsid w:val="000B5FE5"/>
    <w:rsid w:val="000C3551"/>
    <w:rsid w:val="000C4084"/>
    <w:rsid w:val="000C4A57"/>
    <w:rsid w:val="000C5899"/>
    <w:rsid w:val="000C58E8"/>
    <w:rsid w:val="000C6962"/>
    <w:rsid w:val="000D0059"/>
    <w:rsid w:val="000D033B"/>
    <w:rsid w:val="000D063F"/>
    <w:rsid w:val="000D0E4E"/>
    <w:rsid w:val="000D10F1"/>
    <w:rsid w:val="000D127F"/>
    <w:rsid w:val="000D31CE"/>
    <w:rsid w:val="000D3DC1"/>
    <w:rsid w:val="000D4DFD"/>
    <w:rsid w:val="000D5D8E"/>
    <w:rsid w:val="000D5EAC"/>
    <w:rsid w:val="000D5F38"/>
    <w:rsid w:val="000D6496"/>
    <w:rsid w:val="000D6B67"/>
    <w:rsid w:val="000D6FDA"/>
    <w:rsid w:val="000D789C"/>
    <w:rsid w:val="000D7E68"/>
    <w:rsid w:val="000E0221"/>
    <w:rsid w:val="000E0729"/>
    <w:rsid w:val="000E14B4"/>
    <w:rsid w:val="000E1A72"/>
    <w:rsid w:val="000E1C19"/>
    <w:rsid w:val="000E2F1F"/>
    <w:rsid w:val="000E36BE"/>
    <w:rsid w:val="000E4C22"/>
    <w:rsid w:val="000E7038"/>
    <w:rsid w:val="000E75CF"/>
    <w:rsid w:val="000E7BA2"/>
    <w:rsid w:val="000F041B"/>
    <w:rsid w:val="000F1E53"/>
    <w:rsid w:val="000F22CD"/>
    <w:rsid w:val="000F267E"/>
    <w:rsid w:val="000F2CD9"/>
    <w:rsid w:val="000F31E2"/>
    <w:rsid w:val="000F3AE3"/>
    <w:rsid w:val="000F472B"/>
    <w:rsid w:val="000F5413"/>
    <w:rsid w:val="000F5A49"/>
    <w:rsid w:val="000F5C25"/>
    <w:rsid w:val="000F7366"/>
    <w:rsid w:val="00100263"/>
    <w:rsid w:val="00102367"/>
    <w:rsid w:val="00103FE3"/>
    <w:rsid w:val="00104A46"/>
    <w:rsid w:val="0011148C"/>
    <w:rsid w:val="001146F3"/>
    <w:rsid w:val="00117B83"/>
    <w:rsid w:val="00120B3B"/>
    <w:rsid w:val="00121718"/>
    <w:rsid w:val="00121F14"/>
    <w:rsid w:val="00122CFB"/>
    <w:rsid w:val="00126491"/>
    <w:rsid w:val="001270BC"/>
    <w:rsid w:val="00127D5C"/>
    <w:rsid w:val="00131617"/>
    <w:rsid w:val="001332E5"/>
    <w:rsid w:val="001349ED"/>
    <w:rsid w:val="0013509C"/>
    <w:rsid w:val="00135B38"/>
    <w:rsid w:val="00135CA3"/>
    <w:rsid w:val="00136BE5"/>
    <w:rsid w:val="00137F82"/>
    <w:rsid w:val="00140327"/>
    <w:rsid w:val="00141438"/>
    <w:rsid w:val="00141AAD"/>
    <w:rsid w:val="00142958"/>
    <w:rsid w:val="00142ADA"/>
    <w:rsid w:val="00143551"/>
    <w:rsid w:val="001441F7"/>
    <w:rsid w:val="00146BF2"/>
    <w:rsid w:val="00146DD2"/>
    <w:rsid w:val="001539D9"/>
    <w:rsid w:val="001542B9"/>
    <w:rsid w:val="00154A22"/>
    <w:rsid w:val="001555EB"/>
    <w:rsid w:val="00157F06"/>
    <w:rsid w:val="00160944"/>
    <w:rsid w:val="00161461"/>
    <w:rsid w:val="001617A0"/>
    <w:rsid w:val="0016208A"/>
    <w:rsid w:val="00164866"/>
    <w:rsid w:val="001666E3"/>
    <w:rsid w:val="00166716"/>
    <w:rsid w:val="0016690E"/>
    <w:rsid w:val="00166A4D"/>
    <w:rsid w:val="001676F4"/>
    <w:rsid w:val="0017068F"/>
    <w:rsid w:val="00172565"/>
    <w:rsid w:val="0017344B"/>
    <w:rsid w:val="001740EC"/>
    <w:rsid w:val="001748DE"/>
    <w:rsid w:val="001779D7"/>
    <w:rsid w:val="00177ABD"/>
    <w:rsid w:val="00177C4E"/>
    <w:rsid w:val="00177E9D"/>
    <w:rsid w:val="001808A4"/>
    <w:rsid w:val="00182F3C"/>
    <w:rsid w:val="001833C9"/>
    <w:rsid w:val="0018385F"/>
    <w:rsid w:val="00183B89"/>
    <w:rsid w:val="00183F03"/>
    <w:rsid w:val="00184468"/>
    <w:rsid w:val="001869BB"/>
    <w:rsid w:val="001873E4"/>
    <w:rsid w:val="00191165"/>
    <w:rsid w:val="0019117A"/>
    <w:rsid w:val="00192CFD"/>
    <w:rsid w:val="0019308E"/>
    <w:rsid w:val="00193138"/>
    <w:rsid w:val="00195299"/>
    <w:rsid w:val="00195687"/>
    <w:rsid w:val="0019686F"/>
    <w:rsid w:val="001A11D5"/>
    <w:rsid w:val="001A12ED"/>
    <w:rsid w:val="001A1562"/>
    <w:rsid w:val="001A1811"/>
    <w:rsid w:val="001A3076"/>
    <w:rsid w:val="001A31D8"/>
    <w:rsid w:val="001A5827"/>
    <w:rsid w:val="001B02FF"/>
    <w:rsid w:val="001B1846"/>
    <w:rsid w:val="001B3AE6"/>
    <w:rsid w:val="001B4DB2"/>
    <w:rsid w:val="001C01CB"/>
    <w:rsid w:val="001C02A4"/>
    <w:rsid w:val="001C09D1"/>
    <w:rsid w:val="001C0B5B"/>
    <w:rsid w:val="001C26C2"/>
    <w:rsid w:val="001C3837"/>
    <w:rsid w:val="001C44DB"/>
    <w:rsid w:val="001C495F"/>
    <w:rsid w:val="001C4F6F"/>
    <w:rsid w:val="001C60B3"/>
    <w:rsid w:val="001C68B9"/>
    <w:rsid w:val="001C708B"/>
    <w:rsid w:val="001C7329"/>
    <w:rsid w:val="001C7EB6"/>
    <w:rsid w:val="001D23AC"/>
    <w:rsid w:val="001D2A0D"/>
    <w:rsid w:val="001D2D5F"/>
    <w:rsid w:val="001D3B5A"/>
    <w:rsid w:val="001D4BAB"/>
    <w:rsid w:val="001D665F"/>
    <w:rsid w:val="001E3D19"/>
    <w:rsid w:val="001E4929"/>
    <w:rsid w:val="001E5352"/>
    <w:rsid w:val="001E6267"/>
    <w:rsid w:val="001E6413"/>
    <w:rsid w:val="001E685F"/>
    <w:rsid w:val="001E7ACD"/>
    <w:rsid w:val="001F092E"/>
    <w:rsid w:val="001F1347"/>
    <w:rsid w:val="001F21A2"/>
    <w:rsid w:val="001F27E9"/>
    <w:rsid w:val="001F4960"/>
    <w:rsid w:val="001F6293"/>
    <w:rsid w:val="001F69D8"/>
    <w:rsid w:val="001F724D"/>
    <w:rsid w:val="00200405"/>
    <w:rsid w:val="002010D7"/>
    <w:rsid w:val="00201E85"/>
    <w:rsid w:val="00202754"/>
    <w:rsid w:val="002035E9"/>
    <w:rsid w:val="0020403D"/>
    <w:rsid w:val="00205773"/>
    <w:rsid w:val="00212FFE"/>
    <w:rsid w:val="002152BF"/>
    <w:rsid w:val="00221A0A"/>
    <w:rsid w:val="002231C3"/>
    <w:rsid w:val="00232EF3"/>
    <w:rsid w:val="00236661"/>
    <w:rsid w:val="0023752B"/>
    <w:rsid w:val="00240959"/>
    <w:rsid w:val="00240C3B"/>
    <w:rsid w:val="00241228"/>
    <w:rsid w:val="00243CB1"/>
    <w:rsid w:val="00244CE7"/>
    <w:rsid w:val="00247BB7"/>
    <w:rsid w:val="002507A9"/>
    <w:rsid w:val="00250FD5"/>
    <w:rsid w:val="00251955"/>
    <w:rsid w:val="00252203"/>
    <w:rsid w:val="00253883"/>
    <w:rsid w:val="00255A86"/>
    <w:rsid w:val="00255E45"/>
    <w:rsid w:val="002569A1"/>
    <w:rsid w:val="00256E9B"/>
    <w:rsid w:val="002579B4"/>
    <w:rsid w:val="00262247"/>
    <w:rsid w:val="00265D84"/>
    <w:rsid w:val="002665C6"/>
    <w:rsid w:val="00266C61"/>
    <w:rsid w:val="00266EBE"/>
    <w:rsid w:val="00266F2A"/>
    <w:rsid w:val="0027031D"/>
    <w:rsid w:val="002708C1"/>
    <w:rsid w:val="00271731"/>
    <w:rsid w:val="00271AD6"/>
    <w:rsid w:val="00271C3D"/>
    <w:rsid w:val="00273ABA"/>
    <w:rsid w:val="00273B32"/>
    <w:rsid w:val="002742F0"/>
    <w:rsid w:val="00274FB9"/>
    <w:rsid w:val="00275E88"/>
    <w:rsid w:val="00275FE7"/>
    <w:rsid w:val="00276844"/>
    <w:rsid w:val="002768D1"/>
    <w:rsid w:val="00276A92"/>
    <w:rsid w:val="00276ABB"/>
    <w:rsid w:val="00277C2F"/>
    <w:rsid w:val="0028035C"/>
    <w:rsid w:val="002805E6"/>
    <w:rsid w:val="002814DD"/>
    <w:rsid w:val="00281631"/>
    <w:rsid w:val="00281923"/>
    <w:rsid w:val="002822F1"/>
    <w:rsid w:val="00282A63"/>
    <w:rsid w:val="0028551C"/>
    <w:rsid w:val="00285EDA"/>
    <w:rsid w:val="00290DD7"/>
    <w:rsid w:val="00291495"/>
    <w:rsid w:val="00291554"/>
    <w:rsid w:val="002918CD"/>
    <w:rsid w:val="002927E3"/>
    <w:rsid w:val="00295323"/>
    <w:rsid w:val="0029621D"/>
    <w:rsid w:val="00296EDC"/>
    <w:rsid w:val="00297335"/>
    <w:rsid w:val="00297520"/>
    <w:rsid w:val="002A01C2"/>
    <w:rsid w:val="002A05D3"/>
    <w:rsid w:val="002A3503"/>
    <w:rsid w:val="002A5059"/>
    <w:rsid w:val="002B0BAE"/>
    <w:rsid w:val="002B1D72"/>
    <w:rsid w:val="002B2588"/>
    <w:rsid w:val="002B2861"/>
    <w:rsid w:val="002B4374"/>
    <w:rsid w:val="002B49FB"/>
    <w:rsid w:val="002B5190"/>
    <w:rsid w:val="002B5BC7"/>
    <w:rsid w:val="002B6D9B"/>
    <w:rsid w:val="002B785D"/>
    <w:rsid w:val="002C073D"/>
    <w:rsid w:val="002C0807"/>
    <w:rsid w:val="002C0B4C"/>
    <w:rsid w:val="002C24A1"/>
    <w:rsid w:val="002C4906"/>
    <w:rsid w:val="002C4D22"/>
    <w:rsid w:val="002C5943"/>
    <w:rsid w:val="002C5B68"/>
    <w:rsid w:val="002C6B2D"/>
    <w:rsid w:val="002C6BDC"/>
    <w:rsid w:val="002C7227"/>
    <w:rsid w:val="002D2A33"/>
    <w:rsid w:val="002D34EB"/>
    <w:rsid w:val="002D35A2"/>
    <w:rsid w:val="002D5EA2"/>
    <w:rsid w:val="002D5FD4"/>
    <w:rsid w:val="002D7C1B"/>
    <w:rsid w:val="002E04B4"/>
    <w:rsid w:val="002E27C1"/>
    <w:rsid w:val="002F19A4"/>
    <w:rsid w:val="002F2749"/>
    <w:rsid w:val="002F29C8"/>
    <w:rsid w:val="002F3807"/>
    <w:rsid w:val="002F5B6A"/>
    <w:rsid w:val="003019B1"/>
    <w:rsid w:val="003036F2"/>
    <w:rsid w:val="003045C4"/>
    <w:rsid w:val="0030571A"/>
    <w:rsid w:val="00305D0F"/>
    <w:rsid w:val="00306DFA"/>
    <w:rsid w:val="00307D4C"/>
    <w:rsid w:val="00310271"/>
    <w:rsid w:val="00310A22"/>
    <w:rsid w:val="00313657"/>
    <w:rsid w:val="00314808"/>
    <w:rsid w:val="00316D0B"/>
    <w:rsid w:val="00322CA1"/>
    <w:rsid w:val="00324873"/>
    <w:rsid w:val="0032578E"/>
    <w:rsid w:val="00326329"/>
    <w:rsid w:val="00332FB7"/>
    <w:rsid w:val="00334A73"/>
    <w:rsid w:val="00335BB7"/>
    <w:rsid w:val="003438BD"/>
    <w:rsid w:val="00344A8E"/>
    <w:rsid w:val="00344EBA"/>
    <w:rsid w:val="00345A02"/>
    <w:rsid w:val="00346C7B"/>
    <w:rsid w:val="00346D8C"/>
    <w:rsid w:val="00347B74"/>
    <w:rsid w:val="00350286"/>
    <w:rsid w:val="003506CB"/>
    <w:rsid w:val="00351193"/>
    <w:rsid w:val="00351B37"/>
    <w:rsid w:val="003536C2"/>
    <w:rsid w:val="00353FFC"/>
    <w:rsid w:val="00356D04"/>
    <w:rsid w:val="00356E1E"/>
    <w:rsid w:val="00357089"/>
    <w:rsid w:val="003577A2"/>
    <w:rsid w:val="00360055"/>
    <w:rsid w:val="003610CB"/>
    <w:rsid w:val="00365878"/>
    <w:rsid w:val="00366C25"/>
    <w:rsid w:val="00367780"/>
    <w:rsid w:val="00367CAD"/>
    <w:rsid w:val="00370672"/>
    <w:rsid w:val="003744E3"/>
    <w:rsid w:val="00375025"/>
    <w:rsid w:val="00381521"/>
    <w:rsid w:val="00381A63"/>
    <w:rsid w:val="00383765"/>
    <w:rsid w:val="00383EF0"/>
    <w:rsid w:val="00384020"/>
    <w:rsid w:val="00384356"/>
    <w:rsid w:val="003855C5"/>
    <w:rsid w:val="0038561B"/>
    <w:rsid w:val="0038630B"/>
    <w:rsid w:val="00386334"/>
    <w:rsid w:val="00387121"/>
    <w:rsid w:val="00390857"/>
    <w:rsid w:val="0039122C"/>
    <w:rsid w:val="003915B8"/>
    <w:rsid w:val="00391855"/>
    <w:rsid w:val="00391CF9"/>
    <w:rsid w:val="00392F4A"/>
    <w:rsid w:val="00392F82"/>
    <w:rsid w:val="00394271"/>
    <w:rsid w:val="003964CB"/>
    <w:rsid w:val="00397E4A"/>
    <w:rsid w:val="003A0896"/>
    <w:rsid w:val="003A08C6"/>
    <w:rsid w:val="003A1A9F"/>
    <w:rsid w:val="003A3C48"/>
    <w:rsid w:val="003A4C0B"/>
    <w:rsid w:val="003A5D3F"/>
    <w:rsid w:val="003A78A8"/>
    <w:rsid w:val="003B16C5"/>
    <w:rsid w:val="003B2150"/>
    <w:rsid w:val="003B2443"/>
    <w:rsid w:val="003B2991"/>
    <w:rsid w:val="003B4551"/>
    <w:rsid w:val="003B5209"/>
    <w:rsid w:val="003B5B87"/>
    <w:rsid w:val="003C148C"/>
    <w:rsid w:val="003C31CE"/>
    <w:rsid w:val="003C5736"/>
    <w:rsid w:val="003C7112"/>
    <w:rsid w:val="003D03C1"/>
    <w:rsid w:val="003D4471"/>
    <w:rsid w:val="003D521B"/>
    <w:rsid w:val="003E0113"/>
    <w:rsid w:val="003E16C0"/>
    <w:rsid w:val="003E250A"/>
    <w:rsid w:val="003E3708"/>
    <w:rsid w:val="003E4F5A"/>
    <w:rsid w:val="003E5B37"/>
    <w:rsid w:val="003E64E6"/>
    <w:rsid w:val="003E660E"/>
    <w:rsid w:val="003F09C6"/>
    <w:rsid w:val="003F0C11"/>
    <w:rsid w:val="003F19E0"/>
    <w:rsid w:val="003F1ECA"/>
    <w:rsid w:val="003F3BFB"/>
    <w:rsid w:val="003F5EFD"/>
    <w:rsid w:val="003F7993"/>
    <w:rsid w:val="003F79DD"/>
    <w:rsid w:val="00400D16"/>
    <w:rsid w:val="00400D49"/>
    <w:rsid w:val="0040101F"/>
    <w:rsid w:val="00403811"/>
    <w:rsid w:val="004038C6"/>
    <w:rsid w:val="00403C14"/>
    <w:rsid w:val="00404DC7"/>
    <w:rsid w:val="00406423"/>
    <w:rsid w:val="00410798"/>
    <w:rsid w:val="004110B2"/>
    <w:rsid w:val="00412DA8"/>
    <w:rsid w:val="004159C3"/>
    <w:rsid w:val="00416713"/>
    <w:rsid w:val="0041693A"/>
    <w:rsid w:val="004169A1"/>
    <w:rsid w:val="0042267B"/>
    <w:rsid w:val="00423340"/>
    <w:rsid w:val="00424B0D"/>
    <w:rsid w:val="00424CD5"/>
    <w:rsid w:val="004267A1"/>
    <w:rsid w:val="00426D69"/>
    <w:rsid w:val="00430A64"/>
    <w:rsid w:val="00431994"/>
    <w:rsid w:val="00433C00"/>
    <w:rsid w:val="00433D58"/>
    <w:rsid w:val="00436457"/>
    <w:rsid w:val="00441E19"/>
    <w:rsid w:val="00442E5D"/>
    <w:rsid w:val="00443300"/>
    <w:rsid w:val="00444E49"/>
    <w:rsid w:val="0044505B"/>
    <w:rsid w:val="0044529C"/>
    <w:rsid w:val="00445802"/>
    <w:rsid w:val="00446ECF"/>
    <w:rsid w:val="004477BB"/>
    <w:rsid w:val="00452E08"/>
    <w:rsid w:val="00453B65"/>
    <w:rsid w:val="00456590"/>
    <w:rsid w:val="00461CDC"/>
    <w:rsid w:val="00461EF1"/>
    <w:rsid w:val="004621A9"/>
    <w:rsid w:val="00463AFE"/>
    <w:rsid w:val="00463D77"/>
    <w:rsid w:val="004642CD"/>
    <w:rsid w:val="004656B3"/>
    <w:rsid w:val="00465AC0"/>
    <w:rsid w:val="0046648D"/>
    <w:rsid w:val="00466C9E"/>
    <w:rsid w:val="00470B8C"/>
    <w:rsid w:val="00472EC7"/>
    <w:rsid w:val="00473037"/>
    <w:rsid w:val="004731F8"/>
    <w:rsid w:val="00474854"/>
    <w:rsid w:val="00475190"/>
    <w:rsid w:val="00475AE8"/>
    <w:rsid w:val="00476EC2"/>
    <w:rsid w:val="004774EC"/>
    <w:rsid w:val="00481A11"/>
    <w:rsid w:val="00481C40"/>
    <w:rsid w:val="00481DDD"/>
    <w:rsid w:val="0048231F"/>
    <w:rsid w:val="004827A5"/>
    <w:rsid w:val="0048361B"/>
    <w:rsid w:val="004849B4"/>
    <w:rsid w:val="004855DF"/>
    <w:rsid w:val="00485970"/>
    <w:rsid w:val="00485A47"/>
    <w:rsid w:val="00487068"/>
    <w:rsid w:val="00490670"/>
    <w:rsid w:val="00492F19"/>
    <w:rsid w:val="004931F8"/>
    <w:rsid w:val="00493DA8"/>
    <w:rsid w:val="00496AD5"/>
    <w:rsid w:val="004A055D"/>
    <w:rsid w:val="004A26F2"/>
    <w:rsid w:val="004A31F5"/>
    <w:rsid w:val="004A40A4"/>
    <w:rsid w:val="004A4354"/>
    <w:rsid w:val="004A64A3"/>
    <w:rsid w:val="004B0A2D"/>
    <w:rsid w:val="004B10F9"/>
    <w:rsid w:val="004B18A5"/>
    <w:rsid w:val="004B19BA"/>
    <w:rsid w:val="004B1D33"/>
    <w:rsid w:val="004B26A1"/>
    <w:rsid w:val="004B323A"/>
    <w:rsid w:val="004B3ED7"/>
    <w:rsid w:val="004B524D"/>
    <w:rsid w:val="004B6964"/>
    <w:rsid w:val="004B7E16"/>
    <w:rsid w:val="004C041B"/>
    <w:rsid w:val="004C0C9B"/>
    <w:rsid w:val="004C0D5D"/>
    <w:rsid w:val="004C1B63"/>
    <w:rsid w:val="004C26D0"/>
    <w:rsid w:val="004C28AA"/>
    <w:rsid w:val="004C32A0"/>
    <w:rsid w:val="004C3EE8"/>
    <w:rsid w:val="004C56D9"/>
    <w:rsid w:val="004C61D2"/>
    <w:rsid w:val="004C634A"/>
    <w:rsid w:val="004C656A"/>
    <w:rsid w:val="004C6E5D"/>
    <w:rsid w:val="004D073B"/>
    <w:rsid w:val="004D083A"/>
    <w:rsid w:val="004D0C98"/>
    <w:rsid w:val="004D2253"/>
    <w:rsid w:val="004D3A3F"/>
    <w:rsid w:val="004D4B42"/>
    <w:rsid w:val="004D65A1"/>
    <w:rsid w:val="004D74B8"/>
    <w:rsid w:val="004E09BD"/>
    <w:rsid w:val="004E103E"/>
    <w:rsid w:val="004E289E"/>
    <w:rsid w:val="004E3E45"/>
    <w:rsid w:val="004E4EDD"/>
    <w:rsid w:val="004E5E39"/>
    <w:rsid w:val="004E73AC"/>
    <w:rsid w:val="004F219C"/>
    <w:rsid w:val="004F68AA"/>
    <w:rsid w:val="004F75F4"/>
    <w:rsid w:val="00500B06"/>
    <w:rsid w:val="005011D4"/>
    <w:rsid w:val="0050224E"/>
    <w:rsid w:val="0050624F"/>
    <w:rsid w:val="0050676D"/>
    <w:rsid w:val="00506A0A"/>
    <w:rsid w:val="005079B8"/>
    <w:rsid w:val="0051201B"/>
    <w:rsid w:val="00513571"/>
    <w:rsid w:val="0051524A"/>
    <w:rsid w:val="005157C0"/>
    <w:rsid w:val="005170BB"/>
    <w:rsid w:val="00517488"/>
    <w:rsid w:val="00517F73"/>
    <w:rsid w:val="00523FF3"/>
    <w:rsid w:val="00524354"/>
    <w:rsid w:val="00526046"/>
    <w:rsid w:val="00526970"/>
    <w:rsid w:val="00526AEB"/>
    <w:rsid w:val="00527CAE"/>
    <w:rsid w:val="005305B1"/>
    <w:rsid w:val="00531842"/>
    <w:rsid w:val="00532452"/>
    <w:rsid w:val="00532F36"/>
    <w:rsid w:val="00534E3E"/>
    <w:rsid w:val="00535FCB"/>
    <w:rsid w:val="005360FE"/>
    <w:rsid w:val="00536663"/>
    <w:rsid w:val="00540D10"/>
    <w:rsid w:val="0054171F"/>
    <w:rsid w:val="00542370"/>
    <w:rsid w:val="00543656"/>
    <w:rsid w:val="0054387A"/>
    <w:rsid w:val="00544F83"/>
    <w:rsid w:val="00544FE2"/>
    <w:rsid w:val="005472E0"/>
    <w:rsid w:val="00550BE1"/>
    <w:rsid w:val="005518A8"/>
    <w:rsid w:val="00553047"/>
    <w:rsid w:val="00554C3B"/>
    <w:rsid w:val="005559E3"/>
    <w:rsid w:val="00557992"/>
    <w:rsid w:val="00560236"/>
    <w:rsid w:val="00560406"/>
    <w:rsid w:val="00560B14"/>
    <w:rsid w:val="00562150"/>
    <w:rsid w:val="0056261D"/>
    <w:rsid w:val="005631C5"/>
    <w:rsid w:val="00564BA2"/>
    <w:rsid w:val="0056592E"/>
    <w:rsid w:val="00571B31"/>
    <w:rsid w:val="00572589"/>
    <w:rsid w:val="00572870"/>
    <w:rsid w:val="00572F68"/>
    <w:rsid w:val="00575636"/>
    <w:rsid w:val="005775D7"/>
    <w:rsid w:val="005818DB"/>
    <w:rsid w:val="005862F2"/>
    <w:rsid w:val="00590CEE"/>
    <w:rsid w:val="005958E9"/>
    <w:rsid w:val="00596A0D"/>
    <w:rsid w:val="00596B1C"/>
    <w:rsid w:val="00596C13"/>
    <w:rsid w:val="005976C6"/>
    <w:rsid w:val="00597A89"/>
    <w:rsid w:val="00597DF7"/>
    <w:rsid w:val="005A10CA"/>
    <w:rsid w:val="005A2BA7"/>
    <w:rsid w:val="005A322D"/>
    <w:rsid w:val="005A3549"/>
    <w:rsid w:val="005A3C74"/>
    <w:rsid w:val="005A3D60"/>
    <w:rsid w:val="005A468F"/>
    <w:rsid w:val="005A483A"/>
    <w:rsid w:val="005A65A3"/>
    <w:rsid w:val="005A6B14"/>
    <w:rsid w:val="005A6E02"/>
    <w:rsid w:val="005A70E6"/>
    <w:rsid w:val="005A7187"/>
    <w:rsid w:val="005A77AF"/>
    <w:rsid w:val="005B1CE1"/>
    <w:rsid w:val="005B1DF1"/>
    <w:rsid w:val="005B24CE"/>
    <w:rsid w:val="005B4378"/>
    <w:rsid w:val="005B53E5"/>
    <w:rsid w:val="005B5E48"/>
    <w:rsid w:val="005B60F4"/>
    <w:rsid w:val="005B6651"/>
    <w:rsid w:val="005B6DD5"/>
    <w:rsid w:val="005B7EC9"/>
    <w:rsid w:val="005C02E9"/>
    <w:rsid w:val="005C0511"/>
    <w:rsid w:val="005C07BC"/>
    <w:rsid w:val="005C0DC2"/>
    <w:rsid w:val="005C1EA8"/>
    <w:rsid w:val="005C21EB"/>
    <w:rsid w:val="005C3178"/>
    <w:rsid w:val="005C4FB7"/>
    <w:rsid w:val="005C59A4"/>
    <w:rsid w:val="005C5D66"/>
    <w:rsid w:val="005C5FD1"/>
    <w:rsid w:val="005C68CD"/>
    <w:rsid w:val="005D08D0"/>
    <w:rsid w:val="005D0B83"/>
    <w:rsid w:val="005D4416"/>
    <w:rsid w:val="005D66FB"/>
    <w:rsid w:val="005D7DAF"/>
    <w:rsid w:val="005E26F8"/>
    <w:rsid w:val="005E3298"/>
    <w:rsid w:val="005E45D0"/>
    <w:rsid w:val="005E7B2C"/>
    <w:rsid w:val="005F0107"/>
    <w:rsid w:val="005F47EA"/>
    <w:rsid w:val="005F48A0"/>
    <w:rsid w:val="005F6F92"/>
    <w:rsid w:val="00600290"/>
    <w:rsid w:val="00600604"/>
    <w:rsid w:val="006019D3"/>
    <w:rsid w:val="00601CBC"/>
    <w:rsid w:val="006021AD"/>
    <w:rsid w:val="00602595"/>
    <w:rsid w:val="006026D2"/>
    <w:rsid w:val="00603307"/>
    <w:rsid w:val="00603A2F"/>
    <w:rsid w:val="0060543E"/>
    <w:rsid w:val="00605C2E"/>
    <w:rsid w:val="00606528"/>
    <w:rsid w:val="00606A10"/>
    <w:rsid w:val="006108C0"/>
    <w:rsid w:val="00611761"/>
    <w:rsid w:val="00611CEC"/>
    <w:rsid w:val="006141D8"/>
    <w:rsid w:val="00614EA3"/>
    <w:rsid w:val="00615866"/>
    <w:rsid w:val="006162B1"/>
    <w:rsid w:val="00616927"/>
    <w:rsid w:val="00616F34"/>
    <w:rsid w:val="006172B9"/>
    <w:rsid w:val="0062231D"/>
    <w:rsid w:val="006236CE"/>
    <w:rsid w:val="006251F7"/>
    <w:rsid w:val="006256D3"/>
    <w:rsid w:val="00625969"/>
    <w:rsid w:val="0062640E"/>
    <w:rsid w:val="00626857"/>
    <w:rsid w:val="006268DB"/>
    <w:rsid w:val="00632108"/>
    <w:rsid w:val="006321F6"/>
    <w:rsid w:val="0063240B"/>
    <w:rsid w:val="0063257A"/>
    <w:rsid w:val="0063603D"/>
    <w:rsid w:val="00636E7D"/>
    <w:rsid w:val="00641948"/>
    <w:rsid w:val="00642B48"/>
    <w:rsid w:val="00642BBD"/>
    <w:rsid w:val="00642F0E"/>
    <w:rsid w:val="00643581"/>
    <w:rsid w:val="0064376B"/>
    <w:rsid w:val="00645C62"/>
    <w:rsid w:val="00646731"/>
    <w:rsid w:val="00646831"/>
    <w:rsid w:val="00650209"/>
    <w:rsid w:val="00652210"/>
    <w:rsid w:val="00654FFB"/>
    <w:rsid w:val="0065632F"/>
    <w:rsid w:val="006575FA"/>
    <w:rsid w:val="006577FF"/>
    <w:rsid w:val="00660CA9"/>
    <w:rsid w:val="00660FAB"/>
    <w:rsid w:val="006619C3"/>
    <w:rsid w:val="00662087"/>
    <w:rsid w:val="006642DC"/>
    <w:rsid w:val="00665A74"/>
    <w:rsid w:val="00667988"/>
    <w:rsid w:val="00670BE7"/>
    <w:rsid w:val="006721B7"/>
    <w:rsid w:val="00672ACA"/>
    <w:rsid w:val="00673C8C"/>
    <w:rsid w:val="00675655"/>
    <w:rsid w:val="00675689"/>
    <w:rsid w:val="00676097"/>
    <w:rsid w:val="00676465"/>
    <w:rsid w:val="006776F5"/>
    <w:rsid w:val="00681F46"/>
    <w:rsid w:val="00683783"/>
    <w:rsid w:val="0068700F"/>
    <w:rsid w:val="00687247"/>
    <w:rsid w:val="0068738E"/>
    <w:rsid w:val="0069050D"/>
    <w:rsid w:val="0069213F"/>
    <w:rsid w:val="00692C89"/>
    <w:rsid w:val="0069428E"/>
    <w:rsid w:val="006948D1"/>
    <w:rsid w:val="00695663"/>
    <w:rsid w:val="006A002B"/>
    <w:rsid w:val="006A03FC"/>
    <w:rsid w:val="006A169B"/>
    <w:rsid w:val="006A20F2"/>
    <w:rsid w:val="006A374A"/>
    <w:rsid w:val="006A4011"/>
    <w:rsid w:val="006A5000"/>
    <w:rsid w:val="006B0319"/>
    <w:rsid w:val="006B0A83"/>
    <w:rsid w:val="006B236F"/>
    <w:rsid w:val="006B2ABD"/>
    <w:rsid w:val="006B4BBC"/>
    <w:rsid w:val="006B4E9A"/>
    <w:rsid w:val="006B5049"/>
    <w:rsid w:val="006B5C3C"/>
    <w:rsid w:val="006B5CF4"/>
    <w:rsid w:val="006B5DDE"/>
    <w:rsid w:val="006B659F"/>
    <w:rsid w:val="006B68AB"/>
    <w:rsid w:val="006B730D"/>
    <w:rsid w:val="006B7BD3"/>
    <w:rsid w:val="006C075E"/>
    <w:rsid w:val="006C0D66"/>
    <w:rsid w:val="006C162C"/>
    <w:rsid w:val="006C1732"/>
    <w:rsid w:val="006C388C"/>
    <w:rsid w:val="006C54AC"/>
    <w:rsid w:val="006C5B5F"/>
    <w:rsid w:val="006D0A60"/>
    <w:rsid w:val="006D2371"/>
    <w:rsid w:val="006D2574"/>
    <w:rsid w:val="006D2D1A"/>
    <w:rsid w:val="006D47C0"/>
    <w:rsid w:val="006D49C2"/>
    <w:rsid w:val="006D5716"/>
    <w:rsid w:val="006D6AE4"/>
    <w:rsid w:val="006E35A0"/>
    <w:rsid w:val="006E3C8A"/>
    <w:rsid w:val="006E5AA9"/>
    <w:rsid w:val="006E79DE"/>
    <w:rsid w:val="006F153C"/>
    <w:rsid w:val="006F1AB0"/>
    <w:rsid w:val="006F2E5B"/>
    <w:rsid w:val="006F48B0"/>
    <w:rsid w:val="006F5971"/>
    <w:rsid w:val="00700123"/>
    <w:rsid w:val="007068AE"/>
    <w:rsid w:val="00706E1B"/>
    <w:rsid w:val="00710B91"/>
    <w:rsid w:val="007133F7"/>
    <w:rsid w:val="007158E8"/>
    <w:rsid w:val="0072054F"/>
    <w:rsid w:val="00720833"/>
    <w:rsid w:val="00721E5F"/>
    <w:rsid w:val="00722807"/>
    <w:rsid w:val="007229CB"/>
    <w:rsid w:val="00722F40"/>
    <w:rsid w:val="007234DD"/>
    <w:rsid w:val="00723BB7"/>
    <w:rsid w:val="007246FD"/>
    <w:rsid w:val="0073438C"/>
    <w:rsid w:val="00736DFD"/>
    <w:rsid w:val="00737549"/>
    <w:rsid w:val="00740C72"/>
    <w:rsid w:val="0074276D"/>
    <w:rsid w:val="0074373C"/>
    <w:rsid w:val="007441C5"/>
    <w:rsid w:val="00744921"/>
    <w:rsid w:val="00745D39"/>
    <w:rsid w:val="00747736"/>
    <w:rsid w:val="00752A89"/>
    <w:rsid w:val="007540CC"/>
    <w:rsid w:val="00755276"/>
    <w:rsid w:val="007555E8"/>
    <w:rsid w:val="00755795"/>
    <w:rsid w:val="00755C38"/>
    <w:rsid w:val="007572BB"/>
    <w:rsid w:val="007572CB"/>
    <w:rsid w:val="0076135E"/>
    <w:rsid w:val="007625B1"/>
    <w:rsid w:val="007625D5"/>
    <w:rsid w:val="00764552"/>
    <w:rsid w:val="00765686"/>
    <w:rsid w:val="00766F3D"/>
    <w:rsid w:val="007679BF"/>
    <w:rsid w:val="0077024E"/>
    <w:rsid w:val="00775888"/>
    <w:rsid w:val="00776B2D"/>
    <w:rsid w:val="007771C4"/>
    <w:rsid w:val="00777899"/>
    <w:rsid w:val="007800B2"/>
    <w:rsid w:val="00780E82"/>
    <w:rsid w:val="00781811"/>
    <w:rsid w:val="00786563"/>
    <w:rsid w:val="007874B9"/>
    <w:rsid w:val="007932BE"/>
    <w:rsid w:val="0079357B"/>
    <w:rsid w:val="00793C92"/>
    <w:rsid w:val="007953DE"/>
    <w:rsid w:val="007960B1"/>
    <w:rsid w:val="007A23E4"/>
    <w:rsid w:val="007A37F3"/>
    <w:rsid w:val="007A3C21"/>
    <w:rsid w:val="007A5D1A"/>
    <w:rsid w:val="007A6502"/>
    <w:rsid w:val="007A6C60"/>
    <w:rsid w:val="007A7001"/>
    <w:rsid w:val="007B54DC"/>
    <w:rsid w:val="007B5783"/>
    <w:rsid w:val="007B5D68"/>
    <w:rsid w:val="007B6DCA"/>
    <w:rsid w:val="007C5C47"/>
    <w:rsid w:val="007C7632"/>
    <w:rsid w:val="007D03DD"/>
    <w:rsid w:val="007D3146"/>
    <w:rsid w:val="007D3C8B"/>
    <w:rsid w:val="007D4036"/>
    <w:rsid w:val="007D476F"/>
    <w:rsid w:val="007D4A50"/>
    <w:rsid w:val="007D4EFF"/>
    <w:rsid w:val="007D4F3D"/>
    <w:rsid w:val="007D6286"/>
    <w:rsid w:val="007D6633"/>
    <w:rsid w:val="007E1525"/>
    <w:rsid w:val="007E1C28"/>
    <w:rsid w:val="007E1E20"/>
    <w:rsid w:val="007E2D65"/>
    <w:rsid w:val="007E33DB"/>
    <w:rsid w:val="007E55C2"/>
    <w:rsid w:val="007F3AA3"/>
    <w:rsid w:val="007F4151"/>
    <w:rsid w:val="007F70D0"/>
    <w:rsid w:val="007F7304"/>
    <w:rsid w:val="007F767D"/>
    <w:rsid w:val="007F7B30"/>
    <w:rsid w:val="008007DF"/>
    <w:rsid w:val="008015BC"/>
    <w:rsid w:val="008020BF"/>
    <w:rsid w:val="00802ECF"/>
    <w:rsid w:val="008031E8"/>
    <w:rsid w:val="00803FAB"/>
    <w:rsid w:val="008045C5"/>
    <w:rsid w:val="00804F3B"/>
    <w:rsid w:val="0080619F"/>
    <w:rsid w:val="008067F6"/>
    <w:rsid w:val="00807C1C"/>
    <w:rsid w:val="00811B3F"/>
    <w:rsid w:val="00812D6B"/>
    <w:rsid w:val="00815192"/>
    <w:rsid w:val="00815A4C"/>
    <w:rsid w:val="0081665B"/>
    <w:rsid w:val="00820E95"/>
    <w:rsid w:val="0082144F"/>
    <w:rsid w:val="0082314A"/>
    <w:rsid w:val="0082344D"/>
    <w:rsid w:val="008238D5"/>
    <w:rsid w:val="008256FE"/>
    <w:rsid w:val="00825EE3"/>
    <w:rsid w:val="0082630D"/>
    <w:rsid w:val="00826D37"/>
    <w:rsid w:val="008305B5"/>
    <w:rsid w:val="008312C6"/>
    <w:rsid w:val="00831476"/>
    <w:rsid w:val="00832180"/>
    <w:rsid w:val="00832670"/>
    <w:rsid w:val="00834F04"/>
    <w:rsid w:val="00835758"/>
    <w:rsid w:val="0083594D"/>
    <w:rsid w:val="00837243"/>
    <w:rsid w:val="00841457"/>
    <w:rsid w:val="00841737"/>
    <w:rsid w:val="00841885"/>
    <w:rsid w:val="00843BA2"/>
    <w:rsid w:val="00843CE8"/>
    <w:rsid w:val="00846099"/>
    <w:rsid w:val="00846753"/>
    <w:rsid w:val="00847CE0"/>
    <w:rsid w:val="00847FEB"/>
    <w:rsid w:val="00850714"/>
    <w:rsid w:val="00850E9F"/>
    <w:rsid w:val="00852320"/>
    <w:rsid w:val="008541CD"/>
    <w:rsid w:val="008545E6"/>
    <w:rsid w:val="00854C30"/>
    <w:rsid w:val="00857F98"/>
    <w:rsid w:val="008616E3"/>
    <w:rsid w:val="00861A6B"/>
    <w:rsid w:val="00862CCC"/>
    <w:rsid w:val="008632DB"/>
    <w:rsid w:val="0086439C"/>
    <w:rsid w:val="00864761"/>
    <w:rsid w:val="00865AC9"/>
    <w:rsid w:val="00870F68"/>
    <w:rsid w:val="00871A85"/>
    <w:rsid w:val="008723EF"/>
    <w:rsid w:val="00873CD8"/>
    <w:rsid w:val="008744E0"/>
    <w:rsid w:val="008749B1"/>
    <w:rsid w:val="008761CC"/>
    <w:rsid w:val="00877835"/>
    <w:rsid w:val="0088007F"/>
    <w:rsid w:val="00880088"/>
    <w:rsid w:val="00880D6D"/>
    <w:rsid w:val="00880DF1"/>
    <w:rsid w:val="008810F9"/>
    <w:rsid w:val="0088141C"/>
    <w:rsid w:val="0088192F"/>
    <w:rsid w:val="00881FD0"/>
    <w:rsid w:val="008830E0"/>
    <w:rsid w:val="00883140"/>
    <w:rsid w:val="0088615C"/>
    <w:rsid w:val="00886276"/>
    <w:rsid w:val="00887040"/>
    <w:rsid w:val="00887364"/>
    <w:rsid w:val="00887639"/>
    <w:rsid w:val="00887E97"/>
    <w:rsid w:val="0089189E"/>
    <w:rsid w:val="00891E9C"/>
    <w:rsid w:val="008931FD"/>
    <w:rsid w:val="0089370D"/>
    <w:rsid w:val="00895CDC"/>
    <w:rsid w:val="00896C7F"/>
    <w:rsid w:val="0089777E"/>
    <w:rsid w:val="00897C8A"/>
    <w:rsid w:val="008A07B4"/>
    <w:rsid w:val="008A596F"/>
    <w:rsid w:val="008A6F79"/>
    <w:rsid w:val="008B09CF"/>
    <w:rsid w:val="008B2A40"/>
    <w:rsid w:val="008B33A6"/>
    <w:rsid w:val="008B3A75"/>
    <w:rsid w:val="008B3B59"/>
    <w:rsid w:val="008B567C"/>
    <w:rsid w:val="008B6020"/>
    <w:rsid w:val="008B627F"/>
    <w:rsid w:val="008B653B"/>
    <w:rsid w:val="008B6B7A"/>
    <w:rsid w:val="008C0776"/>
    <w:rsid w:val="008C1011"/>
    <w:rsid w:val="008C1BFF"/>
    <w:rsid w:val="008C4185"/>
    <w:rsid w:val="008C55B5"/>
    <w:rsid w:val="008C59A7"/>
    <w:rsid w:val="008C60BF"/>
    <w:rsid w:val="008C6A2C"/>
    <w:rsid w:val="008C6D10"/>
    <w:rsid w:val="008C768E"/>
    <w:rsid w:val="008C792A"/>
    <w:rsid w:val="008D1077"/>
    <w:rsid w:val="008D272D"/>
    <w:rsid w:val="008D3BB2"/>
    <w:rsid w:val="008D5CA8"/>
    <w:rsid w:val="008D6385"/>
    <w:rsid w:val="008D6471"/>
    <w:rsid w:val="008D7927"/>
    <w:rsid w:val="008E152A"/>
    <w:rsid w:val="008E1895"/>
    <w:rsid w:val="008E2299"/>
    <w:rsid w:val="008E2662"/>
    <w:rsid w:val="008E2AC8"/>
    <w:rsid w:val="008F08C2"/>
    <w:rsid w:val="008F24BE"/>
    <w:rsid w:val="008F42CC"/>
    <w:rsid w:val="008F6A53"/>
    <w:rsid w:val="008F76E2"/>
    <w:rsid w:val="008F7BA1"/>
    <w:rsid w:val="00900C11"/>
    <w:rsid w:val="00900D7D"/>
    <w:rsid w:val="009024CA"/>
    <w:rsid w:val="009049C9"/>
    <w:rsid w:val="0090700D"/>
    <w:rsid w:val="00907A97"/>
    <w:rsid w:val="00907BFB"/>
    <w:rsid w:val="00910770"/>
    <w:rsid w:val="0091298D"/>
    <w:rsid w:val="00912E8F"/>
    <w:rsid w:val="009132CF"/>
    <w:rsid w:val="00913505"/>
    <w:rsid w:val="00914AB9"/>
    <w:rsid w:val="009154D6"/>
    <w:rsid w:val="00915FFE"/>
    <w:rsid w:val="00917C6E"/>
    <w:rsid w:val="00923C00"/>
    <w:rsid w:val="00925526"/>
    <w:rsid w:val="0092571B"/>
    <w:rsid w:val="0092651F"/>
    <w:rsid w:val="009276AB"/>
    <w:rsid w:val="009301F5"/>
    <w:rsid w:val="00931139"/>
    <w:rsid w:val="0093175C"/>
    <w:rsid w:val="009321A6"/>
    <w:rsid w:val="00932F79"/>
    <w:rsid w:val="009331D3"/>
    <w:rsid w:val="009344DB"/>
    <w:rsid w:val="00934724"/>
    <w:rsid w:val="009352F7"/>
    <w:rsid w:val="00935E31"/>
    <w:rsid w:val="009370CD"/>
    <w:rsid w:val="00937957"/>
    <w:rsid w:val="00937BEB"/>
    <w:rsid w:val="00937C11"/>
    <w:rsid w:val="00937FDD"/>
    <w:rsid w:val="009403C8"/>
    <w:rsid w:val="00941249"/>
    <w:rsid w:val="009415F9"/>
    <w:rsid w:val="00941D42"/>
    <w:rsid w:val="00942A3D"/>
    <w:rsid w:val="009439A8"/>
    <w:rsid w:val="00943A02"/>
    <w:rsid w:val="009460E2"/>
    <w:rsid w:val="00947BE4"/>
    <w:rsid w:val="00950500"/>
    <w:rsid w:val="0095155B"/>
    <w:rsid w:val="00951747"/>
    <w:rsid w:val="00952563"/>
    <w:rsid w:val="00952DC1"/>
    <w:rsid w:val="009536B5"/>
    <w:rsid w:val="009545CF"/>
    <w:rsid w:val="00955414"/>
    <w:rsid w:val="00956D24"/>
    <w:rsid w:val="009575DF"/>
    <w:rsid w:val="00960BB7"/>
    <w:rsid w:val="00961614"/>
    <w:rsid w:val="0096203E"/>
    <w:rsid w:val="00962388"/>
    <w:rsid w:val="0096566B"/>
    <w:rsid w:val="00966295"/>
    <w:rsid w:val="00966BDB"/>
    <w:rsid w:val="00966C9C"/>
    <w:rsid w:val="009675ED"/>
    <w:rsid w:val="00967657"/>
    <w:rsid w:val="0097117B"/>
    <w:rsid w:val="0097145C"/>
    <w:rsid w:val="00971496"/>
    <w:rsid w:val="009727CB"/>
    <w:rsid w:val="00974BCA"/>
    <w:rsid w:val="00974D84"/>
    <w:rsid w:val="00975005"/>
    <w:rsid w:val="009752B8"/>
    <w:rsid w:val="00975BB6"/>
    <w:rsid w:val="00975D5A"/>
    <w:rsid w:val="009770B3"/>
    <w:rsid w:val="00977BFF"/>
    <w:rsid w:val="00977D33"/>
    <w:rsid w:val="00980121"/>
    <w:rsid w:val="00980521"/>
    <w:rsid w:val="0098054E"/>
    <w:rsid w:val="00980F71"/>
    <w:rsid w:val="009815C5"/>
    <w:rsid w:val="009848D4"/>
    <w:rsid w:val="00984A77"/>
    <w:rsid w:val="00985C0B"/>
    <w:rsid w:val="00985C6E"/>
    <w:rsid w:val="009877C7"/>
    <w:rsid w:val="009907C7"/>
    <w:rsid w:val="00990920"/>
    <w:rsid w:val="009909EF"/>
    <w:rsid w:val="00991062"/>
    <w:rsid w:val="009920DE"/>
    <w:rsid w:val="00994554"/>
    <w:rsid w:val="009950C3"/>
    <w:rsid w:val="00996716"/>
    <w:rsid w:val="00996A72"/>
    <w:rsid w:val="0099724E"/>
    <w:rsid w:val="009973DF"/>
    <w:rsid w:val="0099762B"/>
    <w:rsid w:val="00997A88"/>
    <w:rsid w:val="009A164C"/>
    <w:rsid w:val="009A2206"/>
    <w:rsid w:val="009A2B1A"/>
    <w:rsid w:val="009A3EDB"/>
    <w:rsid w:val="009A3EEB"/>
    <w:rsid w:val="009A400E"/>
    <w:rsid w:val="009A5675"/>
    <w:rsid w:val="009A6B54"/>
    <w:rsid w:val="009A7AC2"/>
    <w:rsid w:val="009A7D1F"/>
    <w:rsid w:val="009B0555"/>
    <w:rsid w:val="009B0F08"/>
    <w:rsid w:val="009B1D1F"/>
    <w:rsid w:val="009B1DF7"/>
    <w:rsid w:val="009B637E"/>
    <w:rsid w:val="009C0A50"/>
    <w:rsid w:val="009C0D56"/>
    <w:rsid w:val="009C1B4C"/>
    <w:rsid w:val="009C20C6"/>
    <w:rsid w:val="009C3A53"/>
    <w:rsid w:val="009C4914"/>
    <w:rsid w:val="009C4A16"/>
    <w:rsid w:val="009C7287"/>
    <w:rsid w:val="009D012A"/>
    <w:rsid w:val="009D573B"/>
    <w:rsid w:val="009D6504"/>
    <w:rsid w:val="009D69B6"/>
    <w:rsid w:val="009D6C8A"/>
    <w:rsid w:val="009D7D4A"/>
    <w:rsid w:val="009E6EAA"/>
    <w:rsid w:val="009E7074"/>
    <w:rsid w:val="009F1113"/>
    <w:rsid w:val="009F2F95"/>
    <w:rsid w:val="009F37FD"/>
    <w:rsid w:val="009F5765"/>
    <w:rsid w:val="009F63E6"/>
    <w:rsid w:val="009F6869"/>
    <w:rsid w:val="009F6A44"/>
    <w:rsid w:val="00A01180"/>
    <w:rsid w:val="00A04963"/>
    <w:rsid w:val="00A04CCD"/>
    <w:rsid w:val="00A07DDF"/>
    <w:rsid w:val="00A1048A"/>
    <w:rsid w:val="00A107F7"/>
    <w:rsid w:val="00A107FA"/>
    <w:rsid w:val="00A11256"/>
    <w:rsid w:val="00A11A5D"/>
    <w:rsid w:val="00A127BE"/>
    <w:rsid w:val="00A135FB"/>
    <w:rsid w:val="00A13ACA"/>
    <w:rsid w:val="00A1432B"/>
    <w:rsid w:val="00A14C79"/>
    <w:rsid w:val="00A151FB"/>
    <w:rsid w:val="00A173E0"/>
    <w:rsid w:val="00A17DC9"/>
    <w:rsid w:val="00A200EB"/>
    <w:rsid w:val="00A208A1"/>
    <w:rsid w:val="00A208F8"/>
    <w:rsid w:val="00A26B8A"/>
    <w:rsid w:val="00A32DED"/>
    <w:rsid w:val="00A34FFA"/>
    <w:rsid w:val="00A36413"/>
    <w:rsid w:val="00A407AD"/>
    <w:rsid w:val="00A40891"/>
    <w:rsid w:val="00A410BF"/>
    <w:rsid w:val="00A42992"/>
    <w:rsid w:val="00A4303D"/>
    <w:rsid w:val="00A462AF"/>
    <w:rsid w:val="00A479E0"/>
    <w:rsid w:val="00A519CF"/>
    <w:rsid w:val="00A528EB"/>
    <w:rsid w:val="00A5364E"/>
    <w:rsid w:val="00A536A0"/>
    <w:rsid w:val="00A54D80"/>
    <w:rsid w:val="00A54E57"/>
    <w:rsid w:val="00A55353"/>
    <w:rsid w:val="00A55DB1"/>
    <w:rsid w:val="00A5667C"/>
    <w:rsid w:val="00A62401"/>
    <w:rsid w:val="00A6397F"/>
    <w:rsid w:val="00A65A3A"/>
    <w:rsid w:val="00A65F2A"/>
    <w:rsid w:val="00A6756E"/>
    <w:rsid w:val="00A7286F"/>
    <w:rsid w:val="00A72E3F"/>
    <w:rsid w:val="00A72F18"/>
    <w:rsid w:val="00A745C5"/>
    <w:rsid w:val="00A74DEC"/>
    <w:rsid w:val="00A750F6"/>
    <w:rsid w:val="00A7521B"/>
    <w:rsid w:val="00A7752C"/>
    <w:rsid w:val="00A77A2B"/>
    <w:rsid w:val="00A77EAE"/>
    <w:rsid w:val="00A819D4"/>
    <w:rsid w:val="00A8368D"/>
    <w:rsid w:val="00A841DE"/>
    <w:rsid w:val="00A86529"/>
    <w:rsid w:val="00A86FFC"/>
    <w:rsid w:val="00A90D69"/>
    <w:rsid w:val="00A9215C"/>
    <w:rsid w:val="00A92C65"/>
    <w:rsid w:val="00A92EED"/>
    <w:rsid w:val="00A93530"/>
    <w:rsid w:val="00A95ACA"/>
    <w:rsid w:val="00AA3150"/>
    <w:rsid w:val="00AA3310"/>
    <w:rsid w:val="00AA3327"/>
    <w:rsid w:val="00AA37ED"/>
    <w:rsid w:val="00AA44E9"/>
    <w:rsid w:val="00AA4688"/>
    <w:rsid w:val="00AA7782"/>
    <w:rsid w:val="00AB0C49"/>
    <w:rsid w:val="00AB6E21"/>
    <w:rsid w:val="00AC0F38"/>
    <w:rsid w:val="00AC183C"/>
    <w:rsid w:val="00AC1CF8"/>
    <w:rsid w:val="00AC2B22"/>
    <w:rsid w:val="00AC2F9D"/>
    <w:rsid w:val="00AC3E21"/>
    <w:rsid w:val="00AC4A03"/>
    <w:rsid w:val="00AC60E2"/>
    <w:rsid w:val="00AC6319"/>
    <w:rsid w:val="00AC6892"/>
    <w:rsid w:val="00AC78C9"/>
    <w:rsid w:val="00AD12CD"/>
    <w:rsid w:val="00AD1E4B"/>
    <w:rsid w:val="00AD3D7C"/>
    <w:rsid w:val="00AD4A38"/>
    <w:rsid w:val="00AD6557"/>
    <w:rsid w:val="00AD6FE4"/>
    <w:rsid w:val="00AD72C8"/>
    <w:rsid w:val="00AD78FE"/>
    <w:rsid w:val="00AE1A81"/>
    <w:rsid w:val="00AE2200"/>
    <w:rsid w:val="00AE3E3F"/>
    <w:rsid w:val="00AE429E"/>
    <w:rsid w:val="00AE56D2"/>
    <w:rsid w:val="00AE58BF"/>
    <w:rsid w:val="00AE5DB3"/>
    <w:rsid w:val="00AE6EB4"/>
    <w:rsid w:val="00AF0D52"/>
    <w:rsid w:val="00AF50F0"/>
    <w:rsid w:val="00B028B4"/>
    <w:rsid w:val="00B02C9A"/>
    <w:rsid w:val="00B0325C"/>
    <w:rsid w:val="00B05CC1"/>
    <w:rsid w:val="00B060BF"/>
    <w:rsid w:val="00B0641E"/>
    <w:rsid w:val="00B06BEF"/>
    <w:rsid w:val="00B077D7"/>
    <w:rsid w:val="00B111F9"/>
    <w:rsid w:val="00B11480"/>
    <w:rsid w:val="00B13125"/>
    <w:rsid w:val="00B172DC"/>
    <w:rsid w:val="00B176DD"/>
    <w:rsid w:val="00B21175"/>
    <w:rsid w:val="00B22A0D"/>
    <w:rsid w:val="00B22FED"/>
    <w:rsid w:val="00B239AD"/>
    <w:rsid w:val="00B239ED"/>
    <w:rsid w:val="00B24214"/>
    <w:rsid w:val="00B24687"/>
    <w:rsid w:val="00B274DB"/>
    <w:rsid w:val="00B300EE"/>
    <w:rsid w:val="00B317A8"/>
    <w:rsid w:val="00B3374C"/>
    <w:rsid w:val="00B35050"/>
    <w:rsid w:val="00B35C40"/>
    <w:rsid w:val="00B361AE"/>
    <w:rsid w:val="00B36D6D"/>
    <w:rsid w:val="00B36EB2"/>
    <w:rsid w:val="00B4014F"/>
    <w:rsid w:val="00B41639"/>
    <w:rsid w:val="00B42F28"/>
    <w:rsid w:val="00B441D7"/>
    <w:rsid w:val="00B461DA"/>
    <w:rsid w:val="00B46BC4"/>
    <w:rsid w:val="00B51C18"/>
    <w:rsid w:val="00B51EEE"/>
    <w:rsid w:val="00B52591"/>
    <w:rsid w:val="00B53F05"/>
    <w:rsid w:val="00B53F2B"/>
    <w:rsid w:val="00B55934"/>
    <w:rsid w:val="00B56E33"/>
    <w:rsid w:val="00B57E54"/>
    <w:rsid w:val="00B61FE0"/>
    <w:rsid w:val="00B62135"/>
    <w:rsid w:val="00B62968"/>
    <w:rsid w:val="00B635A5"/>
    <w:rsid w:val="00B63A08"/>
    <w:rsid w:val="00B6720F"/>
    <w:rsid w:val="00B67E8C"/>
    <w:rsid w:val="00B719D0"/>
    <w:rsid w:val="00B72253"/>
    <w:rsid w:val="00B73EE9"/>
    <w:rsid w:val="00B77DD8"/>
    <w:rsid w:val="00B81DB5"/>
    <w:rsid w:val="00B81EA3"/>
    <w:rsid w:val="00B82021"/>
    <w:rsid w:val="00B828C3"/>
    <w:rsid w:val="00B840E6"/>
    <w:rsid w:val="00B84AA2"/>
    <w:rsid w:val="00B84BF3"/>
    <w:rsid w:val="00B84C65"/>
    <w:rsid w:val="00B852A2"/>
    <w:rsid w:val="00B85662"/>
    <w:rsid w:val="00B85D94"/>
    <w:rsid w:val="00B8636B"/>
    <w:rsid w:val="00B90ABC"/>
    <w:rsid w:val="00B93277"/>
    <w:rsid w:val="00B949E6"/>
    <w:rsid w:val="00B97FDE"/>
    <w:rsid w:val="00BA16FB"/>
    <w:rsid w:val="00BA1F3A"/>
    <w:rsid w:val="00BA1FFA"/>
    <w:rsid w:val="00BA2304"/>
    <w:rsid w:val="00BA3978"/>
    <w:rsid w:val="00BA4B87"/>
    <w:rsid w:val="00BA5590"/>
    <w:rsid w:val="00BA63B3"/>
    <w:rsid w:val="00BA79C2"/>
    <w:rsid w:val="00BA79C8"/>
    <w:rsid w:val="00BB1099"/>
    <w:rsid w:val="00BB132D"/>
    <w:rsid w:val="00BB3494"/>
    <w:rsid w:val="00BB3885"/>
    <w:rsid w:val="00BB4F4B"/>
    <w:rsid w:val="00BB5775"/>
    <w:rsid w:val="00BB6F26"/>
    <w:rsid w:val="00BC09BE"/>
    <w:rsid w:val="00BC0D51"/>
    <w:rsid w:val="00BC12DE"/>
    <w:rsid w:val="00BC173F"/>
    <w:rsid w:val="00BC1779"/>
    <w:rsid w:val="00BC4F57"/>
    <w:rsid w:val="00BC5232"/>
    <w:rsid w:val="00BC5ED3"/>
    <w:rsid w:val="00BC7693"/>
    <w:rsid w:val="00BD3991"/>
    <w:rsid w:val="00BD405D"/>
    <w:rsid w:val="00BD4676"/>
    <w:rsid w:val="00BD64F8"/>
    <w:rsid w:val="00BD6FF6"/>
    <w:rsid w:val="00BD707D"/>
    <w:rsid w:val="00BD76C6"/>
    <w:rsid w:val="00BE051F"/>
    <w:rsid w:val="00BE1EA2"/>
    <w:rsid w:val="00BE2609"/>
    <w:rsid w:val="00BE27B7"/>
    <w:rsid w:val="00BE37B6"/>
    <w:rsid w:val="00BE5121"/>
    <w:rsid w:val="00BE7C41"/>
    <w:rsid w:val="00BF05CD"/>
    <w:rsid w:val="00BF0C57"/>
    <w:rsid w:val="00BF16A3"/>
    <w:rsid w:val="00BF1A1A"/>
    <w:rsid w:val="00BF3BDC"/>
    <w:rsid w:val="00BF4E50"/>
    <w:rsid w:val="00BF5D8A"/>
    <w:rsid w:val="00BF5D91"/>
    <w:rsid w:val="00BF7A24"/>
    <w:rsid w:val="00C00CAA"/>
    <w:rsid w:val="00C024C2"/>
    <w:rsid w:val="00C0254D"/>
    <w:rsid w:val="00C03350"/>
    <w:rsid w:val="00C043F1"/>
    <w:rsid w:val="00C04594"/>
    <w:rsid w:val="00C06618"/>
    <w:rsid w:val="00C07102"/>
    <w:rsid w:val="00C109D3"/>
    <w:rsid w:val="00C1122B"/>
    <w:rsid w:val="00C12D94"/>
    <w:rsid w:val="00C13560"/>
    <w:rsid w:val="00C14B80"/>
    <w:rsid w:val="00C15018"/>
    <w:rsid w:val="00C1591C"/>
    <w:rsid w:val="00C160DE"/>
    <w:rsid w:val="00C16CAF"/>
    <w:rsid w:val="00C2061A"/>
    <w:rsid w:val="00C22341"/>
    <w:rsid w:val="00C23595"/>
    <w:rsid w:val="00C2393A"/>
    <w:rsid w:val="00C25BE7"/>
    <w:rsid w:val="00C31443"/>
    <w:rsid w:val="00C31E5B"/>
    <w:rsid w:val="00C32539"/>
    <w:rsid w:val="00C335C5"/>
    <w:rsid w:val="00C3379D"/>
    <w:rsid w:val="00C34420"/>
    <w:rsid w:val="00C354C7"/>
    <w:rsid w:val="00C365A3"/>
    <w:rsid w:val="00C40BEB"/>
    <w:rsid w:val="00C41249"/>
    <w:rsid w:val="00C45557"/>
    <w:rsid w:val="00C45B02"/>
    <w:rsid w:val="00C511BB"/>
    <w:rsid w:val="00C522BF"/>
    <w:rsid w:val="00C530C4"/>
    <w:rsid w:val="00C53DAD"/>
    <w:rsid w:val="00C54AE9"/>
    <w:rsid w:val="00C5507F"/>
    <w:rsid w:val="00C55601"/>
    <w:rsid w:val="00C57609"/>
    <w:rsid w:val="00C61D46"/>
    <w:rsid w:val="00C630E7"/>
    <w:rsid w:val="00C661F9"/>
    <w:rsid w:val="00C7136F"/>
    <w:rsid w:val="00C71545"/>
    <w:rsid w:val="00C737D1"/>
    <w:rsid w:val="00C73DD7"/>
    <w:rsid w:val="00C745E9"/>
    <w:rsid w:val="00C75338"/>
    <w:rsid w:val="00C75BF0"/>
    <w:rsid w:val="00C81A09"/>
    <w:rsid w:val="00C8269A"/>
    <w:rsid w:val="00C83820"/>
    <w:rsid w:val="00C83BB9"/>
    <w:rsid w:val="00C83D36"/>
    <w:rsid w:val="00C866AD"/>
    <w:rsid w:val="00C86C28"/>
    <w:rsid w:val="00C86EA8"/>
    <w:rsid w:val="00C87CF0"/>
    <w:rsid w:val="00C904FE"/>
    <w:rsid w:val="00C90FB2"/>
    <w:rsid w:val="00C9129D"/>
    <w:rsid w:val="00C91B31"/>
    <w:rsid w:val="00C91F62"/>
    <w:rsid w:val="00C978E2"/>
    <w:rsid w:val="00C97A6E"/>
    <w:rsid w:val="00CA1E1B"/>
    <w:rsid w:val="00CA2060"/>
    <w:rsid w:val="00CA74DC"/>
    <w:rsid w:val="00CA7A6B"/>
    <w:rsid w:val="00CB17D4"/>
    <w:rsid w:val="00CB26E4"/>
    <w:rsid w:val="00CB32F8"/>
    <w:rsid w:val="00CB3C2D"/>
    <w:rsid w:val="00CB4B30"/>
    <w:rsid w:val="00CB6352"/>
    <w:rsid w:val="00CB6B0B"/>
    <w:rsid w:val="00CC0218"/>
    <w:rsid w:val="00CC06C7"/>
    <w:rsid w:val="00CC0730"/>
    <w:rsid w:val="00CC2DC1"/>
    <w:rsid w:val="00CC2ED6"/>
    <w:rsid w:val="00CC30E5"/>
    <w:rsid w:val="00CC387E"/>
    <w:rsid w:val="00CC45F2"/>
    <w:rsid w:val="00CC4932"/>
    <w:rsid w:val="00CC5995"/>
    <w:rsid w:val="00CC5BED"/>
    <w:rsid w:val="00CC60CD"/>
    <w:rsid w:val="00CC640E"/>
    <w:rsid w:val="00CD131D"/>
    <w:rsid w:val="00CD15A3"/>
    <w:rsid w:val="00CD1CBE"/>
    <w:rsid w:val="00CD3202"/>
    <w:rsid w:val="00CD3457"/>
    <w:rsid w:val="00CD3988"/>
    <w:rsid w:val="00CD4270"/>
    <w:rsid w:val="00CD69D1"/>
    <w:rsid w:val="00CD7FAC"/>
    <w:rsid w:val="00CE0ACB"/>
    <w:rsid w:val="00CE0B27"/>
    <w:rsid w:val="00CE2AC8"/>
    <w:rsid w:val="00CE33A2"/>
    <w:rsid w:val="00CE5063"/>
    <w:rsid w:val="00CE72A3"/>
    <w:rsid w:val="00CE7B03"/>
    <w:rsid w:val="00CF1CD6"/>
    <w:rsid w:val="00CF3516"/>
    <w:rsid w:val="00CF7915"/>
    <w:rsid w:val="00D0073B"/>
    <w:rsid w:val="00D01AD3"/>
    <w:rsid w:val="00D01C97"/>
    <w:rsid w:val="00D03693"/>
    <w:rsid w:val="00D0710C"/>
    <w:rsid w:val="00D0753C"/>
    <w:rsid w:val="00D07558"/>
    <w:rsid w:val="00D1341E"/>
    <w:rsid w:val="00D13D05"/>
    <w:rsid w:val="00D141E3"/>
    <w:rsid w:val="00D14BC0"/>
    <w:rsid w:val="00D21124"/>
    <w:rsid w:val="00D2152A"/>
    <w:rsid w:val="00D21840"/>
    <w:rsid w:val="00D23956"/>
    <w:rsid w:val="00D25AF0"/>
    <w:rsid w:val="00D26955"/>
    <w:rsid w:val="00D26AA5"/>
    <w:rsid w:val="00D2708C"/>
    <w:rsid w:val="00D3023E"/>
    <w:rsid w:val="00D30D4C"/>
    <w:rsid w:val="00D32244"/>
    <w:rsid w:val="00D32A1F"/>
    <w:rsid w:val="00D34301"/>
    <w:rsid w:val="00D34DA7"/>
    <w:rsid w:val="00D3571A"/>
    <w:rsid w:val="00D3623C"/>
    <w:rsid w:val="00D4023F"/>
    <w:rsid w:val="00D40864"/>
    <w:rsid w:val="00D40A36"/>
    <w:rsid w:val="00D41893"/>
    <w:rsid w:val="00D4299F"/>
    <w:rsid w:val="00D45351"/>
    <w:rsid w:val="00D45862"/>
    <w:rsid w:val="00D470D8"/>
    <w:rsid w:val="00D50776"/>
    <w:rsid w:val="00D5081B"/>
    <w:rsid w:val="00D522A0"/>
    <w:rsid w:val="00D5304D"/>
    <w:rsid w:val="00D54F01"/>
    <w:rsid w:val="00D56AD7"/>
    <w:rsid w:val="00D56C28"/>
    <w:rsid w:val="00D57085"/>
    <w:rsid w:val="00D5730A"/>
    <w:rsid w:val="00D57DA2"/>
    <w:rsid w:val="00D6090A"/>
    <w:rsid w:val="00D60F00"/>
    <w:rsid w:val="00D61B0B"/>
    <w:rsid w:val="00D61D8E"/>
    <w:rsid w:val="00D674BE"/>
    <w:rsid w:val="00D678C6"/>
    <w:rsid w:val="00D704A2"/>
    <w:rsid w:val="00D72F92"/>
    <w:rsid w:val="00D73C78"/>
    <w:rsid w:val="00D765C8"/>
    <w:rsid w:val="00D76F0D"/>
    <w:rsid w:val="00D77F44"/>
    <w:rsid w:val="00D803B3"/>
    <w:rsid w:val="00D80608"/>
    <w:rsid w:val="00D81923"/>
    <w:rsid w:val="00D82042"/>
    <w:rsid w:val="00D837F7"/>
    <w:rsid w:val="00D849E4"/>
    <w:rsid w:val="00D86190"/>
    <w:rsid w:val="00D866E9"/>
    <w:rsid w:val="00D8723E"/>
    <w:rsid w:val="00D872DB"/>
    <w:rsid w:val="00D917E5"/>
    <w:rsid w:val="00D91BF2"/>
    <w:rsid w:val="00D91D1C"/>
    <w:rsid w:val="00D939E4"/>
    <w:rsid w:val="00D95577"/>
    <w:rsid w:val="00D9678C"/>
    <w:rsid w:val="00DA0F14"/>
    <w:rsid w:val="00DA2D34"/>
    <w:rsid w:val="00DA3B51"/>
    <w:rsid w:val="00DA5D88"/>
    <w:rsid w:val="00DA642F"/>
    <w:rsid w:val="00DB0393"/>
    <w:rsid w:val="00DB0A2C"/>
    <w:rsid w:val="00DB1342"/>
    <w:rsid w:val="00DB2D7C"/>
    <w:rsid w:val="00DB4332"/>
    <w:rsid w:val="00DB4D76"/>
    <w:rsid w:val="00DB5C1F"/>
    <w:rsid w:val="00DB6333"/>
    <w:rsid w:val="00DB6E55"/>
    <w:rsid w:val="00DB70CE"/>
    <w:rsid w:val="00DB71CA"/>
    <w:rsid w:val="00DB74A2"/>
    <w:rsid w:val="00DB7AAB"/>
    <w:rsid w:val="00DC1F4F"/>
    <w:rsid w:val="00DC2111"/>
    <w:rsid w:val="00DC4C31"/>
    <w:rsid w:val="00DC4FB0"/>
    <w:rsid w:val="00DC5B02"/>
    <w:rsid w:val="00DC6C91"/>
    <w:rsid w:val="00DC7404"/>
    <w:rsid w:val="00DC7C6E"/>
    <w:rsid w:val="00DD050A"/>
    <w:rsid w:val="00DD2507"/>
    <w:rsid w:val="00DD25D1"/>
    <w:rsid w:val="00DD2BBA"/>
    <w:rsid w:val="00DD336A"/>
    <w:rsid w:val="00DD3509"/>
    <w:rsid w:val="00DD42F5"/>
    <w:rsid w:val="00DD44B9"/>
    <w:rsid w:val="00DD4B65"/>
    <w:rsid w:val="00DD5EA3"/>
    <w:rsid w:val="00DD7794"/>
    <w:rsid w:val="00DD7C0D"/>
    <w:rsid w:val="00DE152C"/>
    <w:rsid w:val="00DE216C"/>
    <w:rsid w:val="00DE3AE7"/>
    <w:rsid w:val="00DE52E9"/>
    <w:rsid w:val="00DE6F3D"/>
    <w:rsid w:val="00DE7F97"/>
    <w:rsid w:val="00DF2B57"/>
    <w:rsid w:val="00DF49B7"/>
    <w:rsid w:val="00DF4D49"/>
    <w:rsid w:val="00DF62E3"/>
    <w:rsid w:val="00DF6C69"/>
    <w:rsid w:val="00DF7B23"/>
    <w:rsid w:val="00DF7BE1"/>
    <w:rsid w:val="00E0008D"/>
    <w:rsid w:val="00E013DD"/>
    <w:rsid w:val="00E0180E"/>
    <w:rsid w:val="00E01C6B"/>
    <w:rsid w:val="00E02285"/>
    <w:rsid w:val="00E03231"/>
    <w:rsid w:val="00E04B11"/>
    <w:rsid w:val="00E05824"/>
    <w:rsid w:val="00E07CB7"/>
    <w:rsid w:val="00E1014B"/>
    <w:rsid w:val="00E1113C"/>
    <w:rsid w:val="00E11959"/>
    <w:rsid w:val="00E11D3F"/>
    <w:rsid w:val="00E1236D"/>
    <w:rsid w:val="00E12382"/>
    <w:rsid w:val="00E12744"/>
    <w:rsid w:val="00E12EFA"/>
    <w:rsid w:val="00E1348D"/>
    <w:rsid w:val="00E13F58"/>
    <w:rsid w:val="00E15072"/>
    <w:rsid w:val="00E17079"/>
    <w:rsid w:val="00E176D0"/>
    <w:rsid w:val="00E2246C"/>
    <w:rsid w:val="00E233CD"/>
    <w:rsid w:val="00E238DB"/>
    <w:rsid w:val="00E23EA1"/>
    <w:rsid w:val="00E24727"/>
    <w:rsid w:val="00E259A9"/>
    <w:rsid w:val="00E2601F"/>
    <w:rsid w:val="00E26401"/>
    <w:rsid w:val="00E264E5"/>
    <w:rsid w:val="00E27B28"/>
    <w:rsid w:val="00E31AD5"/>
    <w:rsid w:val="00E32491"/>
    <w:rsid w:val="00E33022"/>
    <w:rsid w:val="00E33D18"/>
    <w:rsid w:val="00E34BD9"/>
    <w:rsid w:val="00E3707B"/>
    <w:rsid w:val="00E419C7"/>
    <w:rsid w:val="00E429B1"/>
    <w:rsid w:val="00E44A99"/>
    <w:rsid w:val="00E509C0"/>
    <w:rsid w:val="00E515E5"/>
    <w:rsid w:val="00E52241"/>
    <w:rsid w:val="00E52446"/>
    <w:rsid w:val="00E524A6"/>
    <w:rsid w:val="00E5329E"/>
    <w:rsid w:val="00E54B3B"/>
    <w:rsid w:val="00E54FDD"/>
    <w:rsid w:val="00E5570C"/>
    <w:rsid w:val="00E559AF"/>
    <w:rsid w:val="00E57340"/>
    <w:rsid w:val="00E6019B"/>
    <w:rsid w:val="00E6031F"/>
    <w:rsid w:val="00E637FA"/>
    <w:rsid w:val="00E64522"/>
    <w:rsid w:val="00E66736"/>
    <w:rsid w:val="00E6711A"/>
    <w:rsid w:val="00E67D53"/>
    <w:rsid w:val="00E70FE9"/>
    <w:rsid w:val="00E728B0"/>
    <w:rsid w:val="00E72F97"/>
    <w:rsid w:val="00E745A2"/>
    <w:rsid w:val="00E7752C"/>
    <w:rsid w:val="00E77852"/>
    <w:rsid w:val="00E77E86"/>
    <w:rsid w:val="00E80317"/>
    <w:rsid w:val="00E80973"/>
    <w:rsid w:val="00E82653"/>
    <w:rsid w:val="00E8290E"/>
    <w:rsid w:val="00E82B2F"/>
    <w:rsid w:val="00E8396C"/>
    <w:rsid w:val="00E83AB8"/>
    <w:rsid w:val="00E862F2"/>
    <w:rsid w:val="00E91BED"/>
    <w:rsid w:val="00E92FC0"/>
    <w:rsid w:val="00E9389C"/>
    <w:rsid w:val="00E93E31"/>
    <w:rsid w:val="00E9434A"/>
    <w:rsid w:val="00E94656"/>
    <w:rsid w:val="00E953EA"/>
    <w:rsid w:val="00E96713"/>
    <w:rsid w:val="00E97DA9"/>
    <w:rsid w:val="00EA084E"/>
    <w:rsid w:val="00EA11DC"/>
    <w:rsid w:val="00EA2DD5"/>
    <w:rsid w:val="00EA3AE0"/>
    <w:rsid w:val="00EA4325"/>
    <w:rsid w:val="00EA666D"/>
    <w:rsid w:val="00EB1315"/>
    <w:rsid w:val="00EB45AD"/>
    <w:rsid w:val="00EB58BE"/>
    <w:rsid w:val="00EB6C5D"/>
    <w:rsid w:val="00EB7F9C"/>
    <w:rsid w:val="00EC1E5B"/>
    <w:rsid w:val="00EC25E2"/>
    <w:rsid w:val="00EC2E88"/>
    <w:rsid w:val="00EC4F71"/>
    <w:rsid w:val="00EC6EE8"/>
    <w:rsid w:val="00EC7063"/>
    <w:rsid w:val="00EC71B0"/>
    <w:rsid w:val="00EC7787"/>
    <w:rsid w:val="00ED01CB"/>
    <w:rsid w:val="00ED0AB7"/>
    <w:rsid w:val="00ED0FB9"/>
    <w:rsid w:val="00ED17C3"/>
    <w:rsid w:val="00ED1DC3"/>
    <w:rsid w:val="00ED243A"/>
    <w:rsid w:val="00ED4AED"/>
    <w:rsid w:val="00ED4ED4"/>
    <w:rsid w:val="00ED64CB"/>
    <w:rsid w:val="00ED6EDD"/>
    <w:rsid w:val="00ED7BDB"/>
    <w:rsid w:val="00ED7D58"/>
    <w:rsid w:val="00EE42D1"/>
    <w:rsid w:val="00EE543D"/>
    <w:rsid w:val="00EE59EF"/>
    <w:rsid w:val="00EE648E"/>
    <w:rsid w:val="00EF0749"/>
    <w:rsid w:val="00EF18FB"/>
    <w:rsid w:val="00EF3FE6"/>
    <w:rsid w:val="00EF7A55"/>
    <w:rsid w:val="00F003F2"/>
    <w:rsid w:val="00F004A4"/>
    <w:rsid w:val="00F009E5"/>
    <w:rsid w:val="00F01072"/>
    <w:rsid w:val="00F02950"/>
    <w:rsid w:val="00F03390"/>
    <w:rsid w:val="00F033AB"/>
    <w:rsid w:val="00F03429"/>
    <w:rsid w:val="00F03563"/>
    <w:rsid w:val="00F04E3B"/>
    <w:rsid w:val="00F102CC"/>
    <w:rsid w:val="00F10542"/>
    <w:rsid w:val="00F1108F"/>
    <w:rsid w:val="00F11170"/>
    <w:rsid w:val="00F12F53"/>
    <w:rsid w:val="00F13C5B"/>
    <w:rsid w:val="00F13D4F"/>
    <w:rsid w:val="00F1467F"/>
    <w:rsid w:val="00F146C6"/>
    <w:rsid w:val="00F146CF"/>
    <w:rsid w:val="00F14B2F"/>
    <w:rsid w:val="00F14B59"/>
    <w:rsid w:val="00F1748D"/>
    <w:rsid w:val="00F20C36"/>
    <w:rsid w:val="00F21A9E"/>
    <w:rsid w:val="00F22AD5"/>
    <w:rsid w:val="00F23098"/>
    <w:rsid w:val="00F2349E"/>
    <w:rsid w:val="00F24920"/>
    <w:rsid w:val="00F252FB"/>
    <w:rsid w:val="00F25BCB"/>
    <w:rsid w:val="00F30142"/>
    <w:rsid w:val="00F33611"/>
    <w:rsid w:val="00F3387F"/>
    <w:rsid w:val="00F33890"/>
    <w:rsid w:val="00F352D8"/>
    <w:rsid w:val="00F35327"/>
    <w:rsid w:val="00F35BFD"/>
    <w:rsid w:val="00F3668A"/>
    <w:rsid w:val="00F3703A"/>
    <w:rsid w:val="00F370A6"/>
    <w:rsid w:val="00F425C5"/>
    <w:rsid w:val="00F43512"/>
    <w:rsid w:val="00F443A5"/>
    <w:rsid w:val="00F45BCA"/>
    <w:rsid w:val="00F45DC2"/>
    <w:rsid w:val="00F46381"/>
    <w:rsid w:val="00F463E1"/>
    <w:rsid w:val="00F46E0A"/>
    <w:rsid w:val="00F47810"/>
    <w:rsid w:val="00F50EF0"/>
    <w:rsid w:val="00F5249B"/>
    <w:rsid w:val="00F525AD"/>
    <w:rsid w:val="00F53101"/>
    <w:rsid w:val="00F53747"/>
    <w:rsid w:val="00F54ED8"/>
    <w:rsid w:val="00F550FC"/>
    <w:rsid w:val="00F56796"/>
    <w:rsid w:val="00F573D4"/>
    <w:rsid w:val="00F619E0"/>
    <w:rsid w:val="00F636F6"/>
    <w:rsid w:val="00F64292"/>
    <w:rsid w:val="00F643F7"/>
    <w:rsid w:val="00F65791"/>
    <w:rsid w:val="00F66354"/>
    <w:rsid w:val="00F669E8"/>
    <w:rsid w:val="00F71ADB"/>
    <w:rsid w:val="00F71C92"/>
    <w:rsid w:val="00F722CA"/>
    <w:rsid w:val="00F72446"/>
    <w:rsid w:val="00F73833"/>
    <w:rsid w:val="00F738E5"/>
    <w:rsid w:val="00F76315"/>
    <w:rsid w:val="00F76894"/>
    <w:rsid w:val="00F773A5"/>
    <w:rsid w:val="00F77E89"/>
    <w:rsid w:val="00F77EDF"/>
    <w:rsid w:val="00F809A4"/>
    <w:rsid w:val="00F831BB"/>
    <w:rsid w:val="00F84F0E"/>
    <w:rsid w:val="00F85484"/>
    <w:rsid w:val="00F857B1"/>
    <w:rsid w:val="00F85F11"/>
    <w:rsid w:val="00F85F45"/>
    <w:rsid w:val="00F87838"/>
    <w:rsid w:val="00F90AA4"/>
    <w:rsid w:val="00F923DB"/>
    <w:rsid w:val="00F93746"/>
    <w:rsid w:val="00F93F2F"/>
    <w:rsid w:val="00F95883"/>
    <w:rsid w:val="00F96C9B"/>
    <w:rsid w:val="00F9763B"/>
    <w:rsid w:val="00F97FD7"/>
    <w:rsid w:val="00FA12A3"/>
    <w:rsid w:val="00FA1EE3"/>
    <w:rsid w:val="00FA2085"/>
    <w:rsid w:val="00FA25D0"/>
    <w:rsid w:val="00FA3089"/>
    <w:rsid w:val="00FA596F"/>
    <w:rsid w:val="00FA5C28"/>
    <w:rsid w:val="00FA75D9"/>
    <w:rsid w:val="00FB0133"/>
    <w:rsid w:val="00FB0886"/>
    <w:rsid w:val="00FB45D5"/>
    <w:rsid w:val="00FB5A53"/>
    <w:rsid w:val="00FB633A"/>
    <w:rsid w:val="00FB72D0"/>
    <w:rsid w:val="00FB7472"/>
    <w:rsid w:val="00FB74E5"/>
    <w:rsid w:val="00FC0C35"/>
    <w:rsid w:val="00FC1638"/>
    <w:rsid w:val="00FC21DC"/>
    <w:rsid w:val="00FC326E"/>
    <w:rsid w:val="00FC3EA8"/>
    <w:rsid w:val="00FC4FA1"/>
    <w:rsid w:val="00FC6712"/>
    <w:rsid w:val="00FC6C32"/>
    <w:rsid w:val="00FC6DC3"/>
    <w:rsid w:val="00FD09B3"/>
    <w:rsid w:val="00FD10E0"/>
    <w:rsid w:val="00FD141D"/>
    <w:rsid w:val="00FD1648"/>
    <w:rsid w:val="00FD26FD"/>
    <w:rsid w:val="00FD6921"/>
    <w:rsid w:val="00FD7A1E"/>
    <w:rsid w:val="00FE63B9"/>
    <w:rsid w:val="00FE69B8"/>
    <w:rsid w:val="00FE74A2"/>
    <w:rsid w:val="00FF1BD4"/>
    <w:rsid w:val="00FF1CA8"/>
    <w:rsid w:val="00FF2410"/>
    <w:rsid w:val="00FF2C84"/>
    <w:rsid w:val="00FF30E3"/>
    <w:rsid w:val="00FF3649"/>
    <w:rsid w:val="00FF3676"/>
    <w:rsid w:val="00FF6961"/>
    <w:rsid w:val="00FF729A"/>
    <w:rsid w:val="01610EEE"/>
    <w:rsid w:val="0213141D"/>
    <w:rsid w:val="02DC039D"/>
    <w:rsid w:val="037E6D6A"/>
    <w:rsid w:val="038635BA"/>
    <w:rsid w:val="0436156E"/>
    <w:rsid w:val="056B0B49"/>
    <w:rsid w:val="058B008A"/>
    <w:rsid w:val="07CF4038"/>
    <w:rsid w:val="07F603D0"/>
    <w:rsid w:val="08430582"/>
    <w:rsid w:val="08DB5212"/>
    <w:rsid w:val="0944423E"/>
    <w:rsid w:val="0A0D354B"/>
    <w:rsid w:val="0A7B2255"/>
    <w:rsid w:val="0D397CEE"/>
    <w:rsid w:val="0D844831"/>
    <w:rsid w:val="0DD36CBB"/>
    <w:rsid w:val="0E0832CF"/>
    <w:rsid w:val="0E9C09EC"/>
    <w:rsid w:val="0EA72878"/>
    <w:rsid w:val="0F0B05F7"/>
    <w:rsid w:val="10BB661E"/>
    <w:rsid w:val="11007F3A"/>
    <w:rsid w:val="116752E1"/>
    <w:rsid w:val="120D161A"/>
    <w:rsid w:val="12647A72"/>
    <w:rsid w:val="133828FA"/>
    <w:rsid w:val="142B38F1"/>
    <w:rsid w:val="14D76B11"/>
    <w:rsid w:val="14DE1931"/>
    <w:rsid w:val="15131ADE"/>
    <w:rsid w:val="1542597B"/>
    <w:rsid w:val="16DE7DF3"/>
    <w:rsid w:val="171F7282"/>
    <w:rsid w:val="179A3B0C"/>
    <w:rsid w:val="17D0638C"/>
    <w:rsid w:val="18702CCD"/>
    <w:rsid w:val="19312FD2"/>
    <w:rsid w:val="19616766"/>
    <w:rsid w:val="19617EA5"/>
    <w:rsid w:val="1A7F18AD"/>
    <w:rsid w:val="1ADD68CD"/>
    <w:rsid w:val="1AF27825"/>
    <w:rsid w:val="1B8F4496"/>
    <w:rsid w:val="1C7E1B3E"/>
    <w:rsid w:val="1CFFB198"/>
    <w:rsid w:val="1D436C02"/>
    <w:rsid w:val="1D5C7CC4"/>
    <w:rsid w:val="1D7325F9"/>
    <w:rsid w:val="1DD601EF"/>
    <w:rsid w:val="1E18340C"/>
    <w:rsid w:val="1EE7180F"/>
    <w:rsid w:val="1F2627EB"/>
    <w:rsid w:val="20442C9C"/>
    <w:rsid w:val="21921F06"/>
    <w:rsid w:val="22053735"/>
    <w:rsid w:val="22E37BA8"/>
    <w:rsid w:val="23EB501C"/>
    <w:rsid w:val="249E6E14"/>
    <w:rsid w:val="24AA7745"/>
    <w:rsid w:val="25AB17E9"/>
    <w:rsid w:val="26211AAB"/>
    <w:rsid w:val="2644571B"/>
    <w:rsid w:val="26AA7CF2"/>
    <w:rsid w:val="26AD1F5C"/>
    <w:rsid w:val="27386F6B"/>
    <w:rsid w:val="278E6E06"/>
    <w:rsid w:val="27AB56BB"/>
    <w:rsid w:val="27DF151B"/>
    <w:rsid w:val="287B0CAD"/>
    <w:rsid w:val="28BD473D"/>
    <w:rsid w:val="28C606E7"/>
    <w:rsid w:val="28D47B5D"/>
    <w:rsid w:val="290855B2"/>
    <w:rsid w:val="293743B8"/>
    <w:rsid w:val="2C085DF0"/>
    <w:rsid w:val="2CF03F85"/>
    <w:rsid w:val="2ECE23A1"/>
    <w:rsid w:val="2EDE2023"/>
    <w:rsid w:val="2F1403FE"/>
    <w:rsid w:val="2F8512FC"/>
    <w:rsid w:val="2FEE41CE"/>
    <w:rsid w:val="308775AC"/>
    <w:rsid w:val="308B78BA"/>
    <w:rsid w:val="30EE4C7F"/>
    <w:rsid w:val="313D31AC"/>
    <w:rsid w:val="31B71515"/>
    <w:rsid w:val="31F61EF9"/>
    <w:rsid w:val="321829D8"/>
    <w:rsid w:val="32270DF8"/>
    <w:rsid w:val="32907E10"/>
    <w:rsid w:val="337B816F"/>
    <w:rsid w:val="33FE342B"/>
    <w:rsid w:val="35026F4B"/>
    <w:rsid w:val="35640492"/>
    <w:rsid w:val="36285DEC"/>
    <w:rsid w:val="362E7206"/>
    <w:rsid w:val="36A54032"/>
    <w:rsid w:val="373A0C1E"/>
    <w:rsid w:val="37694A3F"/>
    <w:rsid w:val="37FF8C46"/>
    <w:rsid w:val="391FFE34"/>
    <w:rsid w:val="3A0B6D56"/>
    <w:rsid w:val="3A936E05"/>
    <w:rsid w:val="3AE70802"/>
    <w:rsid w:val="3B9C5116"/>
    <w:rsid w:val="3C8446EA"/>
    <w:rsid w:val="3C867288"/>
    <w:rsid w:val="3CE77152"/>
    <w:rsid w:val="3CF90C34"/>
    <w:rsid w:val="3D924DAA"/>
    <w:rsid w:val="3F1EE694"/>
    <w:rsid w:val="3F5453F9"/>
    <w:rsid w:val="3F942E96"/>
    <w:rsid w:val="3FAFCD9E"/>
    <w:rsid w:val="3FD24232"/>
    <w:rsid w:val="3FD7847C"/>
    <w:rsid w:val="3FFF61BE"/>
    <w:rsid w:val="401E18DF"/>
    <w:rsid w:val="43680E1F"/>
    <w:rsid w:val="43E73704"/>
    <w:rsid w:val="446F7A2D"/>
    <w:rsid w:val="44DE5246"/>
    <w:rsid w:val="44E4666D"/>
    <w:rsid w:val="44E71E34"/>
    <w:rsid w:val="44EA1866"/>
    <w:rsid w:val="4509235A"/>
    <w:rsid w:val="451E56DB"/>
    <w:rsid w:val="455A77C7"/>
    <w:rsid w:val="46277AF4"/>
    <w:rsid w:val="46326F64"/>
    <w:rsid w:val="465C2A22"/>
    <w:rsid w:val="482C010F"/>
    <w:rsid w:val="48BD0B6F"/>
    <w:rsid w:val="49465201"/>
    <w:rsid w:val="4A425984"/>
    <w:rsid w:val="4B72052F"/>
    <w:rsid w:val="4C334310"/>
    <w:rsid w:val="4C3C3AD0"/>
    <w:rsid w:val="4CF811CB"/>
    <w:rsid w:val="4D7B7443"/>
    <w:rsid w:val="4D944396"/>
    <w:rsid w:val="4DEE5E67"/>
    <w:rsid w:val="4F423004"/>
    <w:rsid w:val="4F5C20BE"/>
    <w:rsid w:val="4F7777EA"/>
    <w:rsid w:val="502A2AD9"/>
    <w:rsid w:val="507B1FED"/>
    <w:rsid w:val="50BD7C38"/>
    <w:rsid w:val="50FE2D22"/>
    <w:rsid w:val="51072AF5"/>
    <w:rsid w:val="51960CEF"/>
    <w:rsid w:val="51BE0042"/>
    <w:rsid w:val="529A1CCC"/>
    <w:rsid w:val="53165C44"/>
    <w:rsid w:val="53B02FD4"/>
    <w:rsid w:val="549E4143"/>
    <w:rsid w:val="558C5ECB"/>
    <w:rsid w:val="564E6F83"/>
    <w:rsid w:val="57022B68"/>
    <w:rsid w:val="577F9A21"/>
    <w:rsid w:val="584274DB"/>
    <w:rsid w:val="587F6039"/>
    <w:rsid w:val="58BD4DB3"/>
    <w:rsid w:val="5903310E"/>
    <w:rsid w:val="59D72AC5"/>
    <w:rsid w:val="59E70055"/>
    <w:rsid w:val="5A897643"/>
    <w:rsid w:val="5B0F22E1"/>
    <w:rsid w:val="5B8D3163"/>
    <w:rsid w:val="5BD465BB"/>
    <w:rsid w:val="5C681931"/>
    <w:rsid w:val="5CA6628A"/>
    <w:rsid w:val="5CBF3ABB"/>
    <w:rsid w:val="5D4D19A0"/>
    <w:rsid w:val="5D7226C4"/>
    <w:rsid w:val="5D856C0D"/>
    <w:rsid w:val="5E2C46DB"/>
    <w:rsid w:val="5EBF1FC7"/>
    <w:rsid w:val="5F954394"/>
    <w:rsid w:val="5FC0290D"/>
    <w:rsid w:val="5FFED4E3"/>
    <w:rsid w:val="60B92304"/>
    <w:rsid w:val="618B403D"/>
    <w:rsid w:val="62915EC9"/>
    <w:rsid w:val="62BF5F04"/>
    <w:rsid w:val="637644DD"/>
    <w:rsid w:val="642367FA"/>
    <w:rsid w:val="6454481E"/>
    <w:rsid w:val="66161846"/>
    <w:rsid w:val="674C7A2E"/>
    <w:rsid w:val="67A947DA"/>
    <w:rsid w:val="689F0032"/>
    <w:rsid w:val="69083E29"/>
    <w:rsid w:val="69457B44"/>
    <w:rsid w:val="6C2C11E9"/>
    <w:rsid w:val="6D0F6FE1"/>
    <w:rsid w:val="6D173C12"/>
    <w:rsid w:val="6E9B5AD1"/>
    <w:rsid w:val="6EB78B38"/>
    <w:rsid w:val="6F307138"/>
    <w:rsid w:val="6F843833"/>
    <w:rsid w:val="6FD545AA"/>
    <w:rsid w:val="6FFF9A0D"/>
    <w:rsid w:val="70303368"/>
    <w:rsid w:val="705075D9"/>
    <w:rsid w:val="70511581"/>
    <w:rsid w:val="71491244"/>
    <w:rsid w:val="71720D25"/>
    <w:rsid w:val="71D368CA"/>
    <w:rsid w:val="726124E2"/>
    <w:rsid w:val="733F2B3D"/>
    <w:rsid w:val="74992B59"/>
    <w:rsid w:val="753F0BD2"/>
    <w:rsid w:val="754DD6BC"/>
    <w:rsid w:val="75AB58CB"/>
    <w:rsid w:val="7634625D"/>
    <w:rsid w:val="765A05E7"/>
    <w:rsid w:val="76FA1255"/>
    <w:rsid w:val="7782124A"/>
    <w:rsid w:val="7799C281"/>
    <w:rsid w:val="779F6ADC"/>
    <w:rsid w:val="77CF2010"/>
    <w:rsid w:val="78378524"/>
    <w:rsid w:val="783D51C6"/>
    <w:rsid w:val="784730D7"/>
    <w:rsid w:val="79B47D69"/>
    <w:rsid w:val="79E24222"/>
    <w:rsid w:val="7A563B8E"/>
    <w:rsid w:val="7A9FC7C4"/>
    <w:rsid w:val="7AA0168C"/>
    <w:rsid w:val="7AEC35AA"/>
    <w:rsid w:val="7AFC683B"/>
    <w:rsid w:val="7BAE0860"/>
    <w:rsid w:val="7BE91898"/>
    <w:rsid w:val="7BFB81D1"/>
    <w:rsid w:val="7C9A6421"/>
    <w:rsid w:val="7C9D0D88"/>
    <w:rsid w:val="7D477D2C"/>
    <w:rsid w:val="7D7A2007"/>
    <w:rsid w:val="7DDB7A20"/>
    <w:rsid w:val="7DF9399D"/>
    <w:rsid w:val="7F5FFF79"/>
    <w:rsid w:val="7FFD3DE2"/>
    <w:rsid w:val="A9FF5A54"/>
    <w:rsid w:val="AFD798CF"/>
    <w:rsid w:val="BEF7466D"/>
    <w:rsid w:val="BF7FCD91"/>
    <w:rsid w:val="D077566B"/>
    <w:rsid w:val="D79B34C9"/>
    <w:rsid w:val="DCFFE92C"/>
    <w:rsid w:val="DE9FFEE5"/>
    <w:rsid w:val="EBDF39C2"/>
    <w:rsid w:val="EFFFE6D3"/>
    <w:rsid w:val="F3D8A9FD"/>
    <w:rsid w:val="F6DED4D8"/>
    <w:rsid w:val="F6FA9B4E"/>
    <w:rsid w:val="FE7FBCCE"/>
    <w:rsid w:val="FFB5AB7E"/>
    <w:rsid w:val="FFCECA23"/>
    <w:rsid w:val="FFF9B9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52"/>
    <w:qFormat/>
    <w:uiPriority w:val="9"/>
    <w:pPr>
      <w:keepNext/>
      <w:keepLines/>
      <w:numPr>
        <w:ilvl w:val="0"/>
        <w:numId w:val="1"/>
      </w:numPr>
      <w:spacing w:line="360" w:lineRule="auto"/>
      <w:jc w:val="left"/>
      <w:outlineLvl w:val="0"/>
    </w:pPr>
    <w:rPr>
      <w:rFonts w:eastAsia="宋体"/>
      <w:b/>
      <w:bCs/>
      <w:kern w:val="44"/>
      <w:sz w:val="32"/>
      <w:szCs w:val="44"/>
    </w:rPr>
  </w:style>
  <w:style w:type="paragraph" w:styleId="5">
    <w:name w:val="heading 2"/>
    <w:basedOn w:val="1"/>
    <w:next w:val="1"/>
    <w:link w:val="53"/>
    <w:unhideWhenUsed/>
    <w:qFormat/>
    <w:uiPriority w:val="9"/>
    <w:pPr>
      <w:keepNext/>
      <w:keepLines/>
      <w:numPr>
        <w:ilvl w:val="1"/>
        <w:numId w:val="1"/>
      </w:numPr>
      <w:spacing w:line="360" w:lineRule="auto"/>
      <w:jc w:val="left"/>
      <w:outlineLvl w:val="1"/>
    </w:pPr>
    <w:rPr>
      <w:rFonts w:eastAsia="宋体" w:asciiTheme="majorHAnsi" w:hAnsiTheme="majorHAnsi" w:cstheme="majorBidi"/>
      <w:b/>
      <w:bCs/>
      <w:sz w:val="28"/>
      <w:szCs w:val="32"/>
    </w:rPr>
  </w:style>
  <w:style w:type="paragraph" w:styleId="6">
    <w:name w:val="heading 3"/>
    <w:basedOn w:val="1"/>
    <w:next w:val="1"/>
    <w:link w:val="54"/>
    <w:unhideWhenUsed/>
    <w:qFormat/>
    <w:uiPriority w:val="9"/>
    <w:pPr>
      <w:keepNext/>
      <w:keepLines/>
      <w:numPr>
        <w:ilvl w:val="2"/>
        <w:numId w:val="1"/>
      </w:numPr>
      <w:spacing w:line="360" w:lineRule="auto"/>
      <w:jc w:val="left"/>
      <w:outlineLvl w:val="2"/>
    </w:pPr>
    <w:rPr>
      <w:rFonts w:eastAsia="宋体"/>
      <w:b/>
      <w:bCs/>
      <w:sz w:val="24"/>
      <w:szCs w:val="32"/>
    </w:rPr>
  </w:style>
  <w:style w:type="paragraph" w:styleId="7">
    <w:name w:val="heading 4"/>
    <w:basedOn w:val="1"/>
    <w:next w:val="1"/>
    <w:link w:val="55"/>
    <w:unhideWhenUsed/>
    <w:qFormat/>
    <w:uiPriority w:val="9"/>
    <w:pPr>
      <w:keepNext/>
      <w:keepLines/>
      <w:numPr>
        <w:ilvl w:val="3"/>
        <w:numId w:val="1"/>
      </w:numPr>
      <w:spacing w:line="360" w:lineRule="auto"/>
      <w:jc w:val="left"/>
      <w:outlineLvl w:val="3"/>
    </w:pPr>
    <w:rPr>
      <w:rFonts w:eastAsia="宋体" w:asciiTheme="majorHAnsi" w:hAnsiTheme="majorHAnsi" w:cstheme="majorBidi"/>
      <w:b/>
      <w:bCs/>
      <w:sz w:val="24"/>
      <w:szCs w:val="28"/>
    </w:rPr>
  </w:style>
  <w:style w:type="paragraph" w:styleId="8">
    <w:name w:val="heading 5"/>
    <w:basedOn w:val="1"/>
    <w:next w:val="1"/>
    <w:link w:val="56"/>
    <w:unhideWhenUsed/>
    <w:qFormat/>
    <w:uiPriority w:val="9"/>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57"/>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58"/>
    <w:unhideWhenUsed/>
    <w:qFormat/>
    <w:uiPriority w:val="9"/>
    <w:pPr>
      <w:keepNext/>
      <w:keepLines/>
      <w:numPr>
        <w:ilvl w:val="6"/>
        <w:numId w:val="1"/>
      </w:numPr>
      <w:spacing w:before="240" w:after="64" w:line="320" w:lineRule="auto"/>
      <w:outlineLvl w:val="6"/>
    </w:pPr>
    <w:rPr>
      <w:b/>
      <w:bCs/>
      <w:sz w:val="24"/>
      <w:szCs w:val="24"/>
    </w:rPr>
  </w:style>
  <w:style w:type="paragraph" w:styleId="11">
    <w:name w:val="heading 8"/>
    <w:basedOn w:val="1"/>
    <w:next w:val="1"/>
    <w:link w:val="59"/>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2">
    <w:name w:val="heading 9"/>
    <w:basedOn w:val="1"/>
    <w:next w:val="1"/>
    <w:link w:val="60"/>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51"/>
    <w:unhideWhenUsed/>
    <w:qFormat/>
    <w:uiPriority w:val="0"/>
    <w:pPr>
      <w:ind w:firstLine="420" w:firstLineChars="200"/>
    </w:pPr>
    <w:rPr>
      <w:rFonts w:ascii="Times New Roman" w:hAnsi="Times New Roman" w:eastAsia="宋体" w:cs="Times New Roman"/>
      <w:szCs w:val="24"/>
    </w:rPr>
  </w:style>
  <w:style w:type="paragraph" w:styleId="3">
    <w:name w:val="Body Text Indent"/>
    <w:basedOn w:val="1"/>
    <w:link w:val="50"/>
    <w:semiHidden/>
    <w:unhideWhenUsed/>
    <w:qFormat/>
    <w:uiPriority w:val="99"/>
    <w:pPr>
      <w:spacing w:after="120"/>
      <w:ind w:left="420" w:leftChars="200"/>
    </w:pPr>
  </w:style>
  <w:style w:type="paragraph" w:styleId="13">
    <w:name w:val="toc 7"/>
    <w:basedOn w:val="1"/>
    <w:next w:val="1"/>
    <w:unhideWhenUsed/>
    <w:qFormat/>
    <w:uiPriority w:val="39"/>
    <w:pPr>
      <w:ind w:left="2520" w:leftChars="1200"/>
    </w:pPr>
  </w:style>
  <w:style w:type="paragraph" w:styleId="14">
    <w:name w:val="List Number 2"/>
    <w:basedOn w:val="1"/>
    <w:semiHidden/>
    <w:unhideWhenUsed/>
    <w:qFormat/>
    <w:uiPriority w:val="0"/>
    <w:pPr>
      <w:numPr>
        <w:ilvl w:val="0"/>
        <w:numId w:val="2"/>
      </w:numPr>
      <w:contextualSpacing/>
    </w:pPr>
    <w:rPr>
      <w:rFonts w:ascii="Times New Roman" w:hAnsi="Times New Roman" w:eastAsia="宋体" w:cs="Times New Roman"/>
      <w:szCs w:val="24"/>
    </w:rPr>
  </w:style>
  <w:style w:type="paragraph" w:styleId="15">
    <w:name w:val="Normal Indent"/>
    <w:basedOn w:val="1"/>
    <w:next w:val="1"/>
    <w:link w:val="61"/>
    <w:qFormat/>
    <w:uiPriority w:val="0"/>
    <w:pPr>
      <w:ind w:firstLine="420"/>
    </w:pPr>
    <w:rPr>
      <w:rFonts w:ascii="Times New Roman" w:hAnsi="Times New Roman" w:eastAsia="宋体" w:cs="Times New Roman"/>
      <w:szCs w:val="20"/>
    </w:rPr>
  </w:style>
  <w:style w:type="paragraph" w:styleId="16">
    <w:name w:val="caption"/>
    <w:basedOn w:val="1"/>
    <w:next w:val="1"/>
    <w:qFormat/>
    <w:uiPriority w:val="35"/>
    <w:pPr>
      <w:widowControl/>
      <w:spacing w:before="152" w:after="160" w:line="360" w:lineRule="auto"/>
      <w:ind w:left="480" w:leftChars="200"/>
      <w:jc w:val="left"/>
    </w:pPr>
    <w:rPr>
      <w:rFonts w:ascii="Arial" w:hAnsi="Arial" w:eastAsia="黑体" w:cs="Arial"/>
      <w:kern w:val="0"/>
      <w:sz w:val="20"/>
      <w:szCs w:val="20"/>
    </w:rPr>
  </w:style>
  <w:style w:type="paragraph" w:styleId="17">
    <w:name w:val="Document Map"/>
    <w:basedOn w:val="1"/>
    <w:link w:val="118"/>
    <w:semiHidden/>
    <w:unhideWhenUsed/>
    <w:qFormat/>
    <w:uiPriority w:val="99"/>
    <w:rPr>
      <w:rFonts w:ascii="Heiti SC Light" w:eastAsia="Heiti SC Light"/>
      <w:sz w:val="24"/>
      <w:szCs w:val="24"/>
    </w:rPr>
  </w:style>
  <w:style w:type="paragraph" w:styleId="18">
    <w:name w:val="annotation text"/>
    <w:basedOn w:val="1"/>
    <w:link w:val="62"/>
    <w:unhideWhenUsed/>
    <w:qFormat/>
    <w:uiPriority w:val="99"/>
    <w:pPr>
      <w:jc w:val="left"/>
    </w:pPr>
    <w:rPr>
      <w:rFonts w:ascii="等线" w:hAnsi="等线" w:eastAsia="宋体" w:cs="Times New Roman"/>
      <w:kern w:val="0"/>
      <w:sz w:val="20"/>
      <w:szCs w:val="20"/>
    </w:rPr>
  </w:style>
  <w:style w:type="paragraph" w:styleId="19">
    <w:name w:val="Body Text 3"/>
    <w:basedOn w:val="1"/>
    <w:next w:val="1"/>
    <w:link w:val="63"/>
    <w:qFormat/>
    <w:uiPriority w:val="0"/>
    <w:pPr>
      <w:spacing w:after="120"/>
    </w:pPr>
    <w:rPr>
      <w:rFonts w:ascii="Times New Roman" w:hAnsi="Times New Roman" w:eastAsia="宋体" w:cs="Times New Roman"/>
      <w:sz w:val="16"/>
      <w:szCs w:val="16"/>
    </w:rPr>
  </w:style>
  <w:style w:type="paragraph" w:styleId="20">
    <w:name w:val="Body Text"/>
    <w:basedOn w:val="1"/>
    <w:link w:val="64"/>
    <w:qFormat/>
    <w:uiPriority w:val="1"/>
    <w:pPr>
      <w:spacing w:after="120"/>
    </w:pPr>
    <w:rPr>
      <w:rFonts w:ascii="Times New Roman" w:hAnsi="Times New Roman" w:eastAsia="宋体" w:cs="Times New Roman"/>
      <w:szCs w:val="24"/>
    </w:rPr>
  </w:style>
  <w:style w:type="paragraph" w:styleId="21">
    <w:name w:val="List 2"/>
    <w:basedOn w:val="1"/>
    <w:qFormat/>
    <w:uiPriority w:val="0"/>
    <w:pPr>
      <w:adjustRightInd w:val="0"/>
      <w:spacing w:line="360" w:lineRule="atLeast"/>
      <w:ind w:left="100" w:leftChars="200" w:hanging="200" w:hangingChars="200"/>
      <w:jc w:val="left"/>
      <w:textAlignment w:val="baseline"/>
    </w:pPr>
    <w:rPr>
      <w:rFonts w:ascii="Times New Roman" w:hAnsi="Times New Roman" w:eastAsia="宋体" w:cs="Times New Roman"/>
      <w:kern w:val="0"/>
      <w:sz w:val="24"/>
      <w:szCs w:val="20"/>
    </w:rPr>
  </w:style>
  <w:style w:type="paragraph" w:styleId="22">
    <w:name w:val="toc 5"/>
    <w:basedOn w:val="1"/>
    <w:next w:val="1"/>
    <w:unhideWhenUsed/>
    <w:qFormat/>
    <w:uiPriority w:val="39"/>
    <w:pPr>
      <w:ind w:left="1680" w:leftChars="800"/>
    </w:pPr>
  </w:style>
  <w:style w:type="paragraph" w:styleId="23">
    <w:name w:val="toc 3"/>
    <w:basedOn w:val="1"/>
    <w:next w:val="1"/>
    <w:unhideWhenUsed/>
    <w:qFormat/>
    <w:uiPriority w:val="39"/>
    <w:pPr>
      <w:ind w:left="840" w:leftChars="400"/>
    </w:pPr>
  </w:style>
  <w:style w:type="paragraph" w:styleId="24">
    <w:name w:val="Plain Text"/>
    <w:basedOn w:val="1"/>
    <w:link w:val="65"/>
    <w:qFormat/>
    <w:uiPriority w:val="99"/>
    <w:rPr>
      <w:rFonts w:ascii="宋体" w:hAnsi="Courier New" w:eastAsia="宋体" w:cs="Times New Roman"/>
      <w:szCs w:val="20"/>
    </w:rPr>
  </w:style>
  <w:style w:type="paragraph" w:styleId="25">
    <w:name w:val="toc 8"/>
    <w:basedOn w:val="1"/>
    <w:next w:val="1"/>
    <w:unhideWhenUsed/>
    <w:qFormat/>
    <w:uiPriority w:val="39"/>
    <w:pPr>
      <w:ind w:left="2940" w:leftChars="1400"/>
    </w:pPr>
  </w:style>
  <w:style w:type="paragraph" w:styleId="26">
    <w:name w:val="Date"/>
    <w:basedOn w:val="1"/>
    <w:next w:val="1"/>
    <w:link w:val="66"/>
    <w:semiHidden/>
    <w:unhideWhenUsed/>
    <w:qFormat/>
    <w:uiPriority w:val="99"/>
    <w:pPr>
      <w:ind w:left="100" w:leftChars="2500"/>
    </w:pPr>
  </w:style>
  <w:style w:type="paragraph" w:styleId="27">
    <w:name w:val="Balloon Text"/>
    <w:basedOn w:val="1"/>
    <w:link w:val="67"/>
    <w:qFormat/>
    <w:uiPriority w:val="0"/>
    <w:rPr>
      <w:rFonts w:ascii="Times New Roman" w:hAnsi="Times New Roman" w:eastAsia="宋体" w:cs="Times New Roman"/>
      <w:sz w:val="18"/>
      <w:szCs w:val="18"/>
    </w:rPr>
  </w:style>
  <w:style w:type="paragraph" w:styleId="28">
    <w:name w:val="footer"/>
    <w:basedOn w:val="1"/>
    <w:link w:val="68"/>
    <w:unhideWhenUsed/>
    <w:qFormat/>
    <w:uiPriority w:val="99"/>
    <w:pPr>
      <w:tabs>
        <w:tab w:val="center" w:pos="4153"/>
        <w:tab w:val="right" w:pos="8306"/>
      </w:tabs>
      <w:snapToGrid w:val="0"/>
      <w:jc w:val="left"/>
    </w:pPr>
    <w:rPr>
      <w:sz w:val="18"/>
      <w:szCs w:val="18"/>
    </w:rPr>
  </w:style>
  <w:style w:type="paragraph" w:styleId="29">
    <w:name w:val="header"/>
    <w:basedOn w:val="1"/>
    <w:link w:val="69"/>
    <w:unhideWhenUsed/>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unhideWhenUsed/>
    <w:qFormat/>
    <w:uiPriority w:val="39"/>
    <w:pPr>
      <w:tabs>
        <w:tab w:val="left" w:pos="420"/>
        <w:tab w:val="right" w:leader="dot" w:pos="8296"/>
      </w:tabs>
    </w:pPr>
  </w:style>
  <w:style w:type="paragraph" w:styleId="31">
    <w:name w:val="toc 4"/>
    <w:basedOn w:val="1"/>
    <w:next w:val="1"/>
    <w:unhideWhenUsed/>
    <w:qFormat/>
    <w:uiPriority w:val="39"/>
    <w:pPr>
      <w:ind w:left="1260" w:leftChars="600"/>
    </w:pPr>
  </w:style>
  <w:style w:type="paragraph" w:styleId="32">
    <w:name w:val="footnote text"/>
    <w:basedOn w:val="1"/>
    <w:link w:val="70"/>
    <w:qFormat/>
    <w:uiPriority w:val="0"/>
    <w:pPr>
      <w:adjustRightInd w:val="0"/>
      <w:spacing w:line="312" w:lineRule="atLeast"/>
      <w:jc w:val="left"/>
      <w:textAlignment w:val="baseline"/>
    </w:pPr>
    <w:rPr>
      <w:rFonts w:ascii="Times New Roman" w:hAnsi="Times New Roman" w:eastAsia="宋体" w:cs="Times New Roman"/>
      <w:kern w:val="0"/>
      <w:sz w:val="18"/>
      <w:szCs w:val="20"/>
    </w:rPr>
  </w:style>
  <w:style w:type="paragraph" w:styleId="33">
    <w:name w:val="toc 6"/>
    <w:basedOn w:val="1"/>
    <w:next w:val="1"/>
    <w:unhideWhenUsed/>
    <w:qFormat/>
    <w:uiPriority w:val="39"/>
    <w:pPr>
      <w:ind w:left="2100" w:leftChars="1000"/>
    </w:pPr>
  </w:style>
  <w:style w:type="paragraph" w:styleId="34">
    <w:name w:val="index 9"/>
    <w:basedOn w:val="1"/>
    <w:next w:val="1"/>
    <w:qFormat/>
    <w:uiPriority w:val="0"/>
    <w:pPr>
      <w:ind w:left="1600" w:leftChars="1600"/>
    </w:pPr>
    <w:rPr>
      <w:rFonts w:ascii="Calibri" w:hAnsi="Calibri" w:eastAsia="宋体" w:cs="Times New Roman"/>
      <w:sz w:val="24"/>
      <w:szCs w:val="21"/>
    </w:rPr>
  </w:style>
  <w:style w:type="paragraph" w:styleId="35">
    <w:name w:val="toc 2"/>
    <w:basedOn w:val="1"/>
    <w:next w:val="1"/>
    <w:unhideWhenUsed/>
    <w:qFormat/>
    <w:uiPriority w:val="39"/>
    <w:pPr>
      <w:ind w:left="420" w:leftChars="200"/>
    </w:pPr>
  </w:style>
  <w:style w:type="paragraph" w:styleId="36">
    <w:name w:val="toc 9"/>
    <w:basedOn w:val="1"/>
    <w:next w:val="1"/>
    <w:unhideWhenUsed/>
    <w:qFormat/>
    <w:uiPriority w:val="39"/>
    <w:pPr>
      <w:ind w:left="3360" w:leftChars="1600"/>
    </w:pPr>
  </w:style>
  <w:style w:type="paragraph" w:styleId="3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8">
    <w:name w:val="annotation subject"/>
    <w:basedOn w:val="18"/>
    <w:next w:val="18"/>
    <w:link w:val="112"/>
    <w:semiHidden/>
    <w:unhideWhenUsed/>
    <w:qFormat/>
    <w:uiPriority w:val="99"/>
    <w:rPr>
      <w:rFonts w:asciiTheme="minorHAnsi" w:hAnsiTheme="minorHAnsi" w:eastAsiaTheme="minorEastAsia" w:cstheme="minorBidi"/>
      <w:b/>
      <w:bCs/>
      <w:kern w:val="2"/>
      <w:sz w:val="21"/>
      <w:szCs w:val="22"/>
    </w:rPr>
  </w:style>
  <w:style w:type="paragraph" w:styleId="39">
    <w:name w:val="Body Text First Indent"/>
    <w:basedOn w:val="20"/>
    <w:link w:val="71"/>
    <w:semiHidden/>
    <w:unhideWhenUsed/>
    <w:qFormat/>
    <w:uiPriority w:val="99"/>
    <w:pPr>
      <w:ind w:firstLine="420" w:firstLineChars="100"/>
    </w:pPr>
    <w:rPr>
      <w:rFonts w:asciiTheme="minorHAnsi" w:hAnsiTheme="minorHAnsi" w:eastAsiaTheme="minorEastAsia" w:cstheme="minorBidi"/>
      <w:szCs w:val="22"/>
    </w:rPr>
  </w:style>
  <w:style w:type="table" w:styleId="41">
    <w:name w:val="Table Grid"/>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Light List"/>
    <w:basedOn w:val="40"/>
    <w:qFormat/>
    <w:uiPriority w:val="61"/>
    <w:rPr>
      <w:rFonts w:asciiTheme="minorHAnsi" w:hAnsiTheme="minorHAnsi" w:eastAsiaTheme="minorEastAsia" w:cstheme="minorBidi"/>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40"/>
    <w:qFormat/>
    <w:uiPriority w:val="61"/>
    <w:rPr>
      <w:rFonts w:asciiTheme="minorHAnsi" w:hAnsiTheme="minorHAnsi" w:eastAsiaTheme="minorEastAsia" w:cstheme="minorBidi"/>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styleId="45">
    <w:name w:val="Strong"/>
    <w:basedOn w:val="44"/>
    <w:qFormat/>
    <w:uiPriority w:val="22"/>
    <w:rPr>
      <w:b/>
      <w:bCs/>
    </w:rPr>
  </w:style>
  <w:style w:type="character" w:styleId="46">
    <w:name w:val="page number"/>
    <w:qFormat/>
    <w:uiPriority w:val="0"/>
  </w:style>
  <w:style w:type="character" w:styleId="47">
    <w:name w:val="Emphasis"/>
    <w:basedOn w:val="44"/>
    <w:qFormat/>
    <w:uiPriority w:val="20"/>
    <w:rPr>
      <w:i/>
      <w:iCs/>
    </w:rPr>
  </w:style>
  <w:style w:type="character" w:styleId="48">
    <w:name w:val="Hyperlink"/>
    <w:basedOn w:val="44"/>
    <w:unhideWhenUsed/>
    <w:qFormat/>
    <w:uiPriority w:val="99"/>
    <w:rPr>
      <w:color w:val="0000FF" w:themeColor="hyperlink"/>
      <w:u w:val="single"/>
      <w14:textFill>
        <w14:solidFill>
          <w14:schemeClr w14:val="hlink"/>
        </w14:solidFill>
      </w14:textFill>
    </w:rPr>
  </w:style>
  <w:style w:type="character" w:styleId="49">
    <w:name w:val="annotation reference"/>
    <w:qFormat/>
    <w:uiPriority w:val="0"/>
    <w:rPr>
      <w:sz w:val="21"/>
      <w:szCs w:val="21"/>
    </w:rPr>
  </w:style>
  <w:style w:type="character" w:customStyle="1" w:styleId="50">
    <w:name w:val="正文文本缩进 字符"/>
    <w:basedOn w:val="44"/>
    <w:link w:val="3"/>
    <w:semiHidden/>
    <w:qFormat/>
    <w:uiPriority w:val="99"/>
  </w:style>
  <w:style w:type="character" w:customStyle="1" w:styleId="51">
    <w:name w:val="正文文本首行缩进 2 字符"/>
    <w:basedOn w:val="50"/>
    <w:link w:val="2"/>
    <w:qFormat/>
    <w:uiPriority w:val="0"/>
    <w:rPr>
      <w:rFonts w:ascii="Times New Roman" w:hAnsi="Times New Roman" w:eastAsia="宋体" w:cs="Times New Roman"/>
      <w:szCs w:val="24"/>
    </w:rPr>
  </w:style>
  <w:style w:type="character" w:customStyle="1" w:styleId="52">
    <w:name w:val="标题 1 字符"/>
    <w:basedOn w:val="44"/>
    <w:link w:val="4"/>
    <w:qFormat/>
    <w:uiPriority w:val="9"/>
    <w:rPr>
      <w:rFonts w:asciiTheme="minorHAnsi" w:hAnsiTheme="minorHAnsi" w:cstheme="minorBidi"/>
      <w:b/>
      <w:bCs/>
      <w:kern w:val="44"/>
      <w:sz w:val="32"/>
      <w:szCs w:val="44"/>
    </w:rPr>
  </w:style>
  <w:style w:type="character" w:customStyle="1" w:styleId="53">
    <w:name w:val="标题 2 字符"/>
    <w:basedOn w:val="44"/>
    <w:link w:val="5"/>
    <w:qFormat/>
    <w:uiPriority w:val="9"/>
    <w:rPr>
      <w:rFonts w:asciiTheme="majorHAnsi" w:hAnsiTheme="majorHAnsi" w:cstheme="majorBidi"/>
      <w:b/>
      <w:bCs/>
      <w:kern w:val="2"/>
      <w:sz w:val="28"/>
      <w:szCs w:val="32"/>
    </w:rPr>
  </w:style>
  <w:style w:type="character" w:customStyle="1" w:styleId="54">
    <w:name w:val="标题 3 字符"/>
    <w:basedOn w:val="44"/>
    <w:link w:val="6"/>
    <w:qFormat/>
    <w:uiPriority w:val="9"/>
    <w:rPr>
      <w:rFonts w:asciiTheme="minorHAnsi" w:hAnsiTheme="minorHAnsi" w:cstheme="minorBidi"/>
      <w:b/>
      <w:bCs/>
      <w:kern w:val="2"/>
      <w:sz w:val="24"/>
      <w:szCs w:val="32"/>
    </w:rPr>
  </w:style>
  <w:style w:type="character" w:customStyle="1" w:styleId="55">
    <w:name w:val="标题 4 字符"/>
    <w:basedOn w:val="44"/>
    <w:link w:val="7"/>
    <w:qFormat/>
    <w:uiPriority w:val="9"/>
    <w:rPr>
      <w:rFonts w:asciiTheme="majorHAnsi" w:hAnsiTheme="majorHAnsi" w:cstheme="majorBidi"/>
      <w:b/>
      <w:bCs/>
      <w:kern w:val="2"/>
      <w:sz w:val="24"/>
      <w:szCs w:val="28"/>
    </w:rPr>
  </w:style>
  <w:style w:type="character" w:customStyle="1" w:styleId="56">
    <w:name w:val="标题 5 字符"/>
    <w:basedOn w:val="44"/>
    <w:link w:val="8"/>
    <w:qFormat/>
    <w:uiPriority w:val="9"/>
    <w:rPr>
      <w:rFonts w:asciiTheme="minorHAnsi" w:hAnsiTheme="minorHAnsi" w:eastAsiaTheme="minorEastAsia" w:cstheme="minorBidi"/>
      <w:b/>
      <w:bCs/>
      <w:kern w:val="2"/>
      <w:sz w:val="28"/>
      <w:szCs w:val="28"/>
    </w:rPr>
  </w:style>
  <w:style w:type="character" w:customStyle="1" w:styleId="57">
    <w:name w:val="标题 6 字符"/>
    <w:basedOn w:val="44"/>
    <w:link w:val="9"/>
    <w:qFormat/>
    <w:uiPriority w:val="9"/>
    <w:rPr>
      <w:rFonts w:asciiTheme="majorHAnsi" w:hAnsiTheme="majorHAnsi" w:eastAsiaTheme="majorEastAsia" w:cstheme="majorBidi"/>
      <w:b/>
      <w:bCs/>
      <w:kern w:val="2"/>
      <w:sz w:val="24"/>
      <w:szCs w:val="24"/>
    </w:rPr>
  </w:style>
  <w:style w:type="character" w:customStyle="1" w:styleId="58">
    <w:name w:val="标题 7 字符"/>
    <w:basedOn w:val="44"/>
    <w:link w:val="10"/>
    <w:qFormat/>
    <w:uiPriority w:val="9"/>
    <w:rPr>
      <w:rFonts w:asciiTheme="minorHAnsi" w:hAnsiTheme="minorHAnsi" w:eastAsiaTheme="minorEastAsia" w:cstheme="minorBidi"/>
      <w:b/>
      <w:bCs/>
      <w:kern w:val="2"/>
      <w:sz w:val="24"/>
      <w:szCs w:val="24"/>
    </w:rPr>
  </w:style>
  <w:style w:type="character" w:customStyle="1" w:styleId="59">
    <w:name w:val="标题 8 字符"/>
    <w:basedOn w:val="44"/>
    <w:link w:val="11"/>
    <w:qFormat/>
    <w:uiPriority w:val="9"/>
    <w:rPr>
      <w:rFonts w:asciiTheme="majorHAnsi" w:hAnsiTheme="majorHAnsi" w:eastAsiaTheme="majorEastAsia" w:cstheme="majorBidi"/>
      <w:kern w:val="2"/>
      <w:sz w:val="24"/>
      <w:szCs w:val="24"/>
    </w:rPr>
  </w:style>
  <w:style w:type="character" w:customStyle="1" w:styleId="60">
    <w:name w:val="标题 9 字符"/>
    <w:basedOn w:val="44"/>
    <w:link w:val="12"/>
    <w:qFormat/>
    <w:uiPriority w:val="9"/>
    <w:rPr>
      <w:rFonts w:asciiTheme="majorHAnsi" w:hAnsiTheme="majorHAnsi" w:eastAsiaTheme="majorEastAsia" w:cstheme="majorBidi"/>
      <w:kern w:val="2"/>
      <w:sz w:val="21"/>
      <w:szCs w:val="21"/>
    </w:rPr>
  </w:style>
  <w:style w:type="character" w:customStyle="1" w:styleId="61">
    <w:name w:val="正文缩进 字符"/>
    <w:link w:val="15"/>
    <w:qFormat/>
    <w:uiPriority w:val="0"/>
    <w:rPr>
      <w:rFonts w:ascii="Times New Roman" w:hAnsi="Times New Roman" w:eastAsia="宋体" w:cs="Times New Roman"/>
      <w:szCs w:val="20"/>
    </w:rPr>
  </w:style>
  <w:style w:type="character" w:customStyle="1" w:styleId="62">
    <w:name w:val="批注文字 字符1"/>
    <w:link w:val="18"/>
    <w:qFormat/>
    <w:uiPriority w:val="99"/>
    <w:rPr>
      <w:rFonts w:ascii="等线" w:hAnsi="等线" w:eastAsia="宋体" w:cs="Times New Roman"/>
      <w:kern w:val="0"/>
      <w:sz w:val="20"/>
      <w:szCs w:val="20"/>
    </w:rPr>
  </w:style>
  <w:style w:type="character" w:customStyle="1" w:styleId="63">
    <w:name w:val="正文文本 3 字符"/>
    <w:basedOn w:val="44"/>
    <w:link w:val="19"/>
    <w:qFormat/>
    <w:uiPriority w:val="0"/>
    <w:rPr>
      <w:rFonts w:ascii="Times New Roman" w:hAnsi="Times New Roman" w:eastAsia="宋体" w:cs="Times New Roman"/>
      <w:sz w:val="16"/>
      <w:szCs w:val="16"/>
    </w:rPr>
  </w:style>
  <w:style w:type="character" w:customStyle="1" w:styleId="64">
    <w:name w:val="正文文本 字符"/>
    <w:basedOn w:val="44"/>
    <w:link w:val="20"/>
    <w:qFormat/>
    <w:uiPriority w:val="1"/>
    <w:rPr>
      <w:rFonts w:ascii="Times New Roman" w:hAnsi="Times New Roman" w:eastAsia="宋体" w:cs="Times New Roman"/>
      <w:szCs w:val="24"/>
    </w:rPr>
  </w:style>
  <w:style w:type="character" w:customStyle="1" w:styleId="65">
    <w:name w:val="纯文本 字符"/>
    <w:basedOn w:val="44"/>
    <w:link w:val="24"/>
    <w:qFormat/>
    <w:uiPriority w:val="0"/>
    <w:rPr>
      <w:rFonts w:ascii="宋体" w:hAnsi="Courier New" w:eastAsia="宋体" w:cs="Times New Roman"/>
      <w:szCs w:val="20"/>
    </w:rPr>
  </w:style>
  <w:style w:type="character" w:customStyle="1" w:styleId="66">
    <w:name w:val="日期 字符"/>
    <w:basedOn w:val="44"/>
    <w:link w:val="26"/>
    <w:semiHidden/>
    <w:qFormat/>
    <w:uiPriority w:val="99"/>
  </w:style>
  <w:style w:type="character" w:customStyle="1" w:styleId="67">
    <w:name w:val="批注框文本 字符"/>
    <w:basedOn w:val="44"/>
    <w:link w:val="27"/>
    <w:qFormat/>
    <w:uiPriority w:val="0"/>
    <w:rPr>
      <w:rFonts w:ascii="Times New Roman" w:hAnsi="Times New Roman" w:eastAsia="宋体" w:cs="Times New Roman"/>
      <w:sz w:val="18"/>
      <w:szCs w:val="18"/>
    </w:rPr>
  </w:style>
  <w:style w:type="character" w:customStyle="1" w:styleId="68">
    <w:name w:val="页脚 字符"/>
    <w:basedOn w:val="44"/>
    <w:link w:val="28"/>
    <w:qFormat/>
    <w:uiPriority w:val="99"/>
    <w:rPr>
      <w:sz w:val="18"/>
      <w:szCs w:val="18"/>
    </w:rPr>
  </w:style>
  <w:style w:type="character" w:customStyle="1" w:styleId="69">
    <w:name w:val="页眉 字符"/>
    <w:basedOn w:val="44"/>
    <w:link w:val="29"/>
    <w:qFormat/>
    <w:uiPriority w:val="99"/>
    <w:rPr>
      <w:sz w:val="18"/>
      <w:szCs w:val="18"/>
    </w:rPr>
  </w:style>
  <w:style w:type="character" w:customStyle="1" w:styleId="70">
    <w:name w:val="脚注文本 字符"/>
    <w:basedOn w:val="44"/>
    <w:link w:val="32"/>
    <w:qFormat/>
    <w:uiPriority w:val="0"/>
    <w:rPr>
      <w:rFonts w:ascii="Times New Roman" w:hAnsi="Times New Roman" w:eastAsia="宋体" w:cs="Times New Roman"/>
      <w:kern w:val="0"/>
      <w:sz w:val="18"/>
      <w:szCs w:val="20"/>
    </w:rPr>
  </w:style>
  <w:style w:type="character" w:customStyle="1" w:styleId="71">
    <w:name w:val="正文文本首行缩进 字符"/>
    <w:basedOn w:val="64"/>
    <w:link w:val="39"/>
    <w:semiHidden/>
    <w:qFormat/>
    <w:uiPriority w:val="99"/>
    <w:rPr>
      <w:rFonts w:ascii="Times New Roman" w:hAnsi="Times New Roman" w:eastAsia="宋体" w:cs="Times New Roman"/>
      <w:szCs w:val="24"/>
    </w:rPr>
  </w:style>
  <w:style w:type="paragraph" w:customStyle="1" w:styleId="72">
    <w:name w:val="正文（标书专用）"/>
    <w:basedOn w:val="1"/>
    <w:qFormat/>
    <w:uiPriority w:val="0"/>
    <w:pPr>
      <w:spacing w:line="360" w:lineRule="auto"/>
      <w:ind w:firstLine="720" w:firstLineChars="200"/>
    </w:pPr>
    <w:rPr>
      <w:rFonts w:hint="eastAsia" w:ascii="Times New Roman" w:hAnsi="Times New Roman" w:eastAsia="宋体" w:cs="Times New Roman"/>
      <w:szCs w:val="24"/>
    </w:rPr>
  </w:style>
  <w:style w:type="paragraph" w:styleId="73">
    <w:name w:val="List Paragraph"/>
    <w:basedOn w:val="1"/>
    <w:link w:val="74"/>
    <w:qFormat/>
    <w:uiPriority w:val="34"/>
    <w:pPr>
      <w:ind w:firstLine="420" w:firstLineChars="200"/>
    </w:pPr>
  </w:style>
  <w:style w:type="character" w:customStyle="1" w:styleId="74">
    <w:name w:val="列表段落 字符"/>
    <w:link w:val="73"/>
    <w:qFormat/>
    <w:uiPriority w:val="34"/>
  </w:style>
  <w:style w:type="paragraph" w:customStyle="1" w:styleId="75">
    <w:name w:val="TOC 标题1"/>
    <w:basedOn w:val="4"/>
    <w:next w:val="1"/>
    <w:unhideWhenUsed/>
    <w:qFormat/>
    <w:uiPriority w:val="39"/>
    <w:pPr>
      <w:widowControl/>
      <w:spacing w:before="240" w:line="259" w:lineRule="auto"/>
      <w:outlineLvl w:val="9"/>
    </w:pPr>
    <w:rPr>
      <w:rFonts w:asciiTheme="majorHAnsi" w:hAnsiTheme="majorHAnsi" w:eastAsiaTheme="majorEastAsia" w:cstheme="majorBidi"/>
      <w:b w:val="0"/>
      <w:bCs w:val="0"/>
      <w:color w:val="376092" w:themeColor="accent1" w:themeShade="BF"/>
      <w:kern w:val="0"/>
      <w:szCs w:val="32"/>
    </w:rPr>
  </w:style>
  <w:style w:type="paragraph" w:customStyle="1" w:styleId="76">
    <w:name w:val="xl23"/>
    <w:basedOn w:val="1"/>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4"/>
    </w:rPr>
  </w:style>
  <w:style w:type="character" w:customStyle="1" w:styleId="77">
    <w:name w:val="未处理的提及1"/>
    <w:basedOn w:val="44"/>
    <w:semiHidden/>
    <w:unhideWhenUsed/>
    <w:qFormat/>
    <w:uiPriority w:val="99"/>
    <w:rPr>
      <w:color w:val="605E5C"/>
      <w:shd w:val="clear" w:color="auto" w:fill="E1DFDD"/>
    </w:rPr>
  </w:style>
  <w:style w:type="paragraph" w:customStyle="1" w:styleId="7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9">
    <w:name w:val="段"/>
    <w:qFormat/>
    <w:uiPriority w:val="0"/>
    <w:pPr>
      <w:numPr>
        <w:ilvl w:val="1"/>
        <w:numId w:val="3"/>
      </w:numPr>
      <w:autoSpaceDE w:val="0"/>
      <w:autoSpaceDN w:val="0"/>
      <w:ind w:left="0" w:firstLine="200" w:firstLineChars="200"/>
      <w:jc w:val="both"/>
    </w:pPr>
    <w:rPr>
      <w:rFonts w:ascii="宋体" w:hAnsiTheme="minorHAnsi" w:eastAsiaTheme="minorEastAsia" w:cstheme="minorBidi"/>
      <w:kern w:val="2"/>
      <w:sz w:val="21"/>
      <w:szCs w:val="22"/>
      <w:lang w:val="en-US" w:eastAsia="zh-CN" w:bidi="ar-SA"/>
    </w:rPr>
  </w:style>
  <w:style w:type="paragraph" w:customStyle="1" w:styleId="80">
    <w:name w:val="正文文本 (2)"/>
    <w:basedOn w:val="1"/>
    <w:qFormat/>
    <w:uiPriority w:val="99"/>
    <w:pPr>
      <w:shd w:val="clear" w:color="auto" w:fill="FFFFFF"/>
      <w:spacing w:line="360" w:lineRule="auto"/>
    </w:pPr>
    <w:rPr>
      <w:rFonts w:ascii="Times New Roman" w:hAnsi="Times New Roman" w:eastAsia="Times New Roman" w:cs="Times New Roman"/>
      <w:sz w:val="20"/>
      <w:szCs w:val="24"/>
    </w:rPr>
  </w:style>
  <w:style w:type="paragraph" w:customStyle="1" w:styleId="8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82">
    <w:name w:val="纯文本 字符1"/>
    <w:qFormat/>
    <w:uiPriority w:val="0"/>
    <w:rPr>
      <w:rFonts w:ascii="宋体" w:hAnsi="Courier New" w:eastAsia="宋体" w:cs="Times New Roman"/>
      <w:szCs w:val="20"/>
    </w:rPr>
  </w:style>
  <w:style w:type="character" w:customStyle="1" w:styleId="83">
    <w:name w:val="font11"/>
    <w:qFormat/>
    <w:uiPriority w:val="0"/>
    <w:rPr>
      <w:rFonts w:hint="eastAsia" w:ascii="等线" w:hAnsi="等线" w:eastAsia="等线" w:cs="等线"/>
      <w:color w:val="000000"/>
      <w:sz w:val="22"/>
      <w:szCs w:val="22"/>
      <w:u w:val="none"/>
    </w:rPr>
  </w:style>
  <w:style w:type="paragraph" w:customStyle="1" w:styleId="84">
    <w:name w:val="Char Char1 Char Char Char Char Char Char Char"/>
    <w:basedOn w:val="1"/>
    <w:qFormat/>
    <w:uiPriority w:val="0"/>
    <w:pPr>
      <w:numPr>
        <w:ilvl w:val="0"/>
        <w:numId w:val="4"/>
      </w:numPr>
      <w:tabs>
        <w:tab w:val="clear" w:pos="964"/>
      </w:tabs>
      <w:ind w:left="0" w:firstLine="0"/>
    </w:pPr>
    <w:rPr>
      <w:rFonts w:ascii="Tahoma" w:hAnsi="Tahoma" w:eastAsia="宋体" w:cs="Times New Roman"/>
      <w:sz w:val="24"/>
      <w:szCs w:val="20"/>
    </w:rPr>
  </w:style>
  <w:style w:type="paragraph" w:customStyle="1" w:styleId="85">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缩进1"/>
    <w:basedOn w:val="1"/>
    <w:qFormat/>
    <w:uiPriority w:val="0"/>
    <w:pPr>
      <w:autoSpaceDE w:val="0"/>
      <w:autoSpaceDN w:val="0"/>
      <w:adjustRightInd w:val="0"/>
      <w:ind w:firstLine="420"/>
      <w:jc w:val="left"/>
    </w:pPr>
    <w:rPr>
      <w:rFonts w:ascii="宋体" w:hAnsi="Calibri" w:eastAsia="宋体" w:cs="Times New Roman"/>
      <w:kern w:val="0"/>
      <w:sz w:val="24"/>
      <w:szCs w:val="20"/>
    </w:rPr>
  </w:style>
  <w:style w:type="character" w:customStyle="1" w:styleId="87">
    <w:name w:val="标准文本 Char Char"/>
    <w:link w:val="88"/>
    <w:qFormat/>
    <w:uiPriority w:val="0"/>
    <w:rPr>
      <w:rFonts w:eastAsia="宋体" w:cs="宋体"/>
      <w:sz w:val="24"/>
    </w:rPr>
  </w:style>
  <w:style w:type="paragraph" w:customStyle="1" w:styleId="88">
    <w:name w:val="标准文本"/>
    <w:basedOn w:val="1"/>
    <w:link w:val="87"/>
    <w:qFormat/>
    <w:uiPriority w:val="0"/>
    <w:pPr>
      <w:spacing w:line="360" w:lineRule="auto"/>
      <w:ind w:firstLine="480" w:firstLineChars="200"/>
    </w:pPr>
    <w:rPr>
      <w:rFonts w:eastAsia="宋体" w:cs="宋体"/>
      <w:sz w:val="24"/>
    </w:rPr>
  </w:style>
  <w:style w:type="paragraph" w:customStyle="1" w:styleId="89">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90">
    <w:name w:val="No Spacing"/>
    <w:link w:val="91"/>
    <w:qFormat/>
    <w:uiPriority w:val="1"/>
    <w:pPr>
      <w:widowControl w:val="0"/>
      <w:jc w:val="both"/>
    </w:pPr>
    <w:rPr>
      <w:rFonts w:ascii="Book Antiqua" w:hAnsi="Book Antiqua" w:eastAsia="宋体" w:cs="Times New Roman"/>
      <w:b/>
      <w:bCs/>
      <w:kern w:val="2"/>
      <w:sz w:val="32"/>
      <w:szCs w:val="24"/>
      <w:lang w:val="en-US" w:eastAsia="zh-CN" w:bidi="ar-SA"/>
    </w:rPr>
  </w:style>
  <w:style w:type="character" w:customStyle="1" w:styleId="91">
    <w:name w:val="无间隔 字符"/>
    <w:link w:val="90"/>
    <w:qFormat/>
    <w:uiPriority w:val="1"/>
    <w:rPr>
      <w:rFonts w:ascii="Book Antiqua" w:hAnsi="Book Antiqua" w:eastAsia="宋体" w:cs="Times New Roman"/>
      <w:b/>
      <w:bCs/>
      <w:sz w:val="32"/>
      <w:szCs w:val="24"/>
    </w:rPr>
  </w:style>
  <w:style w:type="paragraph" w:customStyle="1" w:styleId="92">
    <w:name w:val="一级条标题"/>
    <w:basedOn w:val="93"/>
    <w:next w:val="1"/>
    <w:qFormat/>
    <w:uiPriority w:val="0"/>
    <w:pPr>
      <w:numPr>
        <w:ilvl w:val="1"/>
      </w:numPr>
      <w:tabs>
        <w:tab w:val="left" w:pos="360"/>
        <w:tab w:val="left" w:pos="840"/>
      </w:tabs>
      <w:ind w:left="0" w:hanging="840"/>
      <w:outlineLvl w:val="1"/>
    </w:pPr>
  </w:style>
  <w:style w:type="paragraph" w:customStyle="1" w:styleId="93">
    <w:name w:val="章标题"/>
    <w:next w:val="1"/>
    <w:qFormat/>
    <w:uiPriority w:val="0"/>
    <w:pPr>
      <w:numPr>
        <w:ilvl w:val="0"/>
        <w:numId w:val="5"/>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94">
    <w:name w:val="正文列项_数字"/>
    <w:basedOn w:val="1"/>
    <w:qFormat/>
    <w:uiPriority w:val="0"/>
    <w:pPr>
      <w:numPr>
        <w:ilvl w:val="7"/>
        <w:numId w:val="5"/>
      </w:numPr>
      <w:tabs>
        <w:tab w:val="clear" w:pos="860"/>
      </w:tabs>
      <w:autoSpaceDE w:val="0"/>
      <w:autoSpaceDN w:val="0"/>
      <w:spacing w:line="460" w:lineRule="exact"/>
      <w:ind w:left="680" w:leftChars="530" w:hanging="150" w:hangingChars="150"/>
      <w:outlineLvl w:val="7"/>
    </w:pPr>
    <w:rPr>
      <w:rFonts w:ascii="宋体" w:hAnsi="Times New Roman" w:eastAsia="宋体" w:cs="Times New Roman"/>
      <w:kern w:val="0"/>
      <w:sz w:val="28"/>
      <w:szCs w:val="20"/>
    </w:rPr>
  </w:style>
  <w:style w:type="paragraph" w:customStyle="1" w:styleId="95">
    <w:name w:val="四级条标题"/>
    <w:basedOn w:val="96"/>
    <w:next w:val="1"/>
    <w:qFormat/>
    <w:uiPriority w:val="0"/>
    <w:pPr>
      <w:numPr>
        <w:ilvl w:val="4"/>
      </w:numPr>
      <w:tabs>
        <w:tab w:val="left" w:pos="360"/>
        <w:tab w:val="left" w:pos="840"/>
      </w:tabs>
      <w:ind w:left="0" w:hanging="840"/>
      <w:outlineLvl w:val="4"/>
    </w:pPr>
  </w:style>
  <w:style w:type="paragraph" w:customStyle="1" w:styleId="96">
    <w:name w:val="三级条标题"/>
    <w:basedOn w:val="1"/>
    <w:next w:val="1"/>
    <w:qFormat/>
    <w:uiPriority w:val="0"/>
    <w:pPr>
      <w:widowControl/>
      <w:numPr>
        <w:ilvl w:val="3"/>
        <w:numId w:val="5"/>
      </w:numPr>
      <w:tabs>
        <w:tab w:val="left" w:pos="360"/>
        <w:tab w:val="left" w:pos="840"/>
      </w:tabs>
      <w:spacing w:before="156" w:beforeLines="50" w:after="156" w:afterLines="50" w:line="460" w:lineRule="exact"/>
      <w:ind w:left="0" w:hanging="840"/>
      <w:outlineLvl w:val="3"/>
    </w:pPr>
    <w:rPr>
      <w:rFonts w:ascii="宋体" w:hAnsi="Times New Roman" w:eastAsia="宋体" w:cs="Times New Roman"/>
      <w:kern w:val="0"/>
      <w:sz w:val="28"/>
      <w:szCs w:val="20"/>
    </w:rPr>
  </w:style>
  <w:style w:type="paragraph" w:customStyle="1" w:styleId="97">
    <w:name w:val="五级条标题"/>
    <w:basedOn w:val="95"/>
    <w:next w:val="1"/>
    <w:qFormat/>
    <w:uiPriority w:val="0"/>
    <w:pPr>
      <w:numPr>
        <w:ilvl w:val="5"/>
      </w:numPr>
      <w:ind w:left="0" w:hanging="840"/>
      <w:outlineLvl w:val="5"/>
    </w:pPr>
  </w:style>
  <w:style w:type="paragraph" w:customStyle="1" w:styleId="98">
    <w:name w:val="正文列项_字母"/>
    <w:basedOn w:val="1"/>
    <w:qFormat/>
    <w:uiPriority w:val="0"/>
    <w:pPr>
      <w:numPr>
        <w:ilvl w:val="6"/>
        <w:numId w:val="5"/>
      </w:numPr>
      <w:tabs>
        <w:tab w:val="clear" w:pos="635"/>
      </w:tabs>
      <w:autoSpaceDE w:val="0"/>
      <w:autoSpaceDN w:val="0"/>
      <w:spacing w:line="460" w:lineRule="exact"/>
      <w:ind w:left="480" w:leftChars="300" w:hanging="180" w:hangingChars="180"/>
      <w:outlineLvl w:val="6"/>
    </w:pPr>
    <w:rPr>
      <w:rFonts w:ascii="宋体" w:hAnsi="Times New Roman" w:eastAsia="宋体" w:cs="Times New Roman"/>
      <w:kern w:val="0"/>
      <w:sz w:val="28"/>
      <w:szCs w:val="20"/>
    </w:rPr>
  </w:style>
  <w:style w:type="paragraph" w:customStyle="1" w:styleId="99">
    <w:name w:val="*正文"/>
    <w:basedOn w:val="1"/>
    <w:qFormat/>
    <w:uiPriority w:val="0"/>
    <w:pPr>
      <w:ind w:firstLine="480"/>
    </w:pPr>
    <w:rPr>
      <w:rFonts w:ascii="Times New Roman" w:hAnsi="Times New Roman"/>
      <w:szCs w:val="24"/>
    </w:rPr>
  </w:style>
  <w:style w:type="character" w:customStyle="1" w:styleId="100">
    <w:name w:val="正文缩进 字符1"/>
    <w:qFormat/>
    <w:uiPriority w:val="0"/>
    <w:rPr>
      <w:kern w:val="2"/>
      <w:sz w:val="21"/>
      <w:szCs w:val="24"/>
    </w:rPr>
  </w:style>
  <w:style w:type="character" w:customStyle="1" w:styleId="101">
    <w:name w:val="批注文字 字符"/>
    <w:basedOn w:val="44"/>
    <w:qFormat/>
    <w:uiPriority w:val="99"/>
  </w:style>
  <w:style w:type="character" w:customStyle="1" w:styleId="102">
    <w:name w:val="纯文本 字符2"/>
    <w:qFormat/>
    <w:uiPriority w:val="99"/>
    <w:rPr>
      <w:rFonts w:ascii="宋体" w:hAnsi="Courier New" w:eastAsia="宋体"/>
    </w:rPr>
  </w:style>
  <w:style w:type="paragraph" w:customStyle="1" w:styleId="103">
    <w:name w:val="样式 样式 样式 样式 标题 2 + 宋体 五号 非加粗 黑色 + 段前: 6 磅 段后: 0 磅 行距: 单倍行距 + 段前:..."/>
    <w:basedOn w:val="1"/>
    <w:qFormat/>
    <w:uiPriority w:val="0"/>
    <w:pPr>
      <w:keepNext/>
      <w:keepLines/>
      <w:spacing w:before="240"/>
      <w:jc w:val="left"/>
      <w:outlineLvl w:val="1"/>
    </w:pPr>
    <w:rPr>
      <w:rFonts w:ascii="宋体" w:hAnsi="宋体" w:eastAsia="宋体" w:cs="宋体"/>
      <w:b/>
      <w:bCs/>
      <w:color w:val="000000"/>
      <w:kern w:val="0"/>
      <w:szCs w:val="20"/>
    </w:rPr>
  </w:style>
  <w:style w:type="paragraph" w:customStyle="1" w:styleId="104">
    <w:name w:val="纯文本1"/>
    <w:basedOn w:val="1"/>
    <w:qFormat/>
    <w:uiPriority w:val="0"/>
    <w:rPr>
      <w:rFonts w:ascii="宋体" w:hAnsi="宋体" w:eastAsia="Courier New" w:cs="Times New Roman"/>
      <w:szCs w:val="21"/>
    </w:rPr>
  </w:style>
  <w:style w:type="paragraph" w:customStyle="1" w:styleId="105">
    <w:name w:val="TEXT"/>
    <w:basedOn w:val="1"/>
    <w:qFormat/>
    <w:uiPriority w:val="0"/>
    <w:pPr>
      <w:widowControl/>
      <w:numPr>
        <w:ilvl w:val="0"/>
        <w:numId w:val="6"/>
      </w:numPr>
      <w:tabs>
        <w:tab w:val="clear" w:pos="576"/>
      </w:tabs>
      <w:spacing w:line="360" w:lineRule="auto"/>
      <w:ind w:left="0" w:firstLine="480"/>
      <w:jc w:val="left"/>
    </w:pPr>
    <w:rPr>
      <w:rFonts w:ascii="Times New Roman" w:hAnsi="Times New Roman" w:eastAsia="宋体" w:cs="Times New Roman"/>
      <w:kern w:val="0"/>
      <w:sz w:val="24"/>
      <w:szCs w:val="24"/>
    </w:rPr>
  </w:style>
  <w:style w:type="paragraph" w:customStyle="1" w:styleId="106">
    <w:name w:val="无间隔1"/>
    <w:link w:val="10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7">
    <w:name w:val="No Spacing Char Char Char"/>
    <w:link w:val="106"/>
    <w:qFormat/>
    <w:uiPriority w:val="0"/>
    <w:rPr>
      <w:rFonts w:ascii="Times New Roman" w:hAnsi="Times New Roman" w:eastAsia="宋体" w:cs="Times New Roman"/>
      <w:szCs w:val="24"/>
    </w:rPr>
  </w:style>
  <w:style w:type="character" w:customStyle="1" w:styleId="108">
    <w:name w:val="页脚 字符1"/>
    <w:qFormat/>
    <w:uiPriority w:val="99"/>
    <w:rPr>
      <w:kern w:val="2"/>
      <w:sz w:val="18"/>
      <w:szCs w:val="18"/>
    </w:rPr>
  </w:style>
  <w:style w:type="paragraph" w:customStyle="1" w:styleId="109">
    <w:name w:val="[1]正文"/>
    <w:basedOn w:val="1"/>
    <w:qFormat/>
    <w:uiPriority w:val="0"/>
    <w:pPr>
      <w:adjustRightInd w:val="0"/>
      <w:snapToGrid w:val="0"/>
      <w:spacing w:line="500" w:lineRule="exact"/>
      <w:ind w:firstLine="510"/>
    </w:pPr>
    <w:rPr>
      <w:rFonts w:ascii="Times New Roman" w:hAnsi="Times New Roman" w:eastAsia="宋体" w:cs="Times New Roman"/>
      <w:color w:val="000000"/>
      <w:kern w:val="0"/>
      <w:sz w:val="28"/>
      <w:szCs w:val="28"/>
      <w:u w:color="000000"/>
    </w:rPr>
  </w:style>
  <w:style w:type="paragraph" w:customStyle="1" w:styleId="110">
    <w:name w:val="第四行"/>
    <w:basedOn w:val="1"/>
    <w:qFormat/>
    <w:uiPriority w:val="0"/>
    <w:pPr>
      <w:tabs>
        <w:tab w:val="left" w:pos="1200"/>
      </w:tabs>
      <w:spacing w:beforeLines="100" w:line="360" w:lineRule="auto"/>
      <w:jc w:val="center"/>
    </w:pPr>
    <w:rPr>
      <w:rFonts w:ascii="宋体" w:hAnsi="Arial Narrow" w:eastAsia="宋体" w:cs="Times New Roman"/>
      <w:b/>
      <w:spacing w:val="40"/>
      <w:sz w:val="28"/>
      <w:szCs w:val="20"/>
    </w:rPr>
  </w:style>
  <w:style w:type="paragraph" w:customStyle="1" w:styleId="111">
    <w:name w:val="注"/>
    <w:basedOn w:val="1"/>
    <w:qFormat/>
    <w:uiPriority w:val="0"/>
    <w:pPr>
      <w:spacing w:line="360" w:lineRule="auto"/>
      <w:ind w:left="200" w:hanging="200" w:hangingChars="200"/>
    </w:pPr>
    <w:rPr>
      <w:rFonts w:ascii="宋体" w:hAnsi="宋体" w:eastAsia="宋体" w:cs="Times New Roman"/>
      <w:b/>
      <w:szCs w:val="20"/>
    </w:rPr>
  </w:style>
  <w:style w:type="character" w:customStyle="1" w:styleId="112">
    <w:name w:val="批注主题 字符"/>
    <w:basedOn w:val="62"/>
    <w:link w:val="38"/>
    <w:semiHidden/>
    <w:qFormat/>
    <w:uiPriority w:val="99"/>
    <w:rPr>
      <w:rFonts w:asciiTheme="minorHAnsi" w:hAnsiTheme="minorHAnsi" w:eastAsiaTheme="minorEastAsia" w:cstheme="minorBidi"/>
      <w:b/>
      <w:bCs/>
      <w:kern w:val="2"/>
      <w:sz w:val="21"/>
      <w:szCs w:val="22"/>
    </w:rPr>
  </w:style>
  <w:style w:type="paragraph" w:customStyle="1" w:styleId="113">
    <w:name w:val="TOC Heading"/>
    <w:basedOn w:val="4"/>
    <w:next w:val="1"/>
    <w:unhideWhenUsed/>
    <w:qFormat/>
    <w:uiPriority w:val="39"/>
    <w:pPr>
      <w:widowControl/>
      <w:numPr>
        <w:numId w:val="7"/>
      </w:numPr>
      <w:spacing w:before="240" w:line="259" w:lineRule="auto"/>
      <w:outlineLvl w:val="9"/>
    </w:pPr>
    <w:rPr>
      <w:rFonts w:asciiTheme="majorHAnsi" w:hAnsiTheme="majorHAnsi" w:eastAsiaTheme="majorEastAsia" w:cstheme="majorBidi"/>
      <w:b w:val="0"/>
      <w:bCs w:val="0"/>
      <w:color w:val="376092" w:themeColor="accent1" w:themeShade="BF"/>
      <w:kern w:val="0"/>
      <w:szCs w:val="32"/>
    </w:rPr>
  </w:style>
  <w:style w:type="paragraph" w:customStyle="1" w:styleId="114">
    <w:name w:val="段落正文"/>
    <w:basedOn w:val="1"/>
    <w:qFormat/>
    <w:uiPriority w:val="0"/>
    <w:pPr>
      <w:spacing w:before="50" w:beforeLines="50" w:after="50" w:afterLines="50" w:line="360" w:lineRule="auto"/>
      <w:ind w:firstLine="200" w:firstLineChars="200"/>
      <w:contextualSpacing/>
      <w:jc w:val="left"/>
    </w:pPr>
    <w:rPr>
      <w:rFonts w:ascii="Times New Roman" w:hAnsi="Times New Roman" w:eastAsia="宋体" w:cs="Times New Roman"/>
      <w:kern w:val="0"/>
      <w:szCs w:val="24"/>
      <w:lang w:val="zh-CN" w:eastAsia="en-US" w:bidi="en-US"/>
    </w:rPr>
  </w:style>
  <w:style w:type="paragraph" w:customStyle="1" w:styleId="115">
    <w:name w:val="表格文字"/>
    <w:basedOn w:val="1"/>
    <w:qFormat/>
    <w:uiPriority w:val="0"/>
    <w:pPr>
      <w:spacing w:line="288" w:lineRule="auto"/>
      <w:jc w:val="left"/>
    </w:pPr>
    <w:rPr>
      <w:rFonts w:ascii="Times New Roman" w:hAnsi="Times New Roman" w:eastAsia="宋体" w:cs="Times New Roman"/>
      <w:szCs w:val="21"/>
    </w:rPr>
  </w:style>
  <w:style w:type="paragraph" w:customStyle="1" w:styleId="116">
    <w:name w:val="图片样式"/>
    <w:basedOn w:val="1"/>
    <w:qFormat/>
    <w:uiPriority w:val="0"/>
    <w:pPr>
      <w:spacing w:beforeLines="50" w:afterLines="50" w:line="360" w:lineRule="auto"/>
      <w:jc w:val="center"/>
    </w:pPr>
    <w:rPr>
      <w:rFonts w:ascii="Times New Roman" w:hAnsi="Times New Roman" w:eastAsia="宋体" w:cs="Times New Roman"/>
      <w:kern w:val="0"/>
      <w:sz w:val="18"/>
      <w:szCs w:val="24"/>
      <w:lang w:val="zh-CN" w:eastAsia="en-US" w:bidi="en-US"/>
    </w:rPr>
  </w:style>
  <w:style w:type="table" w:customStyle="1" w:styleId="117">
    <w:name w:val="网格型1"/>
    <w:basedOn w:val="4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文档结构图 字符"/>
    <w:basedOn w:val="44"/>
    <w:link w:val="17"/>
    <w:semiHidden/>
    <w:qFormat/>
    <w:uiPriority w:val="99"/>
    <w:rPr>
      <w:rFonts w:ascii="Heiti SC Light" w:eastAsia="Heiti SC Light" w:hAnsiTheme="minorHAnsi" w:cstheme="minorBidi"/>
      <w:kern w:val="2"/>
      <w:sz w:val="24"/>
      <w:szCs w:val="24"/>
    </w:rPr>
  </w:style>
  <w:style w:type="table" w:customStyle="1" w:styleId="119">
    <w:name w:val="网格型2"/>
    <w:basedOn w:val="40"/>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0">
    <w:name w:val="表格内容"/>
    <w:next w:val="1"/>
    <w:qFormat/>
    <w:uiPriority w:val="0"/>
    <w:pPr>
      <w:spacing w:line="360" w:lineRule="auto"/>
      <w:jc w:val="center"/>
    </w:pPr>
    <w:rPr>
      <w:rFonts w:ascii="Times New Roman" w:hAnsi="Times New Roman" w:eastAsia="仿宋" w:cs="Times New Roman"/>
      <w:bCs/>
      <w:kern w:val="2"/>
      <w:sz w:val="24"/>
      <w:szCs w:val="32"/>
      <w:lang w:val="en-US" w:eastAsia="zh-CN" w:bidi="ar-SA"/>
    </w:rPr>
  </w:style>
  <w:style w:type="paragraph" w:customStyle="1" w:styleId="121">
    <w:name w:val="第4层次"/>
    <w:basedOn w:val="7"/>
    <w:qFormat/>
    <w:uiPriority w:val="0"/>
    <w:pPr>
      <w:widowControl/>
      <w:spacing w:before="280" w:after="290"/>
    </w:pPr>
    <w:rPr>
      <w:rFonts w:ascii="宋体" w:hAnsi="宋体"/>
      <w:kern w:val="0"/>
      <w:szCs w:val="24"/>
    </w:rPr>
  </w:style>
  <w:style w:type="paragraph" w:customStyle="1" w:styleId="122">
    <w:name w:val="可研正文"/>
    <w:basedOn w:val="1"/>
    <w:autoRedefine/>
    <w:qFormat/>
    <w:uiPriority w:val="0"/>
    <w:pPr>
      <w:widowControl/>
      <w:autoSpaceDE w:val="0"/>
      <w:autoSpaceDN w:val="0"/>
      <w:spacing w:line="360" w:lineRule="auto"/>
      <w:ind w:left="480" w:leftChars="200"/>
      <w:jc w:val="left"/>
    </w:pPr>
    <w:rPr>
      <w:rFonts w:ascii="宋体" w:hAnsi="宋体" w:eastAsia="宋体" w:cs="Times New Roman"/>
      <w:kern w:val="0"/>
      <w:sz w:val="24"/>
      <w:szCs w:val="24"/>
      <w:lang w:val="zh-CN"/>
    </w:rPr>
  </w:style>
  <w:style w:type="character" w:customStyle="1" w:styleId="123">
    <w:name w:val="未处理的提及2"/>
    <w:basedOn w:val="4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89.png"/><Relationship Id="rId98" Type="http://schemas.openxmlformats.org/officeDocument/2006/relationships/image" Target="media/image88.png"/><Relationship Id="rId97" Type="http://schemas.openxmlformats.org/officeDocument/2006/relationships/image" Target="media/image87.png"/><Relationship Id="rId96" Type="http://schemas.openxmlformats.org/officeDocument/2006/relationships/image" Target="media/image86.png"/><Relationship Id="rId95" Type="http://schemas.openxmlformats.org/officeDocument/2006/relationships/image" Target="media/image85.png"/><Relationship Id="rId94" Type="http://schemas.openxmlformats.org/officeDocument/2006/relationships/image" Target="media/image84.png"/><Relationship Id="rId93" Type="http://schemas.openxmlformats.org/officeDocument/2006/relationships/image" Target="media/image83.png"/><Relationship Id="rId92" Type="http://schemas.openxmlformats.org/officeDocument/2006/relationships/image" Target="media/image82.png"/><Relationship Id="rId91" Type="http://schemas.openxmlformats.org/officeDocument/2006/relationships/image" Target="media/image81.png"/><Relationship Id="rId90" Type="http://schemas.openxmlformats.org/officeDocument/2006/relationships/image" Target="media/image80.png"/><Relationship Id="rId9" Type="http://schemas.openxmlformats.org/officeDocument/2006/relationships/footer" Target="footer4.xml"/><Relationship Id="rId89" Type="http://schemas.openxmlformats.org/officeDocument/2006/relationships/image" Target="media/image79.png"/><Relationship Id="rId88" Type="http://schemas.openxmlformats.org/officeDocument/2006/relationships/image" Target="media/image78.png"/><Relationship Id="rId87" Type="http://schemas.openxmlformats.org/officeDocument/2006/relationships/image" Target="media/image77.png"/><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footer" Target="footer3.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pn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png"/><Relationship Id="rId7" Type="http://schemas.openxmlformats.org/officeDocument/2006/relationships/footer" Target="footer2.xml"/><Relationship Id="rId69" Type="http://schemas.openxmlformats.org/officeDocument/2006/relationships/image" Target="media/image59.pn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png"/><Relationship Id="rId65" Type="http://schemas.openxmlformats.org/officeDocument/2006/relationships/image" Target="media/image55.pn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footer" Target="footer1.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header" Target="header3.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header" Target="header2.xml"/><Relationship Id="rId39" Type="http://schemas.openxmlformats.org/officeDocument/2006/relationships/image" Target="media/image29.png"/><Relationship Id="rId38" Type="http://schemas.openxmlformats.org/officeDocument/2006/relationships/image" Target="media/image28.jpe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1" Type="http://schemas.openxmlformats.org/officeDocument/2006/relationships/fontTable" Target="fontTable.xml"/><Relationship Id="rId160" Type="http://schemas.openxmlformats.org/officeDocument/2006/relationships/numbering" Target="numbering.xml"/><Relationship Id="rId16" Type="http://schemas.openxmlformats.org/officeDocument/2006/relationships/image" Target="media/image6.png"/><Relationship Id="rId159" Type="http://schemas.openxmlformats.org/officeDocument/2006/relationships/image" Target="media/image144.png"/><Relationship Id="rId158" Type="http://schemas.microsoft.com/office/2007/relationships/diagramDrawing" Target="diagrams/drawing1.xml"/><Relationship Id="rId157" Type="http://schemas.openxmlformats.org/officeDocument/2006/relationships/diagramColors" Target="diagrams/colors1.xml"/><Relationship Id="rId156" Type="http://schemas.openxmlformats.org/officeDocument/2006/relationships/diagramQuickStyle" Target="diagrams/quickStyle1.xml"/><Relationship Id="rId155" Type="http://schemas.openxmlformats.org/officeDocument/2006/relationships/diagramLayout" Target="diagrams/layout1.xml"/><Relationship Id="rId154" Type="http://schemas.openxmlformats.org/officeDocument/2006/relationships/diagramData" Target="diagrams/data1.xml"/><Relationship Id="rId153" Type="http://schemas.openxmlformats.org/officeDocument/2006/relationships/image" Target="media/image143.jpeg"/><Relationship Id="rId152" Type="http://schemas.openxmlformats.org/officeDocument/2006/relationships/image" Target="media/image142.png"/><Relationship Id="rId151" Type="http://schemas.openxmlformats.org/officeDocument/2006/relationships/image" Target="media/image141.png"/><Relationship Id="rId150" Type="http://schemas.openxmlformats.org/officeDocument/2006/relationships/image" Target="media/image140.png"/><Relationship Id="rId15" Type="http://schemas.openxmlformats.org/officeDocument/2006/relationships/image" Target="media/image5.png"/><Relationship Id="rId149" Type="http://schemas.openxmlformats.org/officeDocument/2006/relationships/image" Target="media/image139.jpeg"/><Relationship Id="rId148" Type="http://schemas.openxmlformats.org/officeDocument/2006/relationships/image" Target="media/image138.png"/><Relationship Id="rId147" Type="http://schemas.openxmlformats.org/officeDocument/2006/relationships/image" Target="media/image137.png"/><Relationship Id="rId146" Type="http://schemas.openxmlformats.org/officeDocument/2006/relationships/image" Target="media/image136.png"/><Relationship Id="rId145" Type="http://schemas.openxmlformats.org/officeDocument/2006/relationships/image" Target="media/image135.png"/><Relationship Id="rId144" Type="http://schemas.openxmlformats.org/officeDocument/2006/relationships/image" Target="media/image134.png"/><Relationship Id="rId143" Type="http://schemas.openxmlformats.org/officeDocument/2006/relationships/image" Target="media/image133.png"/><Relationship Id="rId142" Type="http://schemas.openxmlformats.org/officeDocument/2006/relationships/image" Target="media/image132.png"/><Relationship Id="rId141" Type="http://schemas.openxmlformats.org/officeDocument/2006/relationships/image" Target="media/image131.png"/><Relationship Id="rId140" Type="http://schemas.openxmlformats.org/officeDocument/2006/relationships/image" Target="media/image130.png"/><Relationship Id="rId14" Type="http://schemas.openxmlformats.org/officeDocument/2006/relationships/image" Target="media/image4.png"/><Relationship Id="rId139" Type="http://schemas.openxmlformats.org/officeDocument/2006/relationships/image" Target="media/image129.png"/><Relationship Id="rId138" Type="http://schemas.openxmlformats.org/officeDocument/2006/relationships/image" Target="media/image128.png"/><Relationship Id="rId137" Type="http://schemas.openxmlformats.org/officeDocument/2006/relationships/image" Target="media/image127.png"/><Relationship Id="rId136" Type="http://schemas.openxmlformats.org/officeDocument/2006/relationships/image" Target="media/image126.png"/><Relationship Id="rId135" Type="http://schemas.openxmlformats.org/officeDocument/2006/relationships/image" Target="media/image125.png"/><Relationship Id="rId134" Type="http://schemas.openxmlformats.org/officeDocument/2006/relationships/image" Target="media/image124.jpeg"/><Relationship Id="rId133" Type="http://schemas.openxmlformats.org/officeDocument/2006/relationships/image" Target="media/image123.png"/><Relationship Id="rId132" Type="http://schemas.openxmlformats.org/officeDocument/2006/relationships/image" Target="media/image122.png"/><Relationship Id="rId131" Type="http://schemas.openxmlformats.org/officeDocument/2006/relationships/image" Target="media/image121.png"/><Relationship Id="rId130" Type="http://schemas.openxmlformats.org/officeDocument/2006/relationships/image" Target="media/image120.png"/><Relationship Id="rId13" Type="http://schemas.openxmlformats.org/officeDocument/2006/relationships/image" Target="media/image3.png"/><Relationship Id="rId129" Type="http://schemas.openxmlformats.org/officeDocument/2006/relationships/image" Target="media/image119.png"/><Relationship Id="rId128" Type="http://schemas.openxmlformats.org/officeDocument/2006/relationships/image" Target="media/image118.png"/><Relationship Id="rId127" Type="http://schemas.openxmlformats.org/officeDocument/2006/relationships/image" Target="media/image117.png"/><Relationship Id="rId126" Type="http://schemas.openxmlformats.org/officeDocument/2006/relationships/image" Target="media/image116.jpeg"/><Relationship Id="rId125" Type="http://schemas.openxmlformats.org/officeDocument/2006/relationships/image" Target="media/image115.png"/><Relationship Id="rId124" Type="http://schemas.openxmlformats.org/officeDocument/2006/relationships/image" Target="media/image114.png"/><Relationship Id="rId123" Type="http://schemas.openxmlformats.org/officeDocument/2006/relationships/image" Target="media/image113.jpeg"/><Relationship Id="rId122" Type="http://schemas.openxmlformats.org/officeDocument/2006/relationships/image" Target="media/image112.png"/><Relationship Id="rId121" Type="http://schemas.openxmlformats.org/officeDocument/2006/relationships/image" Target="media/image111.jpeg"/><Relationship Id="rId120" Type="http://schemas.openxmlformats.org/officeDocument/2006/relationships/image" Target="media/image110.jpeg"/><Relationship Id="rId12" Type="http://schemas.openxmlformats.org/officeDocument/2006/relationships/image" Target="media/image2.png"/><Relationship Id="rId119" Type="http://schemas.openxmlformats.org/officeDocument/2006/relationships/image" Target="media/image109.jpeg"/><Relationship Id="rId118" Type="http://schemas.openxmlformats.org/officeDocument/2006/relationships/image" Target="media/image108.jpeg"/><Relationship Id="rId117" Type="http://schemas.openxmlformats.org/officeDocument/2006/relationships/image" Target="media/image107.jpeg"/><Relationship Id="rId116" Type="http://schemas.openxmlformats.org/officeDocument/2006/relationships/image" Target="media/image106.jpeg"/><Relationship Id="rId115" Type="http://schemas.openxmlformats.org/officeDocument/2006/relationships/image" Target="media/image105.png"/><Relationship Id="rId114" Type="http://schemas.openxmlformats.org/officeDocument/2006/relationships/image" Target="media/image104.jpeg"/><Relationship Id="rId113" Type="http://schemas.openxmlformats.org/officeDocument/2006/relationships/image" Target="media/image103.png"/><Relationship Id="rId112" Type="http://schemas.openxmlformats.org/officeDocument/2006/relationships/image" Target="media/image102.png"/><Relationship Id="rId111" Type="http://schemas.openxmlformats.org/officeDocument/2006/relationships/image" Target="media/image101.png"/><Relationship Id="rId110" Type="http://schemas.openxmlformats.org/officeDocument/2006/relationships/image" Target="media/image100.png"/><Relationship Id="rId11" Type="http://schemas.openxmlformats.org/officeDocument/2006/relationships/image" Target="media/image1.png"/><Relationship Id="rId109" Type="http://schemas.openxmlformats.org/officeDocument/2006/relationships/image" Target="media/image99.png"/><Relationship Id="rId108" Type="http://schemas.openxmlformats.org/officeDocument/2006/relationships/image" Target="media/image98.png"/><Relationship Id="rId107" Type="http://schemas.openxmlformats.org/officeDocument/2006/relationships/image" Target="media/image97.png"/><Relationship Id="rId106" Type="http://schemas.openxmlformats.org/officeDocument/2006/relationships/image" Target="media/image96.jpeg"/><Relationship Id="rId105" Type="http://schemas.openxmlformats.org/officeDocument/2006/relationships/image" Target="media/image95.png"/><Relationship Id="rId104" Type="http://schemas.openxmlformats.org/officeDocument/2006/relationships/image" Target="media/image94.png"/><Relationship Id="rId103" Type="http://schemas.openxmlformats.org/officeDocument/2006/relationships/image" Target="media/image93.png"/><Relationship Id="rId102" Type="http://schemas.openxmlformats.org/officeDocument/2006/relationships/image" Target="media/image92.png"/><Relationship Id="rId101" Type="http://schemas.openxmlformats.org/officeDocument/2006/relationships/image" Target="media/image91.png"/><Relationship Id="rId100" Type="http://schemas.openxmlformats.org/officeDocument/2006/relationships/image" Target="media/image90.png"/><Relationship Id="rId10" Type="http://schemas.openxmlformats.org/officeDocument/2006/relationships/theme" Target="theme/theme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F11B743-A56D-0849-82D7-B0D5D5AD2254}" type="doc">
      <dgm:prSet loTypeId="urn:microsoft.com/office/officeart/2005/8/layout/hierarchy6" loCatId="" qsTypeId="urn:microsoft.com/office/officeart/2005/8/quickstyle/simple4#1" qsCatId="simple" csTypeId="urn:microsoft.com/office/officeart/2005/8/colors/accent1_2#1" csCatId="accent1" phldr="1"/>
      <dgm:spPr/>
      <dgm:t>
        <a:bodyPr/>
        <a:p>
          <a:endParaRPr lang="zh-CN" altLang="en-US"/>
        </a:p>
      </dgm:t>
    </dgm:pt>
    <dgm:pt modelId="{CCD2CB6A-67B4-6544-874E-40DDA0CDA2DC}">
      <dgm:prSet phldrT="[文本]"/>
      <dgm:spPr>
        <a:xfrm>
          <a:off x="2416343" y="402386"/>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p>
          <a:r>
            <a:rPr lang="zh-CN" altLang="en-US">
              <a:solidFill>
                <a:sysClr val="window" lastClr="FFFFFF"/>
              </a:solidFill>
              <a:latin typeface="Calibri" panose="020F0502020204030204"/>
              <a:ea typeface="宋体" panose="02010600030101010101" charset="-122"/>
              <a:cs typeface="+mn-cs"/>
            </a:rPr>
            <a:t>项目经理</a:t>
          </a:r>
        </a:p>
      </dgm:t>
    </dgm:pt>
    <dgm:pt modelId="{A391EDC9-51B3-2344-BCDB-BBFF685CE6F7}" cxnId="{51B1A215-8BF3-9D42-A834-CBFF16B26428}" type="parTrans">
      <dgm:prSet/>
      <dgm:spPr/>
      <dgm:t>
        <a:bodyPr/>
        <a:p>
          <a:endParaRPr lang="zh-CN" altLang="en-US"/>
        </a:p>
      </dgm:t>
    </dgm:pt>
    <dgm:pt modelId="{733E6117-E38D-264A-9A64-23DD91EDF963}" cxnId="{51B1A215-8BF3-9D42-A834-CBFF16B26428}" type="sibTrans">
      <dgm:prSet/>
      <dgm:spPr/>
      <dgm:t>
        <a:bodyPr/>
        <a:p>
          <a:endParaRPr lang="zh-CN" altLang="en-US"/>
        </a:p>
      </dgm:t>
    </dgm:pt>
    <dgm:pt modelId="{198277E9-C76B-CA46-BD3C-67A6900DF45D}">
      <dgm:prSet phldrT="[文本]"/>
      <dgm:spPr>
        <a:xfrm>
          <a:off x="1208387" y="937004"/>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p>
          <a:r>
            <a:rPr lang="zh-CN" altLang="en-US">
              <a:solidFill>
                <a:sysClr val="window" lastClr="FFFFFF"/>
              </a:solidFill>
              <a:latin typeface="Calibri" panose="020F0502020204030204"/>
              <a:ea typeface="宋体" panose="02010600030101010101" charset="-122"/>
              <a:cs typeface="+mn-cs"/>
            </a:rPr>
            <a:t>运营经理</a:t>
          </a:r>
        </a:p>
      </dgm:t>
    </dgm:pt>
    <dgm:pt modelId="{0535633C-A6B4-4A4D-BC95-F15C4416F9D9}" cxnId="{EA024F49-4612-DE41-8ED3-9533B7DA065E}" type="parTrans">
      <dgm:prSet/>
      <dgm:spPr>
        <a:xfrm>
          <a:off x="1670789" y="690389"/>
          <a:ext cx="1207956" cy="246614"/>
        </a:xfrm>
        <a:custGeom>
          <a:avLst/>
          <a:gdLst/>
          <a:ahLst/>
          <a:cxnLst/>
          <a:rect l="0" t="0" r="0" b="0"/>
          <a:pathLst>
            <a:path>
              <a:moveTo>
                <a:pt x="1207956" y="0"/>
              </a:moveTo>
              <a:lnTo>
                <a:pt x="1207956" y="123307"/>
              </a:lnTo>
              <a:lnTo>
                <a:pt x="0" y="123307"/>
              </a:lnTo>
              <a:lnTo>
                <a:pt x="0" y="246614"/>
              </a:lnTo>
            </a:path>
          </a:pathLst>
        </a:custGeom>
        <a:noFill/>
        <a:ln w="9525" cap="flat" cmpd="sng" algn="ctr">
          <a:solidFill>
            <a:srgbClr val="4F81BD">
              <a:shade val="60000"/>
              <a:hueOff val="0"/>
              <a:satOff val="0"/>
              <a:lumOff val="0"/>
              <a:alphaOff val="0"/>
            </a:srgbClr>
          </a:solidFill>
          <a:prstDash val="solid"/>
        </a:ln>
        <a:effectLst/>
      </dgm:spPr>
      <dgm:t>
        <a:bodyPr/>
        <a:p>
          <a:endParaRPr lang="zh-CN" altLang="en-US"/>
        </a:p>
      </dgm:t>
    </dgm:pt>
    <dgm:pt modelId="{9E0D7EFA-7227-E148-950C-23A503DDB0DD}" cxnId="{EA024F49-4612-DE41-8ED3-9533B7DA065E}" type="sibTrans">
      <dgm:prSet/>
      <dgm:spPr/>
      <dgm:t>
        <a:bodyPr/>
        <a:p>
          <a:endParaRPr lang="zh-CN" altLang="en-US"/>
        </a:p>
      </dgm:t>
    </dgm:pt>
    <dgm:pt modelId="{0F543632-C36F-2643-B228-AB6CE3169BC4}">
      <dgm:prSet phldrT="[文本]"/>
      <dgm:spPr>
        <a:xfrm>
          <a:off x="359962"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技术保障人员</a:t>
          </a:r>
        </a:p>
      </dgm:t>
    </dgm:pt>
    <dgm:pt modelId="{0D1AC296-500D-0A46-9951-4A85A571F9F5}" cxnId="{8CC789CB-66A8-A34A-B6F4-FDB08CEBF789}" type="parTrans">
      <dgm:prSet/>
      <dgm:spPr>
        <a:xfrm>
          <a:off x="462832" y="1225006"/>
          <a:ext cx="1207956" cy="246614"/>
        </a:xfrm>
        <a:custGeom>
          <a:avLst/>
          <a:gdLst/>
          <a:ahLst/>
          <a:cxnLst/>
          <a:rect l="0" t="0" r="0" b="0"/>
          <a:pathLst>
            <a:path>
              <a:moveTo>
                <a:pt x="1207956" y="0"/>
              </a:moveTo>
              <a:lnTo>
                <a:pt x="1207956"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B52AAC2C-CB7C-AD4D-BBD5-998D7BBC0FE1}" cxnId="{8CC789CB-66A8-A34A-B6F4-FDB08CEBF789}" type="sibTrans">
      <dgm:prSet/>
      <dgm:spPr/>
      <dgm:t>
        <a:bodyPr/>
        <a:p>
          <a:endParaRPr lang="zh-CN" altLang="en-US"/>
        </a:p>
      </dgm:t>
    </dgm:pt>
    <dgm:pt modelId="{E752676F-2BE4-D64D-A2EB-2C448196B3AB}">
      <dgm:prSet phldrT="[文本]"/>
      <dgm:spPr>
        <a:xfrm>
          <a:off x="843144"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应用系统管理员</a:t>
          </a:r>
        </a:p>
      </dgm:t>
    </dgm:pt>
    <dgm:pt modelId="{AAD40D3A-BCFA-C44C-AF1E-87B6450E5DA0}" cxnId="{445EA0F8-09CF-2548-B9E8-A8C40A1A55AB}" type="parTrans">
      <dgm:prSet/>
      <dgm:spPr>
        <a:xfrm>
          <a:off x="946015" y="1225006"/>
          <a:ext cx="724774" cy="246614"/>
        </a:xfrm>
        <a:custGeom>
          <a:avLst/>
          <a:gdLst/>
          <a:ahLst/>
          <a:cxnLst/>
          <a:rect l="0" t="0" r="0" b="0"/>
          <a:pathLst>
            <a:path>
              <a:moveTo>
                <a:pt x="724774" y="0"/>
              </a:moveTo>
              <a:lnTo>
                <a:pt x="724774"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F513C13A-340D-374A-A7E4-5F46BFC6A947}" cxnId="{445EA0F8-09CF-2548-B9E8-A8C40A1A55AB}" type="sibTrans">
      <dgm:prSet/>
      <dgm:spPr/>
      <dgm:t>
        <a:bodyPr/>
        <a:p>
          <a:endParaRPr lang="zh-CN" altLang="en-US"/>
        </a:p>
      </dgm:t>
    </dgm:pt>
    <dgm:pt modelId="{BC26CCC8-0633-B24D-8A96-0872F7606317}">
      <dgm:prSet phldrT="[文本]"/>
      <dgm:spPr>
        <a:xfrm>
          <a:off x="3624300" y="937004"/>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p>
          <a:r>
            <a:rPr lang="zh-CN" altLang="en-US">
              <a:solidFill>
                <a:sysClr val="window" lastClr="FFFFFF"/>
              </a:solidFill>
              <a:latin typeface="Calibri" panose="020F0502020204030204"/>
              <a:ea typeface="宋体" panose="02010600030101010101" charset="-122"/>
              <a:cs typeface="+mn-cs"/>
            </a:rPr>
            <a:t>运维经理</a:t>
          </a:r>
        </a:p>
      </dgm:t>
    </dgm:pt>
    <dgm:pt modelId="{5629AC9A-4B70-8840-A192-96CBE7BEC1BD}" cxnId="{A426D15B-7AF5-934F-BEEC-7B126A249948}" type="parTrans">
      <dgm:prSet/>
      <dgm:spPr>
        <a:xfrm>
          <a:off x="2878746" y="690389"/>
          <a:ext cx="1207956" cy="246614"/>
        </a:xfrm>
        <a:custGeom>
          <a:avLst/>
          <a:gdLst/>
          <a:ahLst/>
          <a:cxnLst/>
          <a:rect l="0" t="0" r="0" b="0"/>
          <a:pathLst>
            <a:path>
              <a:moveTo>
                <a:pt x="0" y="0"/>
              </a:moveTo>
              <a:lnTo>
                <a:pt x="0" y="123307"/>
              </a:lnTo>
              <a:lnTo>
                <a:pt x="1207956" y="123307"/>
              </a:lnTo>
              <a:lnTo>
                <a:pt x="1207956" y="246614"/>
              </a:lnTo>
            </a:path>
          </a:pathLst>
        </a:custGeom>
        <a:noFill/>
        <a:ln w="9525" cap="flat" cmpd="sng" algn="ctr">
          <a:solidFill>
            <a:srgbClr val="4F81BD">
              <a:shade val="60000"/>
              <a:hueOff val="0"/>
              <a:satOff val="0"/>
              <a:lumOff val="0"/>
              <a:alphaOff val="0"/>
            </a:srgbClr>
          </a:solidFill>
          <a:prstDash val="solid"/>
        </a:ln>
        <a:effectLst/>
      </dgm:spPr>
      <dgm:t>
        <a:bodyPr/>
        <a:p>
          <a:endParaRPr lang="zh-CN" altLang="en-US"/>
        </a:p>
      </dgm:t>
    </dgm:pt>
    <dgm:pt modelId="{DB181980-B9C4-5044-BDDD-7D6E0DA95DE4}" cxnId="{A426D15B-7AF5-934F-BEEC-7B126A249948}" type="sibTrans">
      <dgm:prSet/>
      <dgm:spPr/>
      <dgm:t>
        <a:bodyPr/>
        <a:p>
          <a:endParaRPr lang="zh-CN" altLang="en-US"/>
        </a:p>
      </dgm:t>
    </dgm:pt>
    <dgm:pt modelId="{082562B6-76A2-874F-8DC0-A9023AD8030E}">
      <dgm:prSet phldrT="[文本]"/>
      <dgm:spPr>
        <a:xfrm>
          <a:off x="3259058"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系统管理员</a:t>
          </a:r>
        </a:p>
      </dgm:t>
    </dgm:pt>
    <dgm:pt modelId="{DBA354EB-9FF0-2543-BCDE-F9A832EDE888}" cxnId="{6915D69B-3DD2-AD49-A07F-7BA52EE78CC8}" type="parTrans">
      <dgm:prSet/>
      <dgm:spPr>
        <a:xfrm>
          <a:off x="3361929" y="1225006"/>
          <a:ext cx="724774" cy="246614"/>
        </a:xfrm>
        <a:custGeom>
          <a:avLst/>
          <a:gdLst/>
          <a:ahLst/>
          <a:cxnLst/>
          <a:rect l="0" t="0" r="0" b="0"/>
          <a:pathLst>
            <a:path>
              <a:moveTo>
                <a:pt x="724774" y="0"/>
              </a:moveTo>
              <a:lnTo>
                <a:pt x="724774"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96FFD6A1-0862-8A44-9F02-92AD8FA28E0F}" cxnId="{6915D69B-3DD2-AD49-A07F-7BA52EE78CC8}" type="sibTrans">
      <dgm:prSet/>
      <dgm:spPr/>
      <dgm:t>
        <a:bodyPr/>
        <a:p>
          <a:endParaRPr lang="zh-CN" altLang="en-US"/>
        </a:p>
      </dgm:t>
    </dgm:pt>
    <dgm:pt modelId="{005D2CD5-B76E-2B41-8A46-1F047745BC98}">
      <dgm:prSet/>
      <dgm:spPr>
        <a:xfrm>
          <a:off x="1326327"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en-US" altLang="zh-CN">
              <a:solidFill>
                <a:sysClr val="window" lastClr="FFFFFF"/>
              </a:solidFill>
              <a:latin typeface="Calibri" panose="020F0502020204030204"/>
              <a:ea typeface="宋体" panose="02010600030101010101" charset="-122"/>
              <a:cs typeface="+mn-cs"/>
            </a:rPr>
            <a:t>CA</a:t>
          </a:r>
          <a:r>
            <a:rPr lang="zh-CN" altLang="en-US">
              <a:solidFill>
                <a:sysClr val="window" lastClr="FFFFFF"/>
              </a:solidFill>
              <a:latin typeface="Calibri" panose="020F0502020204030204"/>
              <a:ea typeface="宋体" panose="02010600030101010101" charset="-122"/>
              <a:cs typeface="+mn-cs"/>
            </a:rPr>
            <a:t>运营服务人员（如需）</a:t>
          </a:r>
        </a:p>
      </dgm:t>
    </dgm:pt>
    <dgm:pt modelId="{7537FF58-0717-7D47-9167-7826689C6E3E}" cxnId="{CE7CE17A-95FE-874E-B15A-0CA02730A76C}" type="parTrans">
      <dgm:prSet/>
      <dgm:spPr>
        <a:xfrm>
          <a:off x="1429198" y="1225006"/>
          <a:ext cx="241591" cy="246614"/>
        </a:xfrm>
        <a:custGeom>
          <a:avLst/>
          <a:gdLst/>
          <a:ahLst/>
          <a:cxnLst/>
          <a:rect l="0" t="0" r="0" b="0"/>
          <a:pathLst>
            <a:path>
              <a:moveTo>
                <a:pt x="241591" y="0"/>
              </a:moveTo>
              <a:lnTo>
                <a:pt x="241591"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3D80379C-AD75-E244-8395-AF5171776A45}" cxnId="{CE7CE17A-95FE-874E-B15A-0CA02730A76C}" type="sibTrans">
      <dgm:prSet/>
      <dgm:spPr/>
      <dgm:t>
        <a:bodyPr/>
        <a:p>
          <a:endParaRPr lang="zh-CN" altLang="en-US"/>
        </a:p>
      </dgm:t>
    </dgm:pt>
    <dgm:pt modelId="{978666E0-4125-D24C-8C7B-4001F9BB7219}">
      <dgm:prSet/>
      <dgm:spPr>
        <a:xfrm>
          <a:off x="1809510"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注册审核人员</a:t>
          </a:r>
        </a:p>
      </dgm:t>
    </dgm:pt>
    <dgm:pt modelId="{D36B23BF-8441-3A48-B367-7C613463737D}" cxnId="{05A9E6CA-F5C4-0143-8362-D53CC37BC7D9}" type="parTrans">
      <dgm:prSet/>
      <dgm:spPr>
        <a:xfrm>
          <a:off x="1670789" y="1225006"/>
          <a:ext cx="241591" cy="246614"/>
        </a:xfrm>
        <a:custGeom>
          <a:avLst/>
          <a:gdLst/>
          <a:ahLst/>
          <a:cxnLst/>
          <a:rect l="0" t="0" r="0" b="0"/>
          <a:pathLst>
            <a:path>
              <a:moveTo>
                <a:pt x="0" y="0"/>
              </a:moveTo>
              <a:lnTo>
                <a:pt x="0" y="123307"/>
              </a:lnTo>
              <a:lnTo>
                <a:pt x="241591" y="123307"/>
              </a:lnTo>
              <a:lnTo>
                <a:pt x="241591"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1D90C8D7-ECC3-F549-829A-1A2E24673955}" cxnId="{05A9E6CA-F5C4-0143-8362-D53CC37BC7D9}" type="sibTrans">
      <dgm:prSet/>
      <dgm:spPr/>
      <dgm:t>
        <a:bodyPr/>
        <a:p>
          <a:endParaRPr lang="zh-CN" altLang="en-US"/>
        </a:p>
      </dgm:t>
    </dgm:pt>
    <dgm:pt modelId="{AA380426-CCA8-5744-A398-3201D26A50A6}">
      <dgm:prSet/>
      <dgm:spPr>
        <a:xfrm>
          <a:off x="2292692"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技术支持人员</a:t>
          </a:r>
        </a:p>
      </dgm:t>
    </dgm:pt>
    <dgm:pt modelId="{6FA30EB3-51AD-FE47-B932-2715E0C9B981}" cxnId="{5A904550-1E3E-064E-BBC4-564EDECB84F8}" type="parTrans">
      <dgm:prSet/>
      <dgm:spPr>
        <a:xfrm>
          <a:off x="1670789" y="1225006"/>
          <a:ext cx="724774" cy="246614"/>
        </a:xfrm>
        <a:custGeom>
          <a:avLst/>
          <a:gdLst/>
          <a:ahLst/>
          <a:cxnLst/>
          <a:rect l="0" t="0" r="0" b="0"/>
          <a:pathLst>
            <a:path>
              <a:moveTo>
                <a:pt x="0" y="0"/>
              </a:moveTo>
              <a:lnTo>
                <a:pt x="0" y="123307"/>
              </a:lnTo>
              <a:lnTo>
                <a:pt x="724774" y="123307"/>
              </a:lnTo>
              <a:lnTo>
                <a:pt x="724774"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436C9A9B-C4DD-CB45-B2F0-E7D378E1F294}" cxnId="{5A904550-1E3E-064E-BBC4-564EDECB84F8}" type="sibTrans">
      <dgm:prSet/>
      <dgm:spPr/>
      <dgm:t>
        <a:bodyPr/>
        <a:p>
          <a:endParaRPr lang="zh-CN" altLang="en-US"/>
        </a:p>
      </dgm:t>
    </dgm:pt>
    <dgm:pt modelId="{829F26A2-47AE-604D-9608-876E71F9016C}">
      <dgm:prSet/>
      <dgm:spPr>
        <a:xfrm>
          <a:off x="2775875"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客服人员</a:t>
          </a:r>
        </a:p>
      </dgm:t>
    </dgm:pt>
    <dgm:pt modelId="{CD6EA187-C1C7-734E-95FC-71EFE9583783}" cxnId="{DC0245B1-1E4E-5B4A-AE3C-E4D6A239DE48}" type="parTrans">
      <dgm:prSet/>
      <dgm:spPr>
        <a:xfrm>
          <a:off x="1670789" y="1225006"/>
          <a:ext cx="1207956" cy="246614"/>
        </a:xfrm>
        <a:custGeom>
          <a:avLst/>
          <a:gdLst/>
          <a:ahLst/>
          <a:cxnLst/>
          <a:rect l="0" t="0" r="0" b="0"/>
          <a:pathLst>
            <a:path>
              <a:moveTo>
                <a:pt x="0" y="0"/>
              </a:moveTo>
              <a:lnTo>
                <a:pt x="0" y="123307"/>
              </a:lnTo>
              <a:lnTo>
                <a:pt x="1207956" y="123307"/>
              </a:lnTo>
              <a:lnTo>
                <a:pt x="1207956"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BABE915E-002D-AF4E-BEC7-6F1A1D11B52A}" cxnId="{DC0245B1-1E4E-5B4A-AE3C-E4D6A239DE48}" type="sibTrans">
      <dgm:prSet/>
      <dgm:spPr/>
      <dgm:t>
        <a:bodyPr/>
        <a:p>
          <a:endParaRPr lang="zh-CN" altLang="en-US"/>
        </a:p>
      </dgm:t>
    </dgm:pt>
    <dgm:pt modelId="{C1CD76BC-7F6F-9849-873D-C2489A612BCA}">
      <dgm:prSet/>
      <dgm:spPr>
        <a:xfrm>
          <a:off x="3742241"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安全管理员</a:t>
          </a:r>
        </a:p>
      </dgm:t>
    </dgm:pt>
    <dgm:pt modelId="{7A110478-AC86-8D43-BEEF-5817EF973C4A}" cxnId="{3260074C-2848-4740-B07B-4D5C9E1F636A}" type="parTrans">
      <dgm:prSet/>
      <dgm:spPr>
        <a:xfrm>
          <a:off x="3845111" y="1225006"/>
          <a:ext cx="241591" cy="246614"/>
        </a:xfrm>
        <a:custGeom>
          <a:avLst/>
          <a:gdLst/>
          <a:ahLst/>
          <a:cxnLst/>
          <a:rect l="0" t="0" r="0" b="0"/>
          <a:pathLst>
            <a:path>
              <a:moveTo>
                <a:pt x="241591" y="0"/>
              </a:moveTo>
              <a:lnTo>
                <a:pt x="241591"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D2B875C9-7ADF-2A49-9600-9446396A33B5}" cxnId="{3260074C-2848-4740-B07B-4D5C9E1F636A}" type="sibTrans">
      <dgm:prSet/>
      <dgm:spPr/>
      <dgm:t>
        <a:bodyPr/>
        <a:p>
          <a:endParaRPr lang="zh-CN" altLang="en-US"/>
        </a:p>
      </dgm:t>
    </dgm:pt>
    <dgm:pt modelId="{A58C2084-86D1-8C44-B2AE-451558E9D90D}">
      <dgm:prSet/>
      <dgm:spPr>
        <a:xfrm>
          <a:off x="4225423"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应用管理员</a:t>
          </a:r>
        </a:p>
      </dgm:t>
    </dgm:pt>
    <dgm:pt modelId="{1A6E19CD-4697-BC49-859C-8DE9F4DB69C7}" cxnId="{480091B0-7A39-934E-8317-616DDA87D751}" type="parTrans">
      <dgm:prSet/>
      <dgm:spPr>
        <a:xfrm>
          <a:off x="4086703" y="1225006"/>
          <a:ext cx="241591" cy="246614"/>
        </a:xfrm>
        <a:custGeom>
          <a:avLst/>
          <a:gdLst/>
          <a:ahLst/>
          <a:cxnLst/>
          <a:rect l="0" t="0" r="0" b="0"/>
          <a:pathLst>
            <a:path>
              <a:moveTo>
                <a:pt x="0" y="0"/>
              </a:moveTo>
              <a:lnTo>
                <a:pt x="0" y="123307"/>
              </a:lnTo>
              <a:lnTo>
                <a:pt x="241591" y="123307"/>
              </a:lnTo>
              <a:lnTo>
                <a:pt x="241591"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40036A31-1C57-9148-88A5-0DC14111C34A}" cxnId="{480091B0-7A39-934E-8317-616DDA87D751}" type="sibTrans">
      <dgm:prSet/>
      <dgm:spPr/>
      <dgm:t>
        <a:bodyPr/>
        <a:p>
          <a:endParaRPr lang="zh-CN" altLang="en-US"/>
        </a:p>
      </dgm:t>
    </dgm:pt>
    <dgm:pt modelId="{879381FB-2042-A04C-9E03-7DAC6F5AC3A4}">
      <dgm:prSet/>
      <dgm:spPr>
        <a:xfrm>
          <a:off x="4708606"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vert="eaVert"/>
        <a:p>
          <a:r>
            <a:rPr lang="zh-CN" altLang="en-US">
              <a:solidFill>
                <a:sysClr val="window" lastClr="FFFFFF"/>
              </a:solidFill>
              <a:latin typeface="Calibri" panose="020F0502020204030204"/>
              <a:ea typeface="宋体" panose="02010600030101010101" charset="-122"/>
              <a:cs typeface="+mn-cs"/>
            </a:rPr>
            <a:t>技术支持人员</a:t>
          </a:r>
        </a:p>
      </dgm:t>
    </dgm:pt>
    <dgm:pt modelId="{1B57DCA1-BA4C-7847-A210-05E3FD928E93}" cxnId="{AD164D14-8C04-5144-B6BE-117DEFB84DF8}" type="parTrans">
      <dgm:prSet/>
      <dgm:spPr>
        <a:xfrm>
          <a:off x="4086703" y="1225006"/>
          <a:ext cx="724774" cy="246614"/>
        </a:xfrm>
        <a:custGeom>
          <a:avLst/>
          <a:gdLst/>
          <a:ahLst/>
          <a:cxnLst/>
          <a:rect l="0" t="0" r="0" b="0"/>
          <a:pathLst>
            <a:path>
              <a:moveTo>
                <a:pt x="0" y="0"/>
              </a:moveTo>
              <a:lnTo>
                <a:pt x="0" y="123307"/>
              </a:lnTo>
              <a:lnTo>
                <a:pt x="724774" y="123307"/>
              </a:lnTo>
              <a:lnTo>
                <a:pt x="724774" y="246614"/>
              </a:lnTo>
            </a:path>
          </a:pathLst>
        </a:custGeom>
        <a:noFill/>
        <a:ln w="9525" cap="flat" cmpd="sng" algn="ctr">
          <a:solidFill>
            <a:srgbClr val="4F81BD">
              <a:shade val="80000"/>
              <a:hueOff val="0"/>
              <a:satOff val="0"/>
              <a:lumOff val="0"/>
              <a:alphaOff val="0"/>
            </a:srgbClr>
          </a:solidFill>
          <a:prstDash val="solid"/>
        </a:ln>
        <a:effectLst/>
      </dgm:spPr>
      <dgm:t>
        <a:bodyPr/>
        <a:p>
          <a:endParaRPr lang="zh-CN" altLang="en-US"/>
        </a:p>
      </dgm:t>
    </dgm:pt>
    <dgm:pt modelId="{248BF03B-F16E-524D-96CB-AC2E68821496}" cxnId="{AD164D14-8C04-5144-B6BE-117DEFB84DF8}" type="sibTrans">
      <dgm:prSet/>
      <dgm:spPr/>
      <dgm:t>
        <a:bodyPr/>
        <a:p>
          <a:endParaRPr lang="zh-CN" altLang="en-US"/>
        </a:p>
      </dgm:t>
    </dgm:pt>
    <dgm:pt modelId="{7CB6BC26-4A1B-EC4A-99E9-9CCB717BC453}" type="pres">
      <dgm:prSet presAssocID="{9F11B743-A56D-0849-82D7-B0D5D5AD2254}" presName="mainComposite" presStyleCnt="0">
        <dgm:presLayoutVars>
          <dgm:chPref val="1"/>
          <dgm:dir/>
          <dgm:animOne val="branch"/>
          <dgm:animLvl val="lvl"/>
          <dgm:resizeHandles val="exact"/>
        </dgm:presLayoutVars>
      </dgm:prSet>
      <dgm:spPr/>
    </dgm:pt>
    <dgm:pt modelId="{2AC7CF09-D97C-954D-BF47-8753B49C3F87}" type="pres">
      <dgm:prSet presAssocID="{9F11B743-A56D-0849-82D7-B0D5D5AD2254}" presName="hierFlow" presStyleCnt="0"/>
      <dgm:spPr/>
    </dgm:pt>
    <dgm:pt modelId="{D0B2D475-4CC6-024E-89E7-F33A3FBADD5A}" type="pres">
      <dgm:prSet presAssocID="{9F11B743-A56D-0849-82D7-B0D5D5AD2254}" presName="hierChild1" presStyleCnt="0">
        <dgm:presLayoutVars>
          <dgm:chPref val="1"/>
          <dgm:animOne val="branch"/>
          <dgm:animLvl val="lvl"/>
        </dgm:presLayoutVars>
      </dgm:prSet>
      <dgm:spPr/>
    </dgm:pt>
    <dgm:pt modelId="{A0D06006-59DD-D142-A49D-F6A424DE9EE1}" type="pres">
      <dgm:prSet presAssocID="{CCD2CB6A-67B4-6544-874E-40DDA0CDA2DC}" presName="Name14" presStyleCnt="0"/>
      <dgm:spPr/>
    </dgm:pt>
    <dgm:pt modelId="{FEE613CD-C62B-BC40-8715-6B5CC35DE087}" type="pres">
      <dgm:prSet presAssocID="{CCD2CB6A-67B4-6544-874E-40DDA0CDA2DC}" presName="level1Shape" presStyleLbl="node0" presStyleIdx="0" presStyleCnt="1" custScaleY="46713">
        <dgm:presLayoutVars>
          <dgm:chPref val="3"/>
        </dgm:presLayoutVars>
      </dgm:prSet>
      <dgm:spPr/>
    </dgm:pt>
    <dgm:pt modelId="{F64C6F14-4EF8-AA41-9DB3-9705CE65AD2C}" type="pres">
      <dgm:prSet presAssocID="{CCD2CB6A-67B4-6544-874E-40DDA0CDA2DC}" presName="hierChild2" presStyleCnt="0"/>
      <dgm:spPr/>
    </dgm:pt>
    <dgm:pt modelId="{9DA5E343-A140-2C4B-BBB8-D02FFA0D5236}" type="pres">
      <dgm:prSet presAssocID="{0535633C-A6B4-4A4D-BC95-F15C4416F9D9}" presName="Name19" presStyleLbl="parChTrans1D2" presStyleIdx="0" presStyleCnt="2"/>
      <dgm:spPr/>
    </dgm:pt>
    <dgm:pt modelId="{1FE803FD-0982-9343-9568-8A346E4EED2D}" type="pres">
      <dgm:prSet presAssocID="{198277E9-C76B-CA46-BD3C-67A6900DF45D}" presName="Name21" presStyleCnt="0"/>
      <dgm:spPr/>
    </dgm:pt>
    <dgm:pt modelId="{1EC54238-8455-844B-BE25-2646750BE408}" type="pres">
      <dgm:prSet presAssocID="{198277E9-C76B-CA46-BD3C-67A6900DF45D}" presName="level2Shape" presStyleLbl="node2" presStyleIdx="0" presStyleCnt="2" custScaleY="46713"/>
      <dgm:spPr/>
    </dgm:pt>
    <dgm:pt modelId="{FB23DD4E-AC2D-264E-9D50-BC57B53DFD6E}" type="pres">
      <dgm:prSet presAssocID="{198277E9-C76B-CA46-BD3C-67A6900DF45D}" presName="hierChild3" presStyleCnt="0"/>
      <dgm:spPr/>
    </dgm:pt>
    <dgm:pt modelId="{3AF2E04F-2AE8-9248-B4BC-CFE1258F080F}" type="pres">
      <dgm:prSet presAssocID="{0D1AC296-500D-0A46-9951-4A85A571F9F5}" presName="Name19" presStyleLbl="parChTrans1D3" presStyleIdx="0" presStyleCnt="10"/>
      <dgm:spPr/>
    </dgm:pt>
    <dgm:pt modelId="{EC30B7D0-57CE-5945-9F10-B24F6FCE1475}" type="pres">
      <dgm:prSet presAssocID="{0F543632-C36F-2643-B228-AB6CE3169BC4}" presName="Name21" presStyleCnt="0"/>
      <dgm:spPr/>
    </dgm:pt>
    <dgm:pt modelId="{B14C6837-2A31-684B-910A-76AF8A9BE938}" type="pres">
      <dgm:prSet presAssocID="{0F543632-C36F-2643-B228-AB6CE3169BC4}" presName="level2Shape" presStyleLbl="node3" presStyleIdx="0" presStyleCnt="10" custScaleX="22247" custScaleY="195052"/>
      <dgm:spPr/>
    </dgm:pt>
    <dgm:pt modelId="{AB8A70B0-EEAD-AB44-AC89-75CDB3A259FB}" type="pres">
      <dgm:prSet presAssocID="{0F543632-C36F-2643-B228-AB6CE3169BC4}" presName="hierChild3" presStyleCnt="0"/>
      <dgm:spPr/>
    </dgm:pt>
    <dgm:pt modelId="{80465BF7-4516-C343-B0AD-D9E8E9E46155}" type="pres">
      <dgm:prSet presAssocID="{AAD40D3A-BCFA-C44C-AF1E-87B6450E5DA0}" presName="Name19" presStyleLbl="parChTrans1D3" presStyleIdx="1" presStyleCnt="10"/>
      <dgm:spPr/>
    </dgm:pt>
    <dgm:pt modelId="{4AA6230A-F63A-594A-B453-9BA955AA9679}" type="pres">
      <dgm:prSet presAssocID="{E752676F-2BE4-D64D-A2EB-2C448196B3AB}" presName="Name21" presStyleCnt="0"/>
      <dgm:spPr/>
    </dgm:pt>
    <dgm:pt modelId="{BB0106CF-2D12-B243-9EB5-D152523A0556}" type="pres">
      <dgm:prSet presAssocID="{E752676F-2BE4-D64D-A2EB-2C448196B3AB}" presName="level2Shape" presStyleLbl="node3" presStyleIdx="1" presStyleCnt="10" custScaleX="22247" custScaleY="195052"/>
      <dgm:spPr/>
    </dgm:pt>
    <dgm:pt modelId="{33BFF53B-147C-3C44-99F4-BE09342A9431}" type="pres">
      <dgm:prSet presAssocID="{E752676F-2BE4-D64D-A2EB-2C448196B3AB}" presName="hierChild3" presStyleCnt="0"/>
      <dgm:spPr/>
    </dgm:pt>
    <dgm:pt modelId="{F622E176-92B9-1A46-B307-629BBC4EEE8A}" type="pres">
      <dgm:prSet presAssocID="{7537FF58-0717-7D47-9167-7826689C6E3E}" presName="Name19" presStyleLbl="parChTrans1D3" presStyleIdx="2" presStyleCnt="10"/>
      <dgm:spPr/>
    </dgm:pt>
    <dgm:pt modelId="{7B2FAB55-65BF-C94E-866C-766F77C7D2E0}" type="pres">
      <dgm:prSet presAssocID="{005D2CD5-B76E-2B41-8A46-1F047745BC98}" presName="Name21" presStyleCnt="0"/>
      <dgm:spPr/>
    </dgm:pt>
    <dgm:pt modelId="{B4B1FB79-AF6A-F14C-96F8-7394473C05FC}" type="pres">
      <dgm:prSet presAssocID="{005D2CD5-B76E-2B41-8A46-1F047745BC98}" presName="level2Shape" presStyleLbl="node3" presStyleIdx="2" presStyleCnt="10" custScaleX="22247" custScaleY="195052"/>
      <dgm:spPr/>
    </dgm:pt>
    <dgm:pt modelId="{8024EB89-B7C5-144A-B227-556D9072E295}" type="pres">
      <dgm:prSet presAssocID="{005D2CD5-B76E-2B41-8A46-1F047745BC98}" presName="hierChild3" presStyleCnt="0"/>
      <dgm:spPr/>
    </dgm:pt>
    <dgm:pt modelId="{3C4AC4EF-87D7-A342-95C5-47F867F6010A}" type="pres">
      <dgm:prSet presAssocID="{D36B23BF-8441-3A48-B367-7C613463737D}" presName="Name19" presStyleLbl="parChTrans1D3" presStyleIdx="3" presStyleCnt="10"/>
      <dgm:spPr/>
    </dgm:pt>
    <dgm:pt modelId="{E436FE90-1443-5043-AC86-D7898287D4CA}" type="pres">
      <dgm:prSet presAssocID="{978666E0-4125-D24C-8C7B-4001F9BB7219}" presName="Name21" presStyleCnt="0"/>
      <dgm:spPr/>
    </dgm:pt>
    <dgm:pt modelId="{CBEFE5EA-ED8E-8841-A1E4-EC5C57B969DC}" type="pres">
      <dgm:prSet presAssocID="{978666E0-4125-D24C-8C7B-4001F9BB7219}" presName="level2Shape" presStyleLbl="node3" presStyleIdx="3" presStyleCnt="10" custScaleX="22247" custScaleY="195052"/>
      <dgm:spPr/>
    </dgm:pt>
    <dgm:pt modelId="{1C73F299-EEF3-2A40-9F4E-C75D893FC7B0}" type="pres">
      <dgm:prSet presAssocID="{978666E0-4125-D24C-8C7B-4001F9BB7219}" presName="hierChild3" presStyleCnt="0"/>
      <dgm:spPr/>
    </dgm:pt>
    <dgm:pt modelId="{9DF90587-0D78-A04C-8A4E-B565B691A5F3}" type="pres">
      <dgm:prSet presAssocID="{6FA30EB3-51AD-FE47-B932-2715E0C9B981}" presName="Name19" presStyleLbl="parChTrans1D3" presStyleIdx="4" presStyleCnt="10"/>
      <dgm:spPr/>
    </dgm:pt>
    <dgm:pt modelId="{6343D92C-1B56-B54B-91E3-AAC5E458DD5A}" type="pres">
      <dgm:prSet presAssocID="{AA380426-CCA8-5744-A398-3201D26A50A6}" presName="Name21" presStyleCnt="0"/>
      <dgm:spPr/>
    </dgm:pt>
    <dgm:pt modelId="{B865E406-972E-984B-B4E5-6822E23D29BF}" type="pres">
      <dgm:prSet presAssocID="{AA380426-CCA8-5744-A398-3201D26A50A6}" presName="level2Shape" presStyleLbl="node3" presStyleIdx="4" presStyleCnt="10" custScaleX="22247" custScaleY="195052"/>
      <dgm:spPr/>
    </dgm:pt>
    <dgm:pt modelId="{7F6A5287-CDED-8D4F-B75F-026178DDCD45}" type="pres">
      <dgm:prSet presAssocID="{AA380426-CCA8-5744-A398-3201D26A50A6}" presName="hierChild3" presStyleCnt="0"/>
      <dgm:spPr/>
    </dgm:pt>
    <dgm:pt modelId="{0318598D-14D5-5F49-8E40-291671C3D502}" type="pres">
      <dgm:prSet presAssocID="{CD6EA187-C1C7-734E-95FC-71EFE9583783}" presName="Name19" presStyleLbl="parChTrans1D3" presStyleIdx="5" presStyleCnt="10"/>
      <dgm:spPr/>
    </dgm:pt>
    <dgm:pt modelId="{AC92EC40-D3B9-2747-9C2E-740D1209B3F6}" type="pres">
      <dgm:prSet presAssocID="{829F26A2-47AE-604D-9608-876E71F9016C}" presName="Name21" presStyleCnt="0"/>
      <dgm:spPr/>
    </dgm:pt>
    <dgm:pt modelId="{8E40A3D1-7E02-7C45-A49D-FD18E2DDDC2A}" type="pres">
      <dgm:prSet presAssocID="{829F26A2-47AE-604D-9608-876E71F9016C}" presName="level2Shape" presStyleLbl="node3" presStyleIdx="5" presStyleCnt="10" custScaleX="22247" custScaleY="195052"/>
      <dgm:spPr/>
    </dgm:pt>
    <dgm:pt modelId="{75185C0F-E7A5-F64F-96D2-A6E49A39B605}" type="pres">
      <dgm:prSet presAssocID="{829F26A2-47AE-604D-9608-876E71F9016C}" presName="hierChild3" presStyleCnt="0"/>
      <dgm:spPr/>
    </dgm:pt>
    <dgm:pt modelId="{710FE275-62BB-BF45-9B34-E3D9A25E332E}" type="pres">
      <dgm:prSet presAssocID="{5629AC9A-4B70-8840-A192-96CBE7BEC1BD}" presName="Name19" presStyleLbl="parChTrans1D2" presStyleIdx="1" presStyleCnt="2"/>
      <dgm:spPr/>
    </dgm:pt>
    <dgm:pt modelId="{4FCB4FC8-02DC-7945-933A-60D075117D2D}" type="pres">
      <dgm:prSet presAssocID="{BC26CCC8-0633-B24D-8A96-0872F7606317}" presName="Name21" presStyleCnt="0"/>
      <dgm:spPr/>
    </dgm:pt>
    <dgm:pt modelId="{499719E8-77C6-0E46-A3F1-AAC55879DEBA}" type="pres">
      <dgm:prSet presAssocID="{BC26CCC8-0633-B24D-8A96-0872F7606317}" presName="level2Shape" presStyleLbl="node2" presStyleIdx="1" presStyleCnt="2" custScaleY="46713"/>
      <dgm:spPr/>
    </dgm:pt>
    <dgm:pt modelId="{8C4BB0A4-8683-584C-9863-14E00F50E5AC}" type="pres">
      <dgm:prSet presAssocID="{BC26CCC8-0633-B24D-8A96-0872F7606317}" presName="hierChild3" presStyleCnt="0"/>
      <dgm:spPr/>
    </dgm:pt>
    <dgm:pt modelId="{83D0EE4F-53E9-3C49-B27E-52DB0FA03F2D}" type="pres">
      <dgm:prSet presAssocID="{DBA354EB-9FF0-2543-BCDE-F9A832EDE888}" presName="Name19" presStyleLbl="parChTrans1D3" presStyleIdx="6" presStyleCnt="10"/>
      <dgm:spPr/>
    </dgm:pt>
    <dgm:pt modelId="{DAD9198E-6F08-AC4D-88D7-632DC26A1BAA}" type="pres">
      <dgm:prSet presAssocID="{082562B6-76A2-874F-8DC0-A9023AD8030E}" presName="Name21" presStyleCnt="0"/>
      <dgm:spPr/>
    </dgm:pt>
    <dgm:pt modelId="{84385193-7491-5446-A3EE-0F8C10B117DA}" type="pres">
      <dgm:prSet presAssocID="{082562B6-76A2-874F-8DC0-A9023AD8030E}" presName="level2Shape" presStyleLbl="node3" presStyleIdx="6" presStyleCnt="10" custScaleX="22247" custScaleY="195052"/>
      <dgm:spPr/>
    </dgm:pt>
    <dgm:pt modelId="{620C6EA4-012F-9F46-B2FB-0446AA371A8B}" type="pres">
      <dgm:prSet presAssocID="{082562B6-76A2-874F-8DC0-A9023AD8030E}" presName="hierChild3" presStyleCnt="0"/>
      <dgm:spPr/>
    </dgm:pt>
    <dgm:pt modelId="{10C2D99F-B1FB-F247-A51E-A6C927FFB222}" type="pres">
      <dgm:prSet presAssocID="{7A110478-AC86-8D43-BEEF-5817EF973C4A}" presName="Name19" presStyleLbl="parChTrans1D3" presStyleIdx="7" presStyleCnt="10"/>
      <dgm:spPr/>
    </dgm:pt>
    <dgm:pt modelId="{0EBF997D-EC9A-AE48-9BBC-0BFB9AB7B028}" type="pres">
      <dgm:prSet presAssocID="{C1CD76BC-7F6F-9849-873D-C2489A612BCA}" presName="Name21" presStyleCnt="0"/>
      <dgm:spPr/>
    </dgm:pt>
    <dgm:pt modelId="{A2CA9C63-FA4C-BD45-9553-59547115263B}" type="pres">
      <dgm:prSet presAssocID="{C1CD76BC-7F6F-9849-873D-C2489A612BCA}" presName="level2Shape" presStyleLbl="node3" presStyleIdx="7" presStyleCnt="10" custScaleX="22247" custScaleY="195052"/>
      <dgm:spPr/>
    </dgm:pt>
    <dgm:pt modelId="{00167EB0-3D74-C04A-A33E-7E378498A8B1}" type="pres">
      <dgm:prSet presAssocID="{C1CD76BC-7F6F-9849-873D-C2489A612BCA}" presName="hierChild3" presStyleCnt="0"/>
      <dgm:spPr/>
    </dgm:pt>
    <dgm:pt modelId="{56D17A31-9E62-954F-AB77-FBD13EBB6BB5}" type="pres">
      <dgm:prSet presAssocID="{1A6E19CD-4697-BC49-859C-8DE9F4DB69C7}" presName="Name19" presStyleLbl="parChTrans1D3" presStyleIdx="8" presStyleCnt="10"/>
      <dgm:spPr/>
    </dgm:pt>
    <dgm:pt modelId="{F249A409-4856-294F-A9FD-1F5A5EDE41E9}" type="pres">
      <dgm:prSet presAssocID="{A58C2084-86D1-8C44-B2AE-451558E9D90D}" presName="Name21" presStyleCnt="0"/>
      <dgm:spPr/>
    </dgm:pt>
    <dgm:pt modelId="{1EF07AEF-43DD-3749-9B58-1F4F8ED99535}" type="pres">
      <dgm:prSet presAssocID="{A58C2084-86D1-8C44-B2AE-451558E9D90D}" presName="level2Shape" presStyleLbl="node3" presStyleIdx="8" presStyleCnt="10" custScaleX="22247" custScaleY="195052"/>
      <dgm:spPr/>
    </dgm:pt>
    <dgm:pt modelId="{FE3E64AE-FB4F-404E-994A-6AB094077296}" type="pres">
      <dgm:prSet presAssocID="{A58C2084-86D1-8C44-B2AE-451558E9D90D}" presName="hierChild3" presStyleCnt="0"/>
      <dgm:spPr/>
    </dgm:pt>
    <dgm:pt modelId="{53C4BDFD-015B-6240-B3EB-1428F791E6BD}" type="pres">
      <dgm:prSet presAssocID="{1B57DCA1-BA4C-7847-A210-05E3FD928E93}" presName="Name19" presStyleLbl="parChTrans1D3" presStyleIdx="9" presStyleCnt="10"/>
      <dgm:spPr/>
    </dgm:pt>
    <dgm:pt modelId="{BE7BA5FB-D257-6544-98A2-59ACB9F11A98}" type="pres">
      <dgm:prSet presAssocID="{879381FB-2042-A04C-9E03-7DAC6F5AC3A4}" presName="Name21" presStyleCnt="0"/>
      <dgm:spPr/>
    </dgm:pt>
    <dgm:pt modelId="{C7E6A6CA-D937-AF4D-B5AD-5B36F7AE81B1}" type="pres">
      <dgm:prSet presAssocID="{879381FB-2042-A04C-9E03-7DAC6F5AC3A4}" presName="level2Shape" presStyleLbl="node3" presStyleIdx="9" presStyleCnt="10" custScaleX="22247" custScaleY="195052"/>
      <dgm:spPr/>
    </dgm:pt>
    <dgm:pt modelId="{37DACED0-C34E-454A-BC44-5C956DEC7482}" type="pres">
      <dgm:prSet presAssocID="{879381FB-2042-A04C-9E03-7DAC6F5AC3A4}" presName="hierChild3" presStyleCnt="0"/>
      <dgm:spPr/>
    </dgm:pt>
    <dgm:pt modelId="{C5067A18-3602-CE48-A8FA-6D2063B19ACD}" type="pres">
      <dgm:prSet presAssocID="{9F11B743-A56D-0849-82D7-B0D5D5AD2254}" presName="bgShapesFlow" presStyleCnt="0"/>
      <dgm:spPr/>
    </dgm:pt>
  </dgm:ptLst>
  <dgm:cxnLst>
    <dgm:cxn modelId="{48F13801-AD89-634D-AE36-63DC960D0475}" type="presOf" srcId="{BC26CCC8-0633-B24D-8A96-0872F7606317}" destId="{499719E8-77C6-0E46-A3F1-AAC55879DEBA}" srcOrd="0" destOrd="0" presId="urn:microsoft.com/office/officeart/2005/8/layout/hierarchy6"/>
    <dgm:cxn modelId="{68ECC901-E65F-D943-8492-8CA5476D6DC3}" type="presOf" srcId="{E752676F-2BE4-D64D-A2EB-2C448196B3AB}" destId="{BB0106CF-2D12-B243-9EB5-D152523A0556}" srcOrd="0" destOrd="0" presId="urn:microsoft.com/office/officeart/2005/8/layout/hierarchy6"/>
    <dgm:cxn modelId="{87FA6502-52C6-914E-AADC-40F5DEC8D1F6}" type="presOf" srcId="{829F26A2-47AE-604D-9608-876E71F9016C}" destId="{8E40A3D1-7E02-7C45-A49D-FD18E2DDDC2A}" srcOrd="0" destOrd="0" presId="urn:microsoft.com/office/officeart/2005/8/layout/hierarchy6"/>
    <dgm:cxn modelId="{32D2A908-5382-364B-81BB-8BC2836AAB17}" type="presOf" srcId="{0D1AC296-500D-0A46-9951-4A85A571F9F5}" destId="{3AF2E04F-2AE8-9248-B4BC-CFE1258F080F}" srcOrd="0" destOrd="0" presId="urn:microsoft.com/office/officeart/2005/8/layout/hierarchy6"/>
    <dgm:cxn modelId="{AD164D14-8C04-5144-B6BE-117DEFB84DF8}" srcId="{BC26CCC8-0633-B24D-8A96-0872F7606317}" destId="{879381FB-2042-A04C-9E03-7DAC6F5AC3A4}" srcOrd="3" destOrd="0" parTransId="{1B57DCA1-BA4C-7847-A210-05E3FD928E93}" sibTransId="{248BF03B-F16E-524D-96CB-AC2E68821496}"/>
    <dgm:cxn modelId="{51B1A215-8BF3-9D42-A834-CBFF16B26428}" srcId="{9F11B743-A56D-0849-82D7-B0D5D5AD2254}" destId="{CCD2CB6A-67B4-6544-874E-40DDA0CDA2DC}" srcOrd="0" destOrd="0" parTransId="{A391EDC9-51B3-2344-BCDB-BBFF685CE6F7}" sibTransId="{733E6117-E38D-264A-9A64-23DD91EDF963}"/>
    <dgm:cxn modelId="{C411AF21-9A45-E144-84D2-7F67E54DED0A}" type="presOf" srcId="{978666E0-4125-D24C-8C7B-4001F9BB7219}" destId="{CBEFE5EA-ED8E-8841-A1E4-EC5C57B969DC}" srcOrd="0" destOrd="0" presId="urn:microsoft.com/office/officeart/2005/8/layout/hierarchy6"/>
    <dgm:cxn modelId="{56DB8E30-85B5-C049-9513-BD332C7394EC}" type="presOf" srcId="{879381FB-2042-A04C-9E03-7DAC6F5AC3A4}" destId="{C7E6A6CA-D937-AF4D-B5AD-5B36F7AE81B1}" srcOrd="0" destOrd="0" presId="urn:microsoft.com/office/officeart/2005/8/layout/hierarchy6"/>
    <dgm:cxn modelId="{E59C5A34-4183-B141-A633-90BAA9B91D4F}" type="presOf" srcId="{CCD2CB6A-67B4-6544-874E-40DDA0CDA2DC}" destId="{FEE613CD-C62B-BC40-8715-6B5CC35DE087}" srcOrd="0" destOrd="0" presId="urn:microsoft.com/office/officeart/2005/8/layout/hierarchy6"/>
    <dgm:cxn modelId="{69710E35-482F-2F49-9D58-459480B3F2A2}" type="presOf" srcId="{198277E9-C76B-CA46-BD3C-67A6900DF45D}" destId="{1EC54238-8455-844B-BE25-2646750BE408}" srcOrd="0" destOrd="0" presId="urn:microsoft.com/office/officeart/2005/8/layout/hierarchy6"/>
    <dgm:cxn modelId="{A426D15B-7AF5-934F-BEEC-7B126A249948}" srcId="{CCD2CB6A-67B4-6544-874E-40DDA0CDA2DC}" destId="{BC26CCC8-0633-B24D-8A96-0872F7606317}" srcOrd="1" destOrd="0" parTransId="{5629AC9A-4B70-8840-A192-96CBE7BEC1BD}" sibTransId="{DB181980-B9C4-5044-BDDD-7D6E0DA95DE4}"/>
    <dgm:cxn modelId="{1E0AA75E-8060-D943-B511-08E5D7AB2814}" type="presOf" srcId="{1A6E19CD-4697-BC49-859C-8DE9F4DB69C7}" destId="{56D17A31-9E62-954F-AB77-FBD13EBB6BB5}" srcOrd="0" destOrd="0" presId="urn:microsoft.com/office/officeart/2005/8/layout/hierarchy6"/>
    <dgm:cxn modelId="{A9794E5F-0076-0142-ACBF-68B86D8E6945}" type="presOf" srcId="{1B57DCA1-BA4C-7847-A210-05E3FD928E93}" destId="{53C4BDFD-015B-6240-B3EB-1428F791E6BD}" srcOrd="0" destOrd="0" presId="urn:microsoft.com/office/officeart/2005/8/layout/hierarchy6"/>
    <dgm:cxn modelId="{EA024F49-4612-DE41-8ED3-9533B7DA065E}" srcId="{CCD2CB6A-67B4-6544-874E-40DDA0CDA2DC}" destId="{198277E9-C76B-CA46-BD3C-67A6900DF45D}" srcOrd="0" destOrd="0" parTransId="{0535633C-A6B4-4A4D-BC95-F15C4416F9D9}" sibTransId="{9E0D7EFA-7227-E148-950C-23A503DDB0DD}"/>
    <dgm:cxn modelId="{D737916A-8AC7-CB4D-816E-482BCFC45BEF}" type="presOf" srcId="{AA380426-CCA8-5744-A398-3201D26A50A6}" destId="{B865E406-972E-984B-B4E5-6822E23D29BF}" srcOrd="0" destOrd="0" presId="urn:microsoft.com/office/officeart/2005/8/layout/hierarchy6"/>
    <dgm:cxn modelId="{FDE1B44B-6259-0140-87E8-18E8C7A1DFCA}" type="presOf" srcId="{9F11B743-A56D-0849-82D7-B0D5D5AD2254}" destId="{7CB6BC26-4A1B-EC4A-99E9-9CCB717BC453}" srcOrd="0" destOrd="0" presId="urn:microsoft.com/office/officeart/2005/8/layout/hierarchy6"/>
    <dgm:cxn modelId="{3260074C-2848-4740-B07B-4D5C9E1F636A}" srcId="{BC26CCC8-0633-B24D-8A96-0872F7606317}" destId="{C1CD76BC-7F6F-9849-873D-C2489A612BCA}" srcOrd="1" destOrd="0" parTransId="{7A110478-AC86-8D43-BEEF-5817EF973C4A}" sibTransId="{D2B875C9-7ADF-2A49-9600-9446396A33B5}"/>
    <dgm:cxn modelId="{5A904550-1E3E-064E-BBC4-564EDECB84F8}" srcId="{198277E9-C76B-CA46-BD3C-67A6900DF45D}" destId="{AA380426-CCA8-5744-A398-3201D26A50A6}" srcOrd="4" destOrd="0" parTransId="{6FA30EB3-51AD-FE47-B932-2715E0C9B981}" sibTransId="{436C9A9B-C4DD-CB45-B2F0-E7D378E1F294}"/>
    <dgm:cxn modelId="{7DDC2679-6F8E-E540-87AC-0AA0A3570EB6}" type="presOf" srcId="{DBA354EB-9FF0-2543-BCDE-F9A832EDE888}" destId="{83D0EE4F-53E9-3C49-B27E-52DB0FA03F2D}" srcOrd="0" destOrd="0" presId="urn:microsoft.com/office/officeart/2005/8/layout/hierarchy6"/>
    <dgm:cxn modelId="{CE7CE17A-95FE-874E-B15A-0CA02730A76C}" srcId="{198277E9-C76B-CA46-BD3C-67A6900DF45D}" destId="{005D2CD5-B76E-2B41-8A46-1F047745BC98}" srcOrd="2" destOrd="0" parTransId="{7537FF58-0717-7D47-9167-7826689C6E3E}" sibTransId="{3D80379C-AD75-E244-8395-AF5171776A45}"/>
    <dgm:cxn modelId="{5DDB5285-C9B9-F047-B81B-C221BD91CEFD}" type="presOf" srcId="{A58C2084-86D1-8C44-B2AE-451558E9D90D}" destId="{1EF07AEF-43DD-3749-9B58-1F4F8ED99535}" srcOrd="0" destOrd="0" presId="urn:microsoft.com/office/officeart/2005/8/layout/hierarchy6"/>
    <dgm:cxn modelId="{C0B7C588-A657-104E-BE3A-67A70A2AC69B}" type="presOf" srcId="{6FA30EB3-51AD-FE47-B932-2715E0C9B981}" destId="{9DF90587-0D78-A04C-8A4E-B565B691A5F3}" srcOrd="0" destOrd="0" presId="urn:microsoft.com/office/officeart/2005/8/layout/hierarchy6"/>
    <dgm:cxn modelId="{F0241497-1592-684A-95F6-20950B264176}" type="presOf" srcId="{5629AC9A-4B70-8840-A192-96CBE7BEC1BD}" destId="{710FE275-62BB-BF45-9B34-E3D9A25E332E}" srcOrd="0" destOrd="0" presId="urn:microsoft.com/office/officeart/2005/8/layout/hierarchy6"/>
    <dgm:cxn modelId="{6915D69B-3DD2-AD49-A07F-7BA52EE78CC8}" srcId="{BC26CCC8-0633-B24D-8A96-0872F7606317}" destId="{082562B6-76A2-874F-8DC0-A9023AD8030E}" srcOrd="0" destOrd="0" parTransId="{DBA354EB-9FF0-2543-BCDE-F9A832EDE888}" sibTransId="{96FFD6A1-0862-8A44-9F02-92AD8FA28E0F}"/>
    <dgm:cxn modelId="{C82B6C9C-F7D4-C344-9537-09474DA4D6AF}" type="presOf" srcId="{CD6EA187-C1C7-734E-95FC-71EFE9583783}" destId="{0318598D-14D5-5F49-8E40-291671C3D502}" srcOrd="0" destOrd="0" presId="urn:microsoft.com/office/officeart/2005/8/layout/hierarchy6"/>
    <dgm:cxn modelId="{4E4B9EA1-86A2-5840-9BDD-09BE9BABCD1E}" type="presOf" srcId="{005D2CD5-B76E-2B41-8A46-1F047745BC98}" destId="{B4B1FB79-AF6A-F14C-96F8-7394473C05FC}" srcOrd="0" destOrd="0" presId="urn:microsoft.com/office/officeart/2005/8/layout/hierarchy6"/>
    <dgm:cxn modelId="{480091B0-7A39-934E-8317-616DDA87D751}" srcId="{BC26CCC8-0633-B24D-8A96-0872F7606317}" destId="{A58C2084-86D1-8C44-B2AE-451558E9D90D}" srcOrd="2" destOrd="0" parTransId="{1A6E19CD-4697-BC49-859C-8DE9F4DB69C7}" sibTransId="{40036A31-1C57-9148-88A5-0DC14111C34A}"/>
    <dgm:cxn modelId="{DC0245B1-1E4E-5B4A-AE3C-E4D6A239DE48}" srcId="{198277E9-C76B-CA46-BD3C-67A6900DF45D}" destId="{829F26A2-47AE-604D-9608-876E71F9016C}" srcOrd="5" destOrd="0" parTransId="{CD6EA187-C1C7-734E-95FC-71EFE9583783}" sibTransId="{BABE915E-002D-AF4E-BEC7-6F1A1D11B52A}"/>
    <dgm:cxn modelId="{FBFC8BCA-2AFA-EA45-A17E-7639F92F1167}" type="presOf" srcId="{AAD40D3A-BCFA-C44C-AF1E-87B6450E5DA0}" destId="{80465BF7-4516-C343-B0AD-D9E8E9E46155}" srcOrd="0" destOrd="0" presId="urn:microsoft.com/office/officeart/2005/8/layout/hierarchy6"/>
    <dgm:cxn modelId="{05A9E6CA-F5C4-0143-8362-D53CC37BC7D9}" srcId="{198277E9-C76B-CA46-BD3C-67A6900DF45D}" destId="{978666E0-4125-D24C-8C7B-4001F9BB7219}" srcOrd="3" destOrd="0" parTransId="{D36B23BF-8441-3A48-B367-7C613463737D}" sibTransId="{1D90C8D7-ECC3-F549-829A-1A2E24673955}"/>
    <dgm:cxn modelId="{8CC789CB-66A8-A34A-B6F4-FDB08CEBF789}" srcId="{198277E9-C76B-CA46-BD3C-67A6900DF45D}" destId="{0F543632-C36F-2643-B228-AB6CE3169BC4}" srcOrd="0" destOrd="0" parTransId="{0D1AC296-500D-0A46-9951-4A85A571F9F5}" sibTransId="{B52AAC2C-CB7C-AD4D-BBD5-998D7BBC0FE1}"/>
    <dgm:cxn modelId="{EE5C24CE-3BA8-E243-9ABA-565AE02B25AF}" type="presOf" srcId="{0535633C-A6B4-4A4D-BC95-F15C4416F9D9}" destId="{9DA5E343-A140-2C4B-BBB8-D02FFA0D5236}" srcOrd="0" destOrd="0" presId="urn:microsoft.com/office/officeart/2005/8/layout/hierarchy6"/>
    <dgm:cxn modelId="{BE2EABD6-4372-DB4F-9D09-C9A4BAD1A24F}" type="presOf" srcId="{0F543632-C36F-2643-B228-AB6CE3169BC4}" destId="{B14C6837-2A31-684B-910A-76AF8A9BE938}" srcOrd="0" destOrd="0" presId="urn:microsoft.com/office/officeart/2005/8/layout/hierarchy6"/>
    <dgm:cxn modelId="{FD19F2D8-FEB8-9B48-B9F5-6C72C0CF19FE}" type="presOf" srcId="{7537FF58-0717-7D47-9167-7826689C6E3E}" destId="{F622E176-92B9-1A46-B307-629BBC4EEE8A}" srcOrd="0" destOrd="0" presId="urn:microsoft.com/office/officeart/2005/8/layout/hierarchy6"/>
    <dgm:cxn modelId="{277E50DD-0F6A-5940-85F3-A700696D7ADE}" type="presOf" srcId="{D36B23BF-8441-3A48-B367-7C613463737D}" destId="{3C4AC4EF-87D7-A342-95C5-47F867F6010A}" srcOrd="0" destOrd="0" presId="urn:microsoft.com/office/officeart/2005/8/layout/hierarchy6"/>
    <dgm:cxn modelId="{03DDBBE2-B1C6-584C-B389-85BA58B26C3C}" type="presOf" srcId="{C1CD76BC-7F6F-9849-873D-C2489A612BCA}" destId="{A2CA9C63-FA4C-BD45-9553-59547115263B}" srcOrd="0" destOrd="0" presId="urn:microsoft.com/office/officeart/2005/8/layout/hierarchy6"/>
    <dgm:cxn modelId="{1D6BC7F0-B3EE-E546-B2BE-475B121D6DBD}" type="presOf" srcId="{7A110478-AC86-8D43-BEEF-5817EF973C4A}" destId="{10C2D99F-B1FB-F247-A51E-A6C927FFB222}" srcOrd="0" destOrd="0" presId="urn:microsoft.com/office/officeart/2005/8/layout/hierarchy6"/>
    <dgm:cxn modelId="{445EA0F8-09CF-2548-B9E8-A8C40A1A55AB}" srcId="{198277E9-C76B-CA46-BD3C-67A6900DF45D}" destId="{E752676F-2BE4-D64D-A2EB-2C448196B3AB}" srcOrd="1" destOrd="0" parTransId="{AAD40D3A-BCFA-C44C-AF1E-87B6450E5DA0}" sibTransId="{F513C13A-340D-374A-A7E4-5F46BFC6A947}"/>
    <dgm:cxn modelId="{784BBCFC-C0DB-014C-A140-D54EF3BC094D}" type="presOf" srcId="{082562B6-76A2-874F-8DC0-A9023AD8030E}" destId="{84385193-7491-5446-A3EE-0F8C10B117DA}" srcOrd="0" destOrd="0" presId="urn:microsoft.com/office/officeart/2005/8/layout/hierarchy6"/>
    <dgm:cxn modelId="{9BBC1442-7EE8-0246-A7E2-B60654F3C870}" type="presParOf" srcId="{7CB6BC26-4A1B-EC4A-99E9-9CCB717BC453}" destId="{2AC7CF09-D97C-954D-BF47-8753B49C3F87}" srcOrd="0" destOrd="0" presId="urn:microsoft.com/office/officeart/2005/8/layout/hierarchy6"/>
    <dgm:cxn modelId="{195222FD-7C6D-7A41-91E6-9C339E55B97B}" type="presParOf" srcId="{2AC7CF09-D97C-954D-BF47-8753B49C3F87}" destId="{D0B2D475-4CC6-024E-89E7-F33A3FBADD5A}" srcOrd="0" destOrd="0" presId="urn:microsoft.com/office/officeart/2005/8/layout/hierarchy6"/>
    <dgm:cxn modelId="{623ADE37-56D8-2C41-B4BD-4C33947F87D1}" type="presParOf" srcId="{D0B2D475-4CC6-024E-89E7-F33A3FBADD5A}" destId="{A0D06006-59DD-D142-A49D-F6A424DE9EE1}" srcOrd="0" destOrd="0" presId="urn:microsoft.com/office/officeart/2005/8/layout/hierarchy6"/>
    <dgm:cxn modelId="{24AD34EF-16BF-544E-B1DF-8FBAEB830906}" type="presParOf" srcId="{A0D06006-59DD-D142-A49D-F6A424DE9EE1}" destId="{FEE613CD-C62B-BC40-8715-6B5CC35DE087}" srcOrd="0" destOrd="0" presId="urn:microsoft.com/office/officeart/2005/8/layout/hierarchy6"/>
    <dgm:cxn modelId="{3EAAAEE7-DAA4-A74A-96E2-1847EA889591}" type="presParOf" srcId="{A0D06006-59DD-D142-A49D-F6A424DE9EE1}" destId="{F64C6F14-4EF8-AA41-9DB3-9705CE65AD2C}" srcOrd="1" destOrd="0" presId="urn:microsoft.com/office/officeart/2005/8/layout/hierarchy6"/>
    <dgm:cxn modelId="{0AF62E85-B1C4-4D41-8CE2-3ED768A02AD2}" type="presParOf" srcId="{F64C6F14-4EF8-AA41-9DB3-9705CE65AD2C}" destId="{9DA5E343-A140-2C4B-BBB8-D02FFA0D5236}" srcOrd="0" destOrd="0" presId="urn:microsoft.com/office/officeart/2005/8/layout/hierarchy6"/>
    <dgm:cxn modelId="{3BB1BAA2-F443-564F-A634-81A5F36650AB}" type="presParOf" srcId="{F64C6F14-4EF8-AA41-9DB3-9705CE65AD2C}" destId="{1FE803FD-0982-9343-9568-8A346E4EED2D}" srcOrd="1" destOrd="0" presId="urn:microsoft.com/office/officeart/2005/8/layout/hierarchy6"/>
    <dgm:cxn modelId="{A2450747-1AEE-F74B-9F48-29E05DC31048}" type="presParOf" srcId="{1FE803FD-0982-9343-9568-8A346E4EED2D}" destId="{1EC54238-8455-844B-BE25-2646750BE408}" srcOrd="0" destOrd="0" presId="urn:microsoft.com/office/officeart/2005/8/layout/hierarchy6"/>
    <dgm:cxn modelId="{CF5AF28F-6A07-DE44-9C0D-04AA9D44D9C0}" type="presParOf" srcId="{1FE803FD-0982-9343-9568-8A346E4EED2D}" destId="{FB23DD4E-AC2D-264E-9D50-BC57B53DFD6E}" srcOrd="1" destOrd="0" presId="urn:microsoft.com/office/officeart/2005/8/layout/hierarchy6"/>
    <dgm:cxn modelId="{131CD396-82D5-F740-A798-66A6159A709D}" type="presParOf" srcId="{FB23DD4E-AC2D-264E-9D50-BC57B53DFD6E}" destId="{3AF2E04F-2AE8-9248-B4BC-CFE1258F080F}" srcOrd="0" destOrd="0" presId="urn:microsoft.com/office/officeart/2005/8/layout/hierarchy6"/>
    <dgm:cxn modelId="{0A1DCAED-C10C-2845-AA57-5CFC457F8AF2}" type="presParOf" srcId="{FB23DD4E-AC2D-264E-9D50-BC57B53DFD6E}" destId="{EC30B7D0-57CE-5945-9F10-B24F6FCE1475}" srcOrd="1" destOrd="0" presId="urn:microsoft.com/office/officeart/2005/8/layout/hierarchy6"/>
    <dgm:cxn modelId="{AC5FCE27-77EC-C648-91AC-67A42F05051C}" type="presParOf" srcId="{EC30B7D0-57CE-5945-9F10-B24F6FCE1475}" destId="{B14C6837-2A31-684B-910A-76AF8A9BE938}" srcOrd="0" destOrd="0" presId="urn:microsoft.com/office/officeart/2005/8/layout/hierarchy6"/>
    <dgm:cxn modelId="{9663C2D2-A374-AB4C-A462-530C3BB306DC}" type="presParOf" srcId="{EC30B7D0-57CE-5945-9F10-B24F6FCE1475}" destId="{AB8A70B0-EEAD-AB44-AC89-75CDB3A259FB}" srcOrd="1" destOrd="0" presId="urn:microsoft.com/office/officeart/2005/8/layout/hierarchy6"/>
    <dgm:cxn modelId="{E040AD41-8E7A-BB4D-96CD-AD4214E15FF3}" type="presParOf" srcId="{FB23DD4E-AC2D-264E-9D50-BC57B53DFD6E}" destId="{80465BF7-4516-C343-B0AD-D9E8E9E46155}" srcOrd="2" destOrd="0" presId="urn:microsoft.com/office/officeart/2005/8/layout/hierarchy6"/>
    <dgm:cxn modelId="{86BB2885-44BB-7343-B6FD-5652FDBE34E7}" type="presParOf" srcId="{FB23DD4E-AC2D-264E-9D50-BC57B53DFD6E}" destId="{4AA6230A-F63A-594A-B453-9BA955AA9679}" srcOrd="3" destOrd="0" presId="urn:microsoft.com/office/officeart/2005/8/layout/hierarchy6"/>
    <dgm:cxn modelId="{6EEAE3B8-6C47-324B-A1F8-E30774E973A7}" type="presParOf" srcId="{4AA6230A-F63A-594A-B453-9BA955AA9679}" destId="{BB0106CF-2D12-B243-9EB5-D152523A0556}" srcOrd="0" destOrd="0" presId="urn:microsoft.com/office/officeart/2005/8/layout/hierarchy6"/>
    <dgm:cxn modelId="{B3C89EC3-3CA3-734B-BB95-BBEFC6BFC89D}" type="presParOf" srcId="{4AA6230A-F63A-594A-B453-9BA955AA9679}" destId="{33BFF53B-147C-3C44-99F4-BE09342A9431}" srcOrd="1" destOrd="0" presId="urn:microsoft.com/office/officeart/2005/8/layout/hierarchy6"/>
    <dgm:cxn modelId="{A21D132C-41BE-474A-9387-11CE855FEBE4}" type="presParOf" srcId="{FB23DD4E-AC2D-264E-9D50-BC57B53DFD6E}" destId="{F622E176-92B9-1A46-B307-629BBC4EEE8A}" srcOrd="4" destOrd="0" presId="urn:microsoft.com/office/officeart/2005/8/layout/hierarchy6"/>
    <dgm:cxn modelId="{6B0C7210-BBAA-1B49-8B22-DE4962F81E79}" type="presParOf" srcId="{FB23DD4E-AC2D-264E-9D50-BC57B53DFD6E}" destId="{7B2FAB55-65BF-C94E-866C-766F77C7D2E0}" srcOrd="5" destOrd="0" presId="urn:microsoft.com/office/officeart/2005/8/layout/hierarchy6"/>
    <dgm:cxn modelId="{3CA1DA9E-E9FF-7746-B7B5-9F5C79CD725A}" type="presParOf" srcId="{7B2FAB55-65BF-C94E-866C-766F77C7D2E0}" destId="{B4B1FB79-AF6A-F14C-96F8-7394473C05FC}" srcOrd="0" destOrd="0" presId="urn:microsoft.com/office/officeart/2005/8/layout/hierarchy6"/>
    <dgm:cxn modelId="{581BDC2A-5F49-9345-9BF4-307FD235A033}" type="presParOf" srcId="{7B2FAB55-65BF-C94E-866C-766F77C7D2E0}" destId="{8024EB89-B7C5-144A-B227-556D9072E295}" srcOrd="1" destOrd="0" presId="urn:microsoft.com/office/officeart/2005/8/layout/hierarchy6"/>
    <dgm:cxn modelId="{8BEB6D83-A674-DE44-B8D6-74759A55DAD3}" type="presParOf" srcId="{FB23DD4E-AC2D-264E-9D50-BC57B53DFD6E}" destId="{3C4AC4EF-87D7-A342-95C5-47F867F6010A}" srcOrd="6" destOrd="0" presId="urn:microsoft.com/office/officeart/2005/8/layout/hierarchy6"/>
    <dgm:cxn modelId="{C8F18FAC-2237-484C-8976-6AB4F4EE8D3D}" type="presParOf" srcId="{FB23DD4E-AC2D-264E-9D50-BC57B53DFD6E}" destId="{E436FE90-1443-5043-AC86-D7898287D4CA}" srcOrd="7" destOrd="0" presId="urn:microsoft.com/office/officeart/2005/8/layout/hierarchy6"/>
    <dgm:cxn modelId="{99F22B86-0826-024A-B5F2-4398A48F8ABE}" type="presParOf" srcId="{E436FE90-1443-5043-AC86-D7898287D4CA}" destId="{CBEFE5EA-ED8E-8841-A1E4-EC5C57B969DC}" srcOrd="0" destOrd="0" presId="urn:microsoft.com/office/officeart/2005/8/layout/hierarchy6"/>
    <dgm:cxn modelId="{CA3FBC36-3719-A64C-9BE0-5088A49D96CA}" type="presParOf" srcId="{E436FE90-1443-5043-AC86-D7898287D4CA}" destId="{1C73F299-EEF3-2A40-9F4E-C75D893FC7B0}" srcOrd="1" destOrd="0" presId="urn:microsoft.com/office/officeart/2005/8/layout/hierarchy6"/>
    <dgm:cxn modelId="{F3EE9B87-71F7-C345-AD5D-56BBB63750C2}" type="presParOf" srcId="{FB23DD4E-AC2D-264E-9D50-BC57B53DFD6E}" destId="{9DF90587-0D78-A04C-8A4E-B565B691A5F3}" srcOrd="8" destOrd="0" presId="urn:microsoft.com/office/officeart/2005/8/layout/hierarchy6"/>
    <dgm:cxn modelId="{24C81960-E454-7B4C-9CBD-DB2EAFA15BEF}" type="presParOf" srcId="{FB23DD4E-AC2D-264E-9D50-BC57B53DFD6E}" destId="{6343D92C-1B56-B54B-91E3-AAC5E458DD5A}" srcOrd="9" destOrd="0" presId="urn:microsoft.com/office/officeart/2005/8/layout/hierarchy6"/>
    <dgm:cxn modelId="{940544A6-D362-9B44-8BA6-ED62E72A15D5}" type="presParOf" srcId="{6343D92C-1B56-B54B-91E3-AAC5E458DD5A}" destId="{B865E406-972E-984B-B4E5-6822E23D29BF}" srcOrd="0" destOrd="0" presId="urn:microsoft.com/office/officeart/2005/8/layout/hierarchy6"/>
    <dgm:cxn modelId="{BE353BBF-73D8-164B-A469-7792E8E79C4A}" type="presParOf" srcId="{6343D92C-1B56-B54B-91E3-AAC5E458DD5A}" destId="{7F6A5287-CDED-8D4F-B75F-026178DDCD45}" srcOrd="1" destOrd="0" presId="urn:microsoft.com/office/officeart/2005/8/layout/hierarchy6"/>
    <dgm:cxn modelId="{31E9901F-0315-0846-866F-8B961F2338D7}" type="presParOf" srcId="{FB23DD4E-AC2D-264E-9D50-BC57B53DFD6E}" destId="{0318598D-14D5-5F49-8E40-291671C3D502}" srcOrd="10" destOrd="0" presId="urn:microsoft.com/office/officeart/2005/8/layout/hierarchy6"/>
    <dgm:cxn modelId="{4A694F5D-5402-9748-8F17-EBEE21610DD9}" type="presParOf" srcId="{FB23DD4E-AC2D-264E-9D50-BC57B53DFD6E}" destId="{AC92EC40-D3B9-2747-9C2E-740D1209B3F6}" srcOrd="11" destOrd="0" presId="urn:microsoft.com/office/officeart/2005/8/layout/hierarchy6"/>
    <dgm:cxn modelId="{3A9BCEA0-81BA-C547-A3C9-2945A2121972}" type="presParOf" srcId="{AC92EC40-D3B9-2747-9C2E-740D1209B3F6}" destId="{8E40A3D1-7E02-7C45-A49D-FD18E2DDDC2A}" srcOrd="0" destOrd="0" presId="urn:microsoft.com/office/officeart/2005/8/layout/hierarchy6"/>
    <dgm:cxn modelId="{B1A4F20C-09B8-8648-B923-283DD59C7EFA}" type="presParOf" srcId="{AC92EC40-D3B9-2747-9C2E-740D1209B3F6}" destId="{75185C0F-E7A5-F64F-96D2-A6E49A39B605}" srcOrd="1" destOrd="0" presId="urn:microsoft.com/office/officeart/2005/8/layout/hierarchy6"/>
    <dgm:cxn modelId="{6974EBCA-CA33-4A44-A1DF-BA38AA895A1A}" type="presParOf" srcId="{F64C6F14-4EF8-AA41-9DB3-9705CE65AD2C}" destId="{710FE275-62BB-BF45-9B34-E3D9A25E332E}" srcOrd="2" destOrd="0" presId="urn:microsoft.com/office/officeart/2005/8/layout/hierarchy6"/>
    <dgm:cxn modelId="{5982080D-9B95-2140-A6EB-859770C2D6C6}" type="presParOf" srcId="{F64C6F14-4EF8-AA41-9DB3-9705CE65AD2C}" destId="{4FCB4FC8-02DC-7945-933A-60D075117D2D}" srcOrd="3" destOrd="0" presId="urn:microsoft.com/office/officeart/2005/8/layout/hierarchy6"/>
    <dgm:cxn modelId="{33AF762F-F55F-1540-A111-9DF6DD87BCB2}" type="presParOf" srcId="{4FCB4FC8-02DC-7945-933A-60D075117D2D}" destId="{499719E8-77C6-0E46-A3F1-AAC55879DEBA}" srcOrd="0" destOrd="0" presId="urn:microsoft.com/office/officeart/2005/8/layout/hierarchy6"/>
    <dgm:cxn modelId="{F8DEB808-6ECF-2148-BF64-A835C2BCFBC5}" type="presParOf" srcId="{4FCB4FC8-02DC-7945-933A-60D075117D2D}" destId="{8C4BB0A4-8683-584C-9863-14E00F50E5AC}" srcOrd="1" destOrd="0" presId="urn:microsoft.com/office/officeart/2005/8/layout/hierarchy6"/>
    <dgm:cxn modelId="{363D9462-42E2-7448-A6A0-D0FABB762059}" type="presParOf" srcId="{8C4BB0A4-8683-584C-9863-14E00F50E5AC}" destId="{83D0EE4F-53E9-3C49-B27E-52DB0FA03F2D}" srcOrd="0" destOrd="0" presId="urn:microsoft.com/office/officeart/2005/8/layout/hierarchy6"/>
    <dgm:cxn modelId="{E08D8465-F61B-E643-9D56-C6B1AC092D31}" type="presParOf" srcId="{8C4BB0A4-8683-584C-9863-14E00F50E5AC}" destId="{DAD9198E-6F08-AC4D-88D7-632DC26A1BAA}" srcOrd="1" destOrd="0" presId="urn:microsoft.com/office/officeart/2005/8/layout/hierarchy6"/>
    <dgm:cxn modelId="{0BB87715-2DF7-F94C-875F-2ED3116AC3B3}" type="presParOf" srcId="{DAD9198E-6F08-AC4D-88D7-632DC26A1BAA}" destId="{84385193-7491-5446-A3EE-0F8C10B117DA}" srcOrd="0" destOrd="0" presId="urn:microsoft.com/office/officeart/2005/8/layout/hierarchy6"/>
    <dgm:cxn modelId="{5596DB72-469E-8443-8083-72EC4E91395C}" type="presParOf" srcId="{DAD9198E-6F08-AC4D-88D7-632DC26A1BAA}" destId="{620C6EA4-012F-9F46-B2FB-0446AA371A8B}" srcOrd="1" destOrd="0" presId="urn:microsoft.com/office/officeart/2005/8/layout/hierarchy6"/>
    <dgm:cxn modelId="{0AA4516C-239B-F04B-B7F6-1B58F8220718}" type="presParOf" srcId="{8C4BB0A4-8683-584C-9863-14E00F50E5AC}" destId="{10C2D99F-B1FB-F247-A51E-A6C927FFB222}" srcOrd="2" destOrd="0" presId="urn:microsoft.com/office/officeart/2005/8/layout/hierarchy6"/>
    <dgm:cxn modelId="{0BB66474-8AE6-3746-8DC6-E9502F9AA0A0}" type="presParOf" srcId="{8C4BB0A4-8683-584C-9863-14E00F50E5AC}" destId="{0EBF997D-EC9A-AE48-9BBC-0BFB9AB7B028}" srcOrd="3" destOrd="0" presId="urn:microsoft.com/office/officeart/2005/8/layout/hierarchy6"/>
    <dgm:cxn modelId="{0E33DEAD-8D03-4F4E-AB24-60BE334A8A72}" type="presParOf" srcId="{0EBF997D-EC9A-AE48-9BBC-0BFB9AB7B028}" destId="{A2CA9C63-FA4C-BD45-9553-59547115263B}" srcOrd="0" destOrd="0" presId="urn:microsoft.com/office/officeart/2005/8/layout/hierarchy6"/>
    <dgm:cxn modelId="{B413FF9C-04C9-084B-8B1E-AB3F55AAA1F8}" type="presParOf" srcId="{0EBF997D-EC9A-AE48-9BBC-0BFB9AB7B028}" destId="{00167EB0-3D74-C04A-A33E-7E378498A8B1}" srcOrd="1" destOrd="0" presId="urn:microsoft.com/office/officeart/2005/8/layout/hierarchy6"/>
    <dgm:cxn modelId="{D2C9EE82-E6A7-D142-BB97-5A7A98A2BDEA}" type="presParOf" srcId="{8C4BB0A4-8683-584C-9863-14E00F50E5AC}" destId="{56D17A31-9E62-954F-AB77-FBD13EBB6BB5}" srcOrd="4" destOrd="0" presId="urn:microsoft.com/office/officeart/2005/8/layout/hierarchy6"/>
    <dgm:cxn modelId="{2B64AC1C-1B14-E44D-9B90-0C90EA1DBB5F}" type="presParOf" srcId="{8C4BB0A4-8683-584C-9863-14E00F50E5AC}" destId="{F249A409-4856-294F-A9FD-1F5A5EDE41E9}" srcOrd="5" destOrd="0" presId="urn:microsoft.com/office/officeart/2005/8/layout/hierarchy6"/>
    <dgm:cxn modelId="{954AE63E-8022-8F45-A511-66952712BDBB}" type="presParOf" srcId="{F249A409-4856-294F-A9FD-1F5A5EDE41E9}" destId="{1EF07AEF-43DD-3749-9B58-1F4F8ED99535}" srcOrd="0" destOrd="0" presId="urn:microsoft.com/office/officeart/2005/8/layout/hierarchy6"/>
    <dgm:cxn modelId="{8BAA80A9-98D8-0346-9B40-6F7A517546A5}" type="presParOf" srcId="{F249A409-4856-294F-A9FD-1F5A5EDE41E9}" destId="{FE3E64AE-FB4F-404E-994A-6AB094077296}" srcOrd="1" destOrd="0" presId="urn:microsoft.com/office/officeart/2005/8/layout/hierarchy6"/>
    <dgm:cxn modelId="{EEDD9DFE-63E9-3842-849A-35AE53001A69}" type="presParOf" srcId="{8C4BB0A4-8683-584C-9863-14E00F50E5AC}" destId="{53C4BDFD-015B-6240-B3EB-1428F791E6BD}" srcOrd="6" destOrd="0" presId="urn:microsoft.com/office/officeart/2005/8/layout/hierarchy6"/>
    <dgm:cxn modelId="{266962D7-26F1-1744-8535-6111F2C8B50A}" type="presParOf" srcId="{8C4BB0A4-8683-584C-9863-14E00F50E5AC}" destId="{BE7BA5FB-D257-6544-98A2-59ACB9F11A98}" srcOrd="7" destOrd="0" presId="urn:microsoft.com/office/officeart/2005/8/layout/hierarchy6"/>
    <dgm:cxn modelId="{9542843B-F92C-504C-82EB-BEF9F0D7F909}" type="presParOf" srcId="{BE7BA5FB-D257-6544-98A2-59ACB9F11A98}" destId="{C7E6A6CA-D937-AF4D-B5AD-5B36F7AE81B1}" srcOrd="0" destOrd="0" presId="urn:microsoft.com/office/officeart/2005/8/layout/hierarchy6"/>
    <dgm:cxn modelId="{DA5C8756-5BEB-BB40-9C8B-737E93F99521}" type="presParOf" srcId="{BE7BA5FB-D257-6544-98A2-59ACB9F11A98}" destId="{37DACED0-C34E-454A-BC44-5C956DEC7482}" srcOrd="1" destOrd="0" presId="urn:microsoft.com/office/officeart/2005/8/layout/hierarchy6"/>
    <dgm:cxn modelId="{2D9D7378-0881-1941-9C52-E058BA497018}" type="presParOf" srcId="{7CB6BC26-4A1B-EC4A-99E9-9CCB717BC453}" destId="{C5067A18-3602-CE48-A8FA-6D2063B19ACD}" srcOrd="1" destOrd="0" presId="urn:microsoft.com/office/officeart/2005/8/layout/hierarchy6"/>
  </dgm:cxnLst>
  <dgm:bg/>
  <dgm:whole/>
  <dgm:extLst>
    <a:ext uri="http://schemas.microsoft.com/office/drawing/2008/diagram">
      <dsp:dataModelExt xmlns:dsp="http://schemas.microsoft.com/office/drawing/2008/diagram" relId="rId1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E613CD-C62B-BC40-8715-6B5CC35DE087}">
      <dsp:nvSpPr>
        <dsp:cNvPr id="0" name=""/>
        <dsp:cNvSpPr/>
      </dsp:nvSpPr>
      <dsp:spPr>
        <a:xfrm>
          <a:off x="2416343" y="402386"/>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项目经理</a:t>
          </a:r>
        </a:p>
      </dsp:txBody>
      <dsp:txXfrm>
        <a:off x="2424778" y="410821"/>
        <a:ext cx="907934" cy="271132"/>
      </dsp:txXfrm>
    </dsp:sp>
    <dsp:sp modelId="{9DA5E343-A140-2C4B-BBB8-D02FFA0D5236}">
      <dsp:nvSpPr>
        <dsp:cNvPr id="0" name=""/>
        <dsp:cNvSpPr/>
      </dsp:nvSpPr>
      <dsp:spPr>
        <a:xfrm>
          <a:off x="1670789" y="690389"/>
          <a:ext cx="1207956" cy="246614"/>
        </a:xfrm>
        <a:custGeom>
          <a:avLst/>
          <a:gdLst/>
          <a:ahLst/>
          <a:cxnLst/>
          <a:rect l="0" t="0" r="0" b="0"/>
          <a:pathLst>
            <a:path>
              <a:moveTo>
                <a:pt x="1207956" y="0"/>
              </a:moveTo>
              <a:lnTo>
                <a:pt x="1207956" y="123307"/>
              </a:lnTo>
              <a:lnTo>
                <a:pt x="0" y="123307"/>
              </a:lnTo>
              <a:lnTo>
                <a:pt x="0" y="2466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EC54238-8455-844B-BE25-2646750BE408}">
      <dsp:nvSpPr>
        <dsp:cNvPr id="0" name=""/>
        <dsp:cNvSpPr/>
      </dsp:nvSpPr>
      <dsp:spPr>
        <a:xfrm>
          <a:off x="1208387" y="937004"/>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运营经理</a:t>
          </a:r>
        </a:p>
      </dsp:txBody>
      <dsp:txXfrm>
        <a:off x="1216822" y="945439"/>
        <a:ext cx="907934" cy="271132"/>
      </dsp:txXfrm>
    </dsp:sp>
    <dsp:sp modelId="{3AF2E04F-2AE8-9248-B4BC-CFE1258F080F}">
      <dsp:nvSpPr>
        <dsp:cNvPr id="0" name=""/>
        <dsp:cNvSpPr/>
      </dsp:nvSpPr>
      <dsp:spPr>
        <a:xfrm>
          <a:off x="462832" y="1225006"/>
          <a:ext cx="1207956" cy="246614"/>
        </a:xfrm>
        <a:custGeom>
          <a:avLst/>
          <a:gdLst/>
          <a:ahLst/>
          <a:cxnLst/>
          <a:rect l="0" t="0" r="0" b="0"/>
          <a:pathLst>
            <a:path>
              <a:moveTo>
                <a:pt x="1207956" y="0"/>
              </a:moveTo>
              <a:lnTo>
                <a:pt x="1207956"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B14C6837-2A31-684B-910A-76AF8A9BE938}">
      <dsp:nvSpPr>
        <dsp:cNvPr id="0" name=""/>
        <dsp:cNvSpPr/>
      </dsp:nvSpPr>
      <dsp:spPr>
        <a:xfrm>
          <a:off x="359962"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技术保障人员</a:t>
          </a:r>
        </a:p>
      </dsp:txBody>
      <dsp:txXfrm>
        <a:off x="365988" y="1477647"/>
        <a:ext cx="193689" cy="1190514"/>
      </dsp:txXfrm>
    </dsp:sp>
    <dsp:sp modelId="{80465BF7-4516-C343-B0AD-D9E8E9E46155}">
      <dsp:nvSpPr>
        <dsp:cNvPr id="0" name=""/>
        <dsp:cNvSpPr/>
      </dsp:nvSpPr>
      <dsp:spPr>
        <a:xfrm>
          <a:off x="946015" y="1225006"/>
          <a:ext cx="724774" cy="246614"/>
        </a:xfrm>
        <a:custGeom>
          <a:avLst/>
          <a:gdLst/>
          <a:ahLst/>
          <a:cxnLst/>
          <a:rect l="0" t="0" r="0" b="0"/>
          <a:pathLst>
            <a:path>
              <a:moveTo>
                <a:pt x="724774" y="0"/>
              </a:moveTo>
              <a:lnTo>
                <a:pt x="724774"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BB0106CF-2D12-B243-9EB5-D152523A0556}">
      <dsp:nvSpPr>
        <dsp:cNvPr id="0" name=""/>
        <dsp:cNvSpPr/>
      </dsp:nvSpPr>
      <dsp:spPr>
        <a:xfrm>
          <a:off x="843144"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应用系统管理员</a:t>
          </a:r>
        </a:p>
      </dsp:txBody>
      <dsp:txXfrm>
        <a:off x="849170" y="1477647"/>
        <a:ext cx="193689" cy="1190514"/>
      </dsp:txXfrm>
    </dsp:sp>
    <dsp:sp modelId="{F622E176-92B9-1A46-B307-629BBC4EEE8A}">
      <dsp:nvSpPr>
        <dsp:cNvPr id="0" name=""/>
        <dsp:cNvSpPr/>
      </dsp:nvSpPr>
      <dsp:spPr>
        <a:xfrm>
          <a:off x="1429198" y="1225006"/>
          <a:ext cx="241591" cy="246614"/>
        </a:xfrm>
        <a:custGeom>
          <a:avLst/>
          <a:gdLst/>
          <a:ahLst/>
          <a:cxnLst/>
          <a:rect l="0" t="0" r="0" b="0"/>
          <a:pathLst>
            <a:path>
              <a:moveTo>
                <a:pt x="241591" y="0"/>
              </a:moveTo>
              <a:lnTo>
                <a:pt x="241591"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B4B1FB79-AF6A-F14C-96F8-7394473C05FC}">
      <dsp:nvSpPr>
        <dsp:cNvPr id="0" name=""/>
        <dsp:cNvSpPr/>
      </dsp:nvSpPr>
      <dsp:spPr>
        <a:xfrm>
          <a:off x="1326327"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altLang="zh-CN" sz="800" kern="1200">
              <a:solidFill>
                <a:sysClr val="window" lastClr="FFFFFF"/>
              </a:solidFill>
              <a:latin typeface="Calibri"/>
              <a:ea typeface="宋体" panose="02010600030101010101" pitchFamily="2" charset="-122"/>
              <a:cs typeface="+mn-cs"/>
            </a:rPr>
            <a:t>CA</a:t>
          </a:r>
          <a:r>
            <a:rPr lang="zh-CN" altLang="en-US" sz="800" kern="1200">
              <a:solidFill>
                <a:sysClr val="window" lastClr="FFFFFF"/>
              </a:solidFill>
              <a:latin typeface="Calibri"/>
              <a:ea typeface="宋体" panose="02010600030101010101" pitchFamily="2" charset="-122"/>
              <a:cs typeface="+mn-cs"/>
            </a:rPr>
            <a:t>运营服务人员（如需）</a:t>
          </a:r>
        </a:p>
      </dsp:txBody>
      <dsp:txXfrm>
        <a:off x="1332353" y="1477647"/>
        <a:ext cx="193689" cy="1190514"/>
      </dsp:txXfrm>
    </dsp:sp>
    <dsp:sp modelId="{3C4AC4EF-87D7-A342-95C5-47F867F6010A}">
      <dsp:nvSpPr>
        <dsp:cNvPr id="0" name=""/>
        <dsp:cNvSpPr/>
      </dsp:nvSpPr>
      <dsp:spPr>
        <a:xfrm>
          <a:off x="1670789" y="1225006"/>
          <a:ext cx="241591" cy="246614"/>
        </a:xfrm>
        <a:custGeom>
          <a:avLst/>
          <a:gdLst/>
          <a:ahLst/>
          <a:cxnLst/>
          <a:rect l="0" t="0" r="0" b="0"/>
          <a:pathLst>
            <a:path>
              <a:moveTo>
                <a:pt x="0" y="0"/>
              </a:moveTo>
              <a:lnTo>
                <a:pt x="0" y="123307"/>
              </a:lnTo>
              <a:lnTo>
                <a:pt x="241591" y="123307"/>
              </a:lnTo>
              <a:lnTo>
                <a:pt x="241591"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BEFE5EA-ED8E-8841-A1E4-EC5C57B969DC}">
      <dsp:nvSpPr>
        <dsp:cNvPr id="0" name=""/>
        <dsp:cNvSpPr/>
      </dsp:nvSpPr>
      <dsp:spPr>
        <a:xfrm>
          <a:off x="1809510"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注册审核人员</a:t>
          </a:r>
        </a:p>
      </dsp:txBody>
      <dsp:txXfrm>
        <a:off x="1815536" y="1477647"/>
        <a:ext cx="193689" cy="1190514"/>
      </dsp:txXfrm>
    </dsp:sp>
    <dsp:sp modelId="{9DF90587-0D78-A04C-8A4E-B565B691A5F3}">
      <dsp:nvSpPr>
        <dsp:cNvPr id="0" name=""/>
        <dsp:cNvSpPr/>
      </dsp:nvSpPr>
      <dsp:spPr>
        <a:xfrm>
          <a:off x="1670789" y="1225006"/>
          <a:ext cx="724774" cy="246614"/>
        </a:xfrm>
        <a:custGeom>
          <a:avLst/>
          <a:gdLst/>
          <a:ahLst/>
          <a:cxnLst/>
          <a:rect l="0" t="0" r="0" b="0"/>
          <a:pathLst>
            <a:path>
              <a:moveTo>
                <a:pt x="0" y="0"/>
              </a:moveTo>
              <a:lnTo>
                <a:pt x="0" y="123307"/>
              </a:lnTo>
              <a:lnTo>
                <a:pt x="724774" y="123307"/>
              </a:lnTo>
              <a:lnTo>
                <a:pt x="724774"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B865E406-972E-984B-B4E5-6822E23D29BF}">
      <dsp:nvSpPr>
        <dsp:cNvPr id="0" name=""/>
        <dsp:cNvSpPr/>
      </dsp:nvSpPr>
      <dsp:spPr>
        <a:xfrm>
          <a:off x="2292692"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技术支持人员</a:t>
          </a:r>
        </a:p>
      </dsp:txBody>
      <dsp:txXfrm>
        <a:off x="2298718" y="1477647"/>
        <a:ext cx="193689" cy="1190514"/>
      </dsp:txXfrm>
    </dsp:sp>
    <dsp:sp modelId="{0318598D-14D5-5F49-8E40-291671C3D502}">
      <dsp:nvSpPr>
        <dsp:cNvPr id="0" name=""/>
        <dsp:cNvSpPr/>
      </dsp:nvSpPr>
      <dsp:spPr>
        <a:xfrm>
          <a:off x="1670789" y="1225006"/>
          <a:ext cx="1207956" cy="246614"/>
        </a:xfrm>
        <a:custGeom>
          <a:avLst/>
          <a:gdLst/>
          <a:ahLst/>
          <a:cxnLst/>
          <a:rect l="0" t="0" r="0" b="0"/>
          <a:pathLst>
            <a:path>
              <a:moveTo>
                <a:pt x="0" y="0"/>
              </a:moveTo>
              <a:lnTo>
                <a:pt x="0" y="123307"/>
              </a:lnTo>
              <a:lnTo>
                <a:pt x="1207956" y="123307"/>
              </a:lnTo>
              <a:lnTo>
                <a:pt x="1207956"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E40A3D1-7E02-7C45-A49D-FD18E2DDDC2A}">
      <dsp:nvSpPr>
        <dsp:cNvPr id="0" name=""/>
        <dsp:cNvSpPr/>
      </dsp:nvSpPr>
      <dsp:spPr>
        <a:xfrm>
          <a:off x="2775875"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客服人员</a:t>
          </a:r>
        </a:p>
      </dsp:txBody>
      <dsp:txXfrm>
        <a:off x="2781901" y="1477647"/>
        <a:ext cx="193689" cy="1190514"/>
      </dsp:txXfrm>
    </dsp:sp>
    <dsp:sp modelId="{710FE275-62BB-BF45-9B34-E3D9A25E332E}">
      <dsp:nvSpPr>
        <dsp:cNvPr id="0" name=""/>
        <dsp:cNvSpPr/>
      </dsp:nvSpPr>
      <dsp:spPr>
        <a:xfrm>
          <a:off x="2878746" y="690389"/>
          <a:ext cx="1207956" cy="246614"/>
        </a:xfrm>
        <a:custGeom>
          <a:avLst/>
          <a:gdLst/>
          <a:ahLst/>
          <a:cxnLst/>
          <a:rect l="0" t="0" r="0" b="0"/>
          <a:pathLst>
            <a:path>
              <a:moveTo>
                <a:pt x="0" y="0"/>
              </a:moveTo>
              <a:lnTo>
                <a:pt x="0" y="123307"/>
              </a:lnTo>
              <a:lnTo>
                <a:pt x="1207956" y="123307"/>
              </a:lnTo>
              <a:lnTo>
                <a:pt x="1207956" y="2466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499719E8-77C6-0E46-A3F1-AAC55879DEBA}">
      <dsp:nvSpPr>
        <dsp:cNvPr id="0" name=""/>
        <dsp:cNvSpPr/>
      </dsp:nvSpPr>
      <dsp:spPr>
        <a:xfrm>
          <a:off x="3624300" y="937004"/>
          <a:ext cx="924804" cy="288002"/>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运维经理</a:t>
          </a:r>
        </a:p>
      </dsp:txBody>
      <dsp:txXfrm>
        <a:off x="3632735" y="945439"/>
        <a:ext cx="907934" cy="271132"/>
      </dsp:txXfrm>
    </dsp:sp>
    <dsp:sp modelId="{83D0EE4F-53E9-3C49-B27E-52DB0FA03F2D}">
      <dsp:nvSpPr>
        <dsp:cNvPr id="0" name=""/>
        <dsp:cNvSpPr/>
      </dsp:nvSpPr>
      <dsp:spPr>
        <a:xfrm>
          <a:off x="3361929" y="1225006"/>
          <a:ext cx="724774" cy="246614"/>
        </a:xfrm>
        <a:custGeom>
          <a:avLst/>
          <a:gdLst/>
          <a:ahLst/>
          <a:cxnLst/>
          <a:rect l="0" t="0" r="0" b="0"/>
          <a:pathLst>
            <a:path>
              <a:moveTo>
                <a:pt x="724774" y="0"/>
              </a:moveTo>
              <a:lnTo>
                <a:pt x="724774"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84385193-7491-5446-A3EE-0F8C10B117DA}">
      <dsp:nvSpPr>
        <dsp:cNvPr id="0" name=""/>
        <dsp:cNvSpPr/>
      </dsp:nvSpPr>
      <dsp:spPr>
        <a:xfrm>
          <a:off x="3259058"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系统管理员</a:t>
          </a:r>
        </a:p>
      </dsp:txBody>
      <dsp:txXfrm>
        <a:off x="3265084" y="1477647"/>
        <a:ext cx="193689" cy="1190514"/>
      </dsp:txXfrm>
    </dsp:sp>
    <dsp:sp modelId="{10C2D99F-B1FB-F247-A51E-A6C927FFB222}">
      <dsp:nvSpPr>
        <dsp:cNvPr id="0" name=""/>
        <dsp:cNvSpPr/>
      </dsp:nvSpPr>
      <dsp:spPr>
        <a:xfrm>
          <a:off x="3845111" y="1225006"/>
          <a:ext cx="241591" cy="246614"/>
        </a:xfrm>
        <a:custGeom>
          <a:avLst/>
          <a:gdLst/>
          <a:ahLst/>
          <a:cxnLst/>
          <a:rect l="0" t="0" r="0" b="0"/>
          <a:pathLst>
            <a:path>
              <a:moveTo>
                <a:pt x="241591" y="0"/>
              </a:moveTo>
              <a:lnTo>
                <a:pt x="241591" y="123307"/>
              </a:lnTo>
              <a:lnTo>
                <a:pt x="0" y="123307"/>
              </a:lnTo>
              <a:lnTo>
                <a:pt x="0"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A2CA9C63-FA4C-BD45-9553-59547115263B}">
      <dsp:nvSpPr>
        <dsp:cNvPr id="0" name=""/>
        <dsp:cNvSpPr/>
      </dsp:nvSpPr>
      <dsp:spPr>
        <a:xfrm>
          <a:off x="3742241"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安全管理员</a:t>
          </a:r>
        </a:p>
      </dsp:txBody>
      <dsp:txXfrm>
        <a:off x="3748267" y="1477647"/>
        <a:ext cx="193689" cy="1190514"/>
      </dsp:txXfrm>
    </dsp:sp>
    <dsp:sp modelId="{56D17A31-9E62-954F-AB77-FBD13EBB6BB5}">
      <dsp:nvSpPr>
        <dsp:cNvPr id="0" name=""/>
        <dsp:cNvSpPr/>
      </dsp:nvSpPr>
      <dsp:spPr>
        <a:xfrm>
          <a:off x="4086703" y="1225006"/>
          <a:ext cx="241591" cy="246614"/>
        </a:xfrm>
        <a:custGeom>
          <a:avLst/>
          <a:gdLst/>
          <a:ahLst/>
          <a:cxnLst/>
          <a:rect l="0" t="0" r="0" b="0"/>
          <a:pathLst>
            <a:path>
              <a:moveTo>
                <a:pt x="0" y="0"/>
              </a:moveTo>
              <a:lnTo>
                <a:pt x="0" y="123307"/>
              </a:lnTo>
              <a:lnTo>
                <a:pt x="241591" y="123307"/>
              </a:lnTo>
              <a:lnTo>
                <a:pt x="241591"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1EF07AEF-43DD-3749-9B58-1F4F8ED99535}">
      <dsp:nvSpPr>
        <dsp:cNvPr id="0" name=""/>
        <dsp:cNvSpPr/>
      </dsp:nvSpPr>
      <dsp:spPr>
        <a:xfrm>
          <a:off x="4225423"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应用管理员</a:t>
          </a:r>
        </a:p>
      </dsp:txBody>
      <dsp:txXfrm>
        <a:off x="4231449" y="1477647"/>
        <a:ext cx="193689" cy="1190514"/>
      </dsp:txXfrm>
    </dsp:sp>
    <dsp:sp modelId="{53C4BDFD-015B-6240-B3EB-1428F791E6BD}">
      <dsp:nvSpPr>
        <dsp:cNvPr id="0" name=""/>
        <dsp:cNvSpPr/>
      </dsp:nvSpPr>
      <dsp:spPr>
        <a:xfrm>
          <a:off x="4086703" y="1225006"/>
          <a:ext cx="724774" cy="246614"/>
        </a:xfrm>
        <a:custGeom>
          <a:avLst/>
          <a:gdLst/>
          <a:ahLst/>
          <a:cxnLst/>
          <a:rect l="0" t="0" r="0" b="0"/>
          <a:pathLst>
            <a:path>
              <a:moveTo>
                <a:pt x="0" y="0"/>
              </a:moveTo>
              <a:lnTo>
                <a:pt x="0" y="123307"/>
              </a:lnTo>
              <a:lnTo>
                <a:pt x="724774" y="123307"/>
              </a:lnTo>
              <a:lnTo>
                <a:pt x="724774" y="246614"/>
              </a:lnTo>
            </a:path>
          </a:pathLst>
        </a:custGeom>
        <a:noFill/>
        <a:ln w="9525" cap="flat" cmpd="sng" algn="ctr">
          <a:solidFill>
            <a:srgbClr val="4F81BD">
              <a:shade val="8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sp>
    <dsp:sp modelId="{C7E6A6CA-D937-AF4D-B5AD-5B36F7AE81B1}">
      <dsp:nvSpPr>
        <dsp:cNvPr id="0" name=""/>
        <dsp:cNvSpPr/>
      </dsp:nvSpPr>
      <dsp:spPr>
        <a:xfrm>
          <a:off x="4708606" y="1471621"/>
          <a:ext cx="205741" cy="1202566"/>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eaVert"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zh-CN" altLang="en-US" sz="800" kern="1200">
              <a:solidFill>
                <a:sysClr val="window" lastClr="FFFFFF"/>
              </a:solidFill>
              <a:latin typeface="Calibri"/>
              <a:ea typeface="宋体" panose="02010600030101010101" pitchFamily="2" charset="-122"/>
              <a:cs typeface="+mn-cs"/>
            </a:rPr>
            <a:t>技术支持人员</a:t>
          </a:r>
        </a:p>
      </dsp:txBody>
      <dsp:txXfrm>
        <a:off x="4714632" y="1477647"/>
        <a:ext cx="193689" cy="11905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1">
  <dgm:title val=""/>
  <dgm:desc val=""/>
  <dgm:catLst>
    <dgm:cat type="simple" pri="104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292</Pages>
  <Words>5595</Words>
  <Characters>5753</Characters>
  <Lines>1777</Lines>
  <Paragraphs>500</Paragraphs>
  <TotalTime>30</TotalTime>
  <ScaleCrop>false</ScaleCrop>
  <LinksUpToDate>false</LinksUpToDate>
  <CharactersWithSpaces>5781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2024-11-05T03:16:00Z</dcterms:created>
  <dc:creator>liuyq</dc:creator>
  <cp:lastModifiedBy>shalom</cp:lastModifiedBy>
  <cp:lastPrinted>2024-10-18T06:15:00Z</cp:lastPrinted>
  <dcterms:modified xsi:type="dcterms:W3CDTF">2025-02-11T06:09:24Z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E716DB43FA94420A983C413B20A3DB6A_13</vt:lpwstr>
  </property>
  <property fmtid="{D5CDD505-2E9C-101B-9397-08002B2CF9AE}" pid="4" name="KSOTemplateDocerSaveRecord">
    <vt:lpwstr>eyJoZGlkIjoiODAzOTg2MDc2YTJhYWVjZjc1MTBlNWFjZThiODkxMWEiLCJ1c2VySWQiOiI1OTc3MTA4NDgifQ==</vt:lpwstr>
  </property>
</Properties>
</file>