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2019" w14:textId="40150F95" w:rsidR="001C473E" w:rsidRDefault="00493648">
      <w:pPr>
        <w:rPr>
          <w:rFonts w:hint="eastAsia"/>
        </w:rPr>
      </w:pPr>
      <w:r>
        <w:rPr>
          <w:rFonts w:hint="eastAsia"/>
        </w:rPr>
        <w:t>中信2025年新员工培训</w:t>
      </w:r>
    </w:p>
    <w:sectPr w:rsidR="001C4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3E"/>
    <w:rsid w:val="000D11B0"/>
    <w:rsid w:val="001C473E"/>
    <w:rsid w:val="0049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EDBEC"/>
  <w15:chartTrackingRefBased/>
  <w15:docId w15:val="{F4D5139F-049F-4374-AD02-A382615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7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7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7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7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7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7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zx. lyx</dc:creator>
  <cp:keywords/>
  <dc:description/>
  <cp:lastModifiedBy>zx. lyx</cp:lastModifiedBy>
  <cp:revision>2</cp:revision>
  <dcterms:created xsi:type="dcterms:W3CDTF">2025-12-10T02:01:00Z</dcterms:created>
  <dcterms:modified xsi:type="dcterms:W3CDTF">2025-12-10T02:02:00Z</dcterms:modified>
</cp:coreProperties>
</file>